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3224e10vk.htm"/>
        <w:bookmarkStart w:id="1" w:name="ksh43224e10vk"/>
        <w:bookmarkEnd w:id="0"/>
        <w:bookmarkEnd w:id="1"/>
        <w:r>
          <w:rPr>
            <w:rStyle w:val="InternetLink"/>
          </w:rPr>
          <w:t>Table of Contents</w:t>
        </w:r>
      </w:hyperlink>
    </w:p>
    <w:p>
      <w:pPr>
        <w:pStyle w:val="TextBody"/>
        <w:spacing w:before="8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UNITED STATES SECURITIES AND EXCHANGE COMMISSION</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Washington, D.C. 20549</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Form 10-K</w:t>
      </w:r>
      <w:r>
        <w:rPr>
          <w:rFonts w:ascii="Times New Roman;Times" w:hAnsi="Times New Roman;Times"/>
          <w:color w:val="000000"/>
          <w:sz w:val="17"/>
          <w:highlight w:val="white"/>
        </w:rPr>
        <w:t xml:space="preserve"> </w:t>
      </w:r>
    </w:p>
    <w:p>
      <w:pPr>
        <w:pStyle w:val="TextBody"/>
        <w:spacing w:before="40" w:after="283"/>
        <w:rPr/>
      </w:pPr>
      <w:r>
        <w:rPr/>
        <w:t> </w:t>
      </w:r>
    </w:p>
    <w:tbl>
      <w:tblPr>
        <w:tblW w:w="5000" w:type="pct"/>
        <w:jc w:val="center"/>
        <w:tblInd w:w="0" w:type="dxa"/>
        <w:shd w:fill="FFFFFF" w:val="clear"/>
        <w:tblCellMar>
          <w:top w:w="0" w:type="dxa"/>
          <w:left w:w="0" w:type="dxa"/>
          <w:bottom w:w="0" w:type="dxa"/>
          <w:right w:w="0" w:type="dxa"/>
        </w:tblCellMar>
      </w:tblPr>
      <w:tblGrid>
        <w:gridCol w:w="1223"/>
        <w:gridCol w:w="102"/>
        <w:gridCol w:w="8880"/>
      </w:tblGrid>
      <w:tr>
        <w:trPr/>
        <w:tc>
          <w:tcPr>
            <w:tcW w:w="122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8880" w:type="dxa"/>
            <w:tcBorders/>
            <w:shd w:fill="FFFFFF" w:val="clear"/>
            <w:vAlign w:val="bottom"/>
          </w:tcPr>
          <w:p>
            <w:pPr>
              <w:pStyle w:val="TableContents"/>
              <w:spacing w:before="0" w:after="283"/>
              <w:rPr/>
            </w:pPr>
            <w:r>
              <w:rPr/>
              <w:t> </w:t>
            </w:r>
          </w:p>
        </w:tc>
      </w:tr>
      <w:tr>
        <w:trPr/>
        <w:tc>
          <w:tcPr>
            <w:tcW w:w="1223" w:type="dxa"/>
            <w:tcBorders/>
            <w:shd w:fill="FFFFFF" w:val="clear"/>
            <w:vAlign w:val="bottom"/>
          </w:tcPr>
          <w:p>
            <w:pPr>
              <w:pStyle w:val="TableContents"/>
              <w:spacing w:before="0" w:after="283"/>
              <w:jc w:val="left"/>
              <w:rPr>
                <w:sz w:val="17"/>
              </w:rPr>
            </w:pPr>
            <w:r>
              <w:rPr>
                <w:sz w:val="17"/>
              </w:rPr>
              <w:t xml:space="preserve">(Mark One) </w:t>
            </w:r>
          </w:p>
        </w:tc>
        <w:tc>
          <w:tcPr>
            <w:tcW w:w="102" w:type="dxa"/>
            <w:tcBorders/>
            <w:shd w:fill="FFFFFF" w:val="clear"/>
            <w:vAlign w:val="bottom"/>
          </w:tcPr>
          <w:p>
            <w:pPr>
              <w:pStyle w:val="TableContents"/>
              <w:spacing w:before="0" w:after="283"/>
              <w:jc w:val="center"/>
              <w:rPr/>
            </w:pPr>
            <w:r>
              <w:rPr/>
              <w:t xml:space="preserve">  </w:t>
            </w:r>
          </w:p>
        </w:tc>
        <w:tc>
          <w:tcPr>
            <w:tcW w:w="8880" w:type="dxa"/>
            <w:tcBorders/>
            <w:shd w:fill="FFFFFF" w:val="clear"/>
            <w:vAlign w:val="bottom"/>
          </w:tcPr>
          <w:p>
            <w:pPr>
              <w:pStyle w:val="TableContents"/>
              <w:spacing w:before="0" w:after="283"/>
              <w:jc w:val="center"/>
              <w:rPr/>
            </w:pPr>
            <w:r>
              <w:rPr/>
              <w:t xml:space="preserve">  </w:t>
            </w:r>
          </w:p>
        </w:tc>
      </w:tr>
      <w:tr>
        <w:trPr/>
        <w:tc>
          <w:tcPr>
            <w:tcW w:w="1223" w:type="dxa"/>
            <w:tcBorders/>
            <w:shd w:fill="FFFFFF" w:val="clear"/>
            <w:vAlign w:val="center"/>
          </w:tcPr>
          <w:p>
            <w:pPr>
              <w:pStyle w:val="TableContents"/>
              <w:spacing w:before="0" w:after="283"/>
              <w:rPr/>
            </w:pPr>
            <w:r>
              <w:rPr/>
              <w:t xml:space="preserve">  </w:t>
            </w:r>
          </w:p>
        </w:tc>
        <w:tc>
          <w:tcPr>
            <w:tcW w:w="8982" w:type="dxa"/>
            <w:gridSpan w:val="2"/>
            <w:tcBorders/>
            <w:shd w:fill="FFFFFF" w:val="clear"/>
          </w:tcPr>
          <w:p>
            <w:pPr>
              <w:pStyle w:val="TableContents"/>
              <w:spacing w:before="0" w:after="283"/>
              <w:rPr>
                <w:sz w:val="4"/>
                <w:szCs w:val="4"/>
              </w:rPr>
            </w:pPr>
            <w:r>
              <w:rPr>
                <w:sz w:val="4"/>
                <w:szCs w:val="4"/>
              </w:rPr>
            </w:r>
          </w:p>
        </w:tc>
      </w:tr>
      <w:tr>
        <w:trPr/>
        <w:tc>
          <w:tcPr>
            <w:tcW w:w="1223" w:type="dxa"/>
            <w:tcBorders/>
            <w:shd w:fill="FFFFFF" w:val="clear"/>
          </w:tcPr>
          <w:p>
            <w:pPr>
              <w:pStyle w:val="TableContents"/>
              <w:spacing w:before="0" w:after="0"/>
              <w:ind w:left="240" w:right="0" w:hanging="240"/>
              <w:jc w:val="center"/>
              <w:rPr/>
            </w:pPr>
            <w:r>
              <w:rPr/>
              <w:t xml:space="preserve">☑ </w:t>
            </w:r>
          </w:p>
        </w:tc>
        <w:tc>
          <w:tcPr>
            <w:tcW w:w="102"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jc w:val="left"/>
              <w:rPr/>
            </w:pPr>
            <w:r>
              <w:rPr>
                <w:b/>
              </w:rPr>
              <w:t>ANNUAL REPORT PURSUANT TO SECTION 13 OR 15(d) OF THE SECURITIES EXCHANGE ACT OF 1934</w:t>
            </w:r>
            <w:r>
              <w:rPr/>
              <w:t xml:space="preserve"> </w:t>
            </w:r>
          </w:p>
        </w:tc>
      </w:tr>
      <w:tr>
        <w:trPr/>
        <w:tc>
          <w:tcPr>
            <w:tcW w:w="1223" w:type="dxa"/>
            <w:tcBorders/>
            <w:shd w:fill="FFFFFF" w:val="clear"/>
          </w:tcPr>
          <w:p>
            <w:pPr>
              <w:pStyle w:val="TableContents"/>
              <w:spacing w:before="0" w:after="283"/>
              <w:jc w:val="center"/>
              <w:rPr/>
            </w:pPr>
            <w:r>
              <w:rPr/>
              <w:t xml:space="preserve">  </w:t>
            </w:r>
          </w:p>
        </w:tc>
        <w:tc>
          <w:tcPr>
            <w:tcW w:w="102"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jc w:val="left"/>
              <w:rPr/>
            </w:pPr>
            <w:r>
              <w:rPr>
                <w:b/>
                <w:sz w:val="17"/>
              </w:rPr>
              <w:t>For the fiscal year ended December 31, 2006</w:t>
            </w:r>
            <w:r>
              <w:rPr/>
              <w:t xml:space="preserve"> </w:t>
            </w:r>
          </w:p>
        </w:tc>
      </w:tr>
      <w:tr>
        <w:trPr/>
        <w:tc>
          <w:tcPr>
            <w:tcW w:w="10205" w:type="dxa"/>
            <w:gridSpan w:val="3"/>
            <w:tcBorders/>
            <w:shd w:fill="FFFFFF" w:val="clear"/>
          </w:tcPr>
          <w:p>
            <w:pPr>
              <w:pStyle w:val="TableContents"/>
              <w:spacing w:before="0" w:after="0"/>
              <w:ind w:left="240" w:right="0" w:hanging="240"/>
              <w:jc w:val="center"/>
              <w:rPr/>
            </w:pPr>
            <w:r>
              <w:rPr>
                <w:b/>
                <w:sz w:val="17"/>
              </w:rPr>
              <w:t>OR</w:t>
            </w:r>
            <w:r>
              <w:rPr/>
              <w:t xml:space="preserve"> </w:t>
            </w:r>
          </w:p>
        </w:tc>
      </w:tr>
      <w:tr>
        <w:trPr/>
        <w:tc>
          <w:tcPr>
            <w:tcW w:w="1223" w:type="dxa"/>
            <w:tcBorders/>
            <w:shd w:fill="FFFFFF" w:val="clear"/>
          </w:tcPr>
          <w:p>
            <w:pPr>
              <w:pStyle w:val="TableContents"/>
              <w:spacing w:before="0" w:after="0"/>
              <w:ind w:left="240" w:right="0" w:hanging="240"/>
              <w:jc w:val="center"/>
              <w:rPr/>
            </w:pPr>
            <w:r>
              <w:rPr>
                <w:rFonts w:ascii="wingdings" w:hAnsi="wingdings"/>
                <w:b/>
              </w:rPr>
              <w:t>o</w:t>
            </w:r>
            <w:r>
              <w:rPr/>
              <w:t xml:space="preserve"> </w:t>
            </w:r>
          </w:p>
        </w:tc>
        <w:tc>
          <w:tcPr>
            <w:tcW w:w="102"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jc w:val="left"/>
              <w:rPr/>
            </w:pPr>
            <w:r>
              <w:rPr>
                <w:b/>
              </w:rPr>
              <w:t>TRANSITION REPORT PURSUANT TO SECTION 13 OR 15(d) OF THE SECURITIES EXCHANGE ACT OF 1934</w:t>
            </w:r>
            <w:r>
              <w:rPr/>
              <w:t xml:space="preserve"> </w:t>
            </w:r>
          </w:p>
        </w:tc>
      </w:tr>
    </w:tbl>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Commission file number 1-14569</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203"/>
        <w:gridCol w:w="4900"/>
      </w:tblGrid>
      <w:tr>
        <w:trPr/>
        <w:tc>
          <w:tcPr>
            <w:tcW w:w="51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4900"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
                <w:sz w:val="17"/>
              </w:rPr>
              <w:t>Delaware</w:t>
            </w:r>
            <w:r>
              <w:rPr/>
              <w:t xml:space="preserve"> </w:t>
            </w:r>
          </w:p>
        </w:tc>
        <w:tc>
          <w:tcPr>
            <w:tcW w:w="203" w:type="dxa"/>
            <w:tcBorders/>
            <w:shd w:fill="FFFFFF" w:val="clear"/>
            <w:vAlign w:val="bottom"/>
          </w:tcPr>
          <w:p>
            <w:pPr>
              <w:pStyle w:val="TableContents"/>
              <w:spacing w:before="0" w:after="283"/>
              <w:rPr/>
            </w:pPr>
            <w:r>
              <w:rPr/>
              <w:t xml:space="preserve">  </w:t>
            </w:r>
          </w:p>
        </w:tc>
        <w:tc>
          <w:tcPr>
            <w:tcW w:w="4900" w:type="dxa"/>
            <w:tcBorders/>
            <w:shd w:fill="FFFFFF" w:val="clear"/>
          </w:tcPr>
          <w:p>
            <w:pPr>
              <w:pStyle w:val="TableContents"/>
              <w:spacing w:before="0" w:after="283"/>
              <w:jc w:val="center"/>
              <w:rPr/>
            </w:pPr>
            <w:r>
              <w:rPr>
                <w:b/>
                <w:sz w:val="17"/>
              </w:rPr>
              <w:t>76-0582150</w:t>
            </w:r>
            <w:r>
              <w:rPr/>
              <w:t xml:space="preserve"> </w:t>
            </w:r>
          </w:p>
        </w:tc>
      </w:tr>
      <w:tr>
        <w:trPr/>
        <w:tc>
          <w:tcPr>
            <w:tcW w:w="5102" w:type="dxa"/>
            <w:tcBorders/>
            <w:shd w:fill="FFFFFF" w:val="clear"/>
          </w:tcPr>
          <w:p>
            <w:pPr>
              <w:pStyle w:val="TableContents"/>
              <w:spacing w:before="0" w:after="0"/>
              <w:ind w:left="200" w:right="0" w:hanging="200"/>
              <w:jc w:val="center"/>
              <w:rPr/>
            </w:pPr>
            <w:r>
              <w:rPr>
                <w:i/>
                <w:sz w:val="13"/>
              </w:rPr>
              <w:t>(State or other jurisdiction of</w:t>
            </w:r>
            <w:r>
              <w:rPr/>
              <w:t xml:space="preserve"> </w:t>
            </w:r>
          </w:p>
        </w:tc>
        <w:tc>
          <w:tcPr>
            <w:tcW w:w="203" w:type="dxa"/>
            <w:tcBorders/>
            <w:shd w:fill="FFFFFF" w:val="clear"/>
            <w:vAlign w:val="bottom"/>
          </w:tcPr>
          <w:p>
            <w:pPr>
              <w:pStyle w:val="TableContents"/>
              <w:spacing w:before="0" w:after="283"/>
              <w:rPr/>
            </w:pPr>
            <w:r>
              <w:rPr/>
              <w:t xml:space="preserve">  </w:t>
            </w:r>
          </w:p>
        </w:tc>
        <w:tc>
          <w:tcPr>
            <w:tcW w:w="4900" w:type="dxa"/>
            <w:tcBorders/>
            <w:shd w:fill="FFFFFF" w:val="clear"/>
          </w:tcPr>
          <w:p>
            <w:pPr>
              <w:pStyle w:val="TableContents"/>
              <w:spacing w:before="0" w:after="283"/>
              <w:jc w:val="center"/>
              <w:rPr/>
            </w:pPr>
            <w:r>
              <w:rPr>
                <w:i/>
                <w:sz w:val="13"/>
              </w:rPr>
              <w:t>(I.R.S. Employer</w:t>
            </w:r>
            <w:r>
              <w:rPr/>
              <w:t xml:space="preserve"> </w:t>
            </w:r>
          </w:p>
        </w:tc>
      </w:tr>
      <w:tr>
        <w:trPr/>
        <w:tc>
          <w:tcPr>
            <w:tcW w:w="5102" w:type="dxa"/>
            <w:tcBorders/>
            <w:shd w:fill="FFFFFF" w:val="clear"/>
          </w:tcPr>
          <w:p>
            <w:pPr>
              <w:pStyle w:val="TableContents"/>
              <w:spacing w:before="0" w:after="0"/>
              <w:ind w:left="200" w:right="0" w:hanging="200"/>
              <w:jc w:val="center"/>
              <w:rPr/>
            </w:pPr>
            <w:r>
              <w:rPr>
                <w:i/>
                <w:sz w:val="13"/>
              </w:rPr>
              <w:t>incorporation or organization)</w:t>
            </w:r>
            <w:r>
              <w:rPr/>
              <w:t xml:space="preserve"> </w:t>
            </w:r>
          </w:p>
        </w:tc>
        <w:tc>
          <w:tcPr>
            <w:tcW w:w="203" w:type="dxa"/>
            <w:tcBorders/>
            <w:shd w:fill="FFFFFF" w:val="clear"/>
            <w:vAlign w:val="bottom"/>
          </w:tcPr>
          <w:p>
            <w:pPr>
              <w:pStyle w:val="TableContents"/>
              <w:spacing w:before="0" w:after="283"/>
              <w:rPr/>
            </w:pPr>
            <w:r>
              <w:rPr/>
              <w:t xml:space="preserve">  </w:t>
            </w:r>
          </w:p>
        </w:tc>
        <w:tc>
          <w:tcPr>
            <w:tcW w:w="4900" w:type="dxa"/>
            <w:tcBorders/>
            <w:shd w:fill="FFFFFF" w:val="clear"/>
          </w:tcPr>
          <w:p>
            <w:pPr>
              <w:pStyle w:val="TableContents"/>
              <w:spacing w:before="0" w:after="283"/>
              <w:jc w:val="center"/>
              <w:rPr>
                <w:i/>
                <w:sz w:val="13"/>
              </w:rPr>
            </w:pPr>
            <w:r>
              <w:rPr>
                <w:i/>
                <w:sz w:val="13"/>
              </w:rPr>
              <w:t xml:space="preserve">Identification No.) </w:t>
            </w:r>
          </w:p>
        </w:tc>
      </w:tr>
    </w:tbl>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333 Clay Street, Suite 1600, Houston, Texas 77002</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(Address of principal executive offices) (Zip Code)</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(713) 646-4100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(Registrants telephone number, including area code)</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Securities registered pursuant to Section 12(b) of the Act:</w:t>
      </w:r>
      <w:r>
        <w:rPr>
          <w:rFonts w:ascii="Times New Roman;Times" w:hAnsi="Times New Roman;Times"/>
          <w:color w:val="000000"/>
          <w:sz w:val="17"/>
          <w:highlight w:val="white"/>
        </w:rPr>
        <w:t xml:space="preserve"> </w:t>
      </w:r>
    </w:p>
    <w:p>
      <w:pPr>
        <w:pStyle w:val="TextBody"/>
        <w:spacing w:before="18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vAlign w:val="bottom"/>
          </w:tcPr>
          <w:p>
            <w:pPr>
              <w:pStyle w:val="TableContents"/>
              <w:spacing w:before="0" w:after="0"/>
              <w:jc w:val="center"/>
              <w:rPr>
                <w:bdr w:val="single" w:sz="2" w:space="1" w:color="000000"/>
              </w:rPr>
            </w:pPr>
            <w:r>
              <w:rPr>
                <w:b/>
                <w:bdr w:val="single" w:sz="2" w:space="1" w:color="000000"/>
              </w:rPr>
              <w:t>Title of Each Class</w:t>
            </w:r>
            <w:r>
              <w:rPr>
                <w:bdr w:val="single" w:sz="2" w:space="1" w:color="000000"/>
              </w:rPr>
              <w:t xml:space="preserve"> </w:t>
            </w:r>
          </w:p>
        </w:tc>
        <w:tc>
          <w:tcPr>
            <w:tcW w:w="101" w:type="dxa"/>
            <w:tcBorders/>
            <w:shd w:fill="FFFFFF" w:val="clear"/>
            <w:vAlign w:val="bottom"/>
          </w:tcPr>
          <w:p>
            <w:pPr>
              <w:pStyle w:val="TableContents"/>
              <w:spacing w:before="0" w:after="283"/>
              <w:jc w:val="center"/>
              <w:rPr/>
            </w:pPr>
            <w:r>
              <w:rPr/>
              <w:t xml:space="preserve">  </w:t>
            </w:r>
          </w:p>
        </w:tc>
        <w:tc>
          <w:tcPr>
            <w:tcW w:w="5001" w:type="dxa"/>
            <w:tcBorders/>
            <w:shd w:fill="FFFFFF" w:val="clear"/>
            <w:vAlign w:val="bottom"/>
          </w:tcPr>
          <w:p>
            <w:pPr>
              <w:pStyle w:val="TableContents"/>
              <w:spacing w:before="0" w:after="0"/>
              <w:jc w:val="center"/>
              <w:rPr>
                <w:bdr w:val="single" w:sz="2" w:space="1" w:color="000000"/>
              </w:rPr>
            </w:pPr>
            <w:r>
              <w:rPr>
                <w:b/>
                <w:bdr w:val="single" w:sz="2" w:space="1" w:color="000000"/>
              </w:rPr>
              <w:t>Name of Each Exchange on Which Registered</w:t>
            </w:r>
            <w:r>
              <w:rPr>
                <w:bdr w:val="single" w:sz="2" w:space="1" w:color="000000"/>
              </w:rPr>
              <w:t xml:space="preserve"> </w:t>
            </w:r>
          </w:p>
        </w:tc>
      </w:tr>
      <w:tr>
        <w:trPr/>
        <w:tc>
          <w:tcPr>
            <w:tcW w:w="5103" w:type="dxa"/>
            <w:tcBorders/>
            <w:shd w:fill="FFFFFF" w:val="clear"/>
            <w:vAlign w:val="center"/>
          </w:tcPr>
          <w:p>
            <w:pPr>
              <w:pStyle w:val="TableContents"/>
              <w:spacing w:before="0" w:after="283"/>
              <w:rPr/>
            </w:pPr>
            <w:r>
              <w:rPr/>
              <w:t xml:space="preserve">  </w:t>
            </w:r>
          </w:p>
        </w:tc>
        <w:tc>
          <w:tcPr>
            <w:tcW w:w="5102" w:type="dxa"/>
            <w:gridSpan w:val="2"/>
            <w:tcBorders/>
            <w:shd w:fill="FFFFFF" w:val="clear"/>
          </w:tcPr>
          <w:p>
            <w:pPr>
              <w:pStyle w:val="TableContents"/>
              <w:spacing w:before="0" w:after="283"/>
              <w:rPr>
                <w:sz w:val="4"/>
                <w:szCs w:val="4"/>
              </w:rPr>
            </w:pPr>
            <w:r>
              <w:rPr>
                <w:sz w:val="4"/>
                <w:szCs w:val="4"/>
              </w:rPr>
            </w:r>
          </w:p>
        </w:tc>
      </w:tr>
      <w:tr>
        <w:trPr/>
        <w:tc>
          <w:tcPr>
            <w:tcW w:w="5103" w:type="dxa"/>
            <w:tcBorders/>
            <w:shd w:fill="FFFFFF" w:val="clear"/>
            <w:vAlign w:val="bottom"/>
          </w:tcPr>
          <w:p>
            <w:pPr>
              <w:pStyle w:val="TableContents"/>
              <w:spacing w:before="0" w:after="0"/>
              <w:ind w:left="200" w:right="0" w:hanging="200"/>
              <w:jc w:val="center"/>
              <w:rPr>
                <w:sz w:val="17"/>
              </w:rPr>
            </w:pPr>
            <w:r>
              <w:rPr>
                <w:sz w:val="17"/>
              </w:rPr>
              <w:t xml:space="preserve">Common Units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vAlign w:val="bottom"/>
          </w:tcPr>
          <w:p>
            <w:pPr>
              <w:pStyle w:val="TableContents"/>
              <w:spacing w:before="0" w:after="283"/>
              <w:jc w:val="center"/>
              <w:rPr>
                <w:sz w:val="17"/>
              </w:rPr>
            </w:pPr>
            <w:r>
              <w:rPr>
                <w:sz w:val="17"/>
              </w:rPr>
              <w:t xml:space="preserve">New York Stock Exchange </w:t>
            </w:r>
          </w:p>
        </w:tc>
      </w:tr>
    </w:tbl>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Securities registered pursuant to Section 12(g) of the Act:</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None</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Indicate by check mark if the registrant is a well-known seasoned issuer, as defined in Rule 405 of the Securities Act.  Yes ☑     No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Indicate by check mark if the registrant is not required to file reports pursuant to Section 13 or Section 15(d) of the Act.  Yes </w:t>
      </w:r>
      <w:r>
        <w:rPr>
          <w:rFonts w:ascii="wingdings" w:hAnsi="wingdings"/>
          <w:color w:val="000000"/>
          <w:sz w:val="17"/>
          <w:highlight w:val="white"/>
        </w:rPr>
        <w:t>o</w:t>
      </w:r>
      <w:r>
        <w:rPr>
          <w:rFonts w:ascii="Times New Roman;Times" w:hAnsi="Times New Roman;Times"/>
          <w:color w:val="000000"/>
          <w:sz w:val="17"/>
          <w:highlight w:val="white"/>
        </w:rPr>
        <w:t xml:space="preserve">     No ☑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Large Accelerated Filer  ☑     Accelerated Filer  </w:t>
      </w:r>
      <w:r>
        <w:rPr>
          <w:rFonts w:ascii="wingdings" w:hAnsi="wingdings"/>
          <w:color w:val="000000"/>
          <w:sz w:val="17"/>
          <w:highlight w:val="white"/>
        </w:rPr>
        <w:t>o</w:t>
      </w:r>
      <w:r>
        <w:rPr>
          <w:rFonts w:ascii="Times New Roman;Times" w:hAnsi="Times New Roman;Times"/>
          <w:color w:val="000000"/>
          <w:sz w:val="17"/>
          <w:highlight w:val="white"/>
        </w:rPr>
        <w:t>     Non-Accelerated Filer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Indicate by check mark if the registrant is a shell company (as defined in Rule 12b-2 of the Exchange Act).  Yes </w:t>
      </w:r>
      <w:r>
        <w:rPr>
          <w:rFonts w:ascii="wingdings" w:hAnsi="wingdings"/>
          <w:color w:val="000000"/>
          <w:sz w:val="17"/>
          <w:highlight w:val="white"/>
        </w:rPr>
        <w:t>o</w:t>
      </w:r>
      <w:r>
        <w:rPr>
          <w:rFonts w:ascii="Times New Roman;Times" w:hAnsi="Times New Roman;Times"/>
          <w:color w:val="000000"/>
          <w:sz w:val="17"/>
          <w:highlight w:val="white"/>
        </w:rPr>
        <w:t xml:space="preserve">     No ☑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aggregate value of the Common Units held by non-affiliates of the registrant (treating all executive officers and directors of the registrant and holders of 10% or more of the Common Units outstanding, for this purpose, as if they may be affiliates of the registrant) was approximately $2.7 billion on June 30, 2006, based on $43.67 per unit, the closing price of the Common Units as reported on the New York Stock Exchange on such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February 20, 2007, there were outstanding 109,405,178 Common Units.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DOCUMENTS INCORPORATED BY REFERENCE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NONE </w:t>
      </w:r>
    </w:p>
    <w:p>
      <w:pPr>
        <w:pStyle w:val="TextBody"/>
        <w:spacing w:before="160" w:after="283"/>
        <w:rPr/>
      </w:pPr>
      <w:r>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br/>
        <w:t>FORM 10-K  2006 ANNUAL REPORT</w:t>
      </w:r>
      <w:r>
        <w:rPr>
          <w:rFonts w:ascii="Arial;Helvetica" w:hAnsi="Arial;Helvetica"/>
          <w:color w:val="000000"/>
          <w:sz w:val="17"/>
          <w:highlight w:val="white"/>
        </w:rPr>
        <w:t xml:space="preserve"> </w:t>
      </w:r>
    </w:p>
    <w:p>
      <w:pPr>
        <w:pStyle w:val="TextBody"/>
        <w:spacing w:before="120" w:after="283"/>
        <w:rPr/>
      </w:pPr>
      <w:bookmarkStart w:id="2" w:name="tocpage"/>
      <w:bookmarkEnd w:id="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62"/>
        <w:gridCol w:w="1078"/>
        <w:gridCol w:w="463"/>
        <w:gridCol w:w="192"/>
        <w:gridCol w:w="7066"/>
        <w:gridCol w:w="192"/>
        <w:gridCol w:w="138"/>
        <w:gridCol w:w="467"/>
        <w:gridCol w:w="147"/>
      </w:tblGrid>
      <w:tr>
        <w:trPr/>
        <w:tc>
          <w:tcPr>
            <w:tcW w:w="462" w:type="dxa"/>
            <w:tcBorders/>
            <w:shd w:fill="FFFFFF" w:val="clear"/>
            <w:vAlign w:val="bottom"/>
          </w:tcPr>
          <w:p>
            <w:pPr>
              <w:pStyle w:val="TableContents"/>
              <w:spacing w:before="0" w:after="283"/>
              <w:rPr/>
            </w:pPr>
            <w:r>
              <w:rPr/>
              <w:t> </w:t>
            </w:r>
          </w:p>
        </w:tc>
        <w:tc>
          <w:tcPr>
            <w:tcW w:w="1078"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7066"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rPr/>
            </w:pPr>
            <w:r>
              <w:rPr/>
              <w:t> </w:t>
            </w:r>
          </w:p>
        </w:tc>
        <w:tc>
          <w:tcPr>
            <w:tcW w:w="467"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rPr/>
            </w:pPr>
            <w:r>
              <w:rPr/>
              <w:t> </w:t>
            </w:r>
          </w:p>
        </w:tc>
      </w:tr>
      <w:tr>
        <w:trPr/>
        <w:tc>
          <w:tcPr>
            <w:tcW w:w="2003" w:type="dxa"/>
            <w:gridSpan w:val="3"/>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7066"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752"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Page</w:t>
            </w:r>
            <w:r>
              <w:rPr/>
              <w:t xml:space="preserve"> </w:t>
            </w:r>
          </w:p>
        </w:tc>
      </w:tr>
      <w:tr>
        <w:trPr/>
        <w:tc>
          <w:tcPr>
            <w:tcW w:w="462" w:type="dxa"/>
            <w:tcBorders/>
            <w:shd w:fill="FFFFFF" w:val="clear"/>
            <w:vAlign w:val="center"/>
          </w:tcPr>
          <w:p>
            <w:pPr>
              <w:pStyle w:val="TableContents"/>
              <w:spacing w:before="0" w:after="283"/>
              <w:rPr/>
            </w:pPr>
            <w:r>
              <w:rPr/>
              <w:t xml:space="preserve">  </w:t>
            </w:r>
          </w:p>
        </w:tc>
        <w:tc>
          <w:tcPr>
            <w:tcW w:w="9743" w:type="dxa"/>
            <w:gridSpan w:val="8"/>
            <w:tcBorders/>
            <w:shd w:fill="FFFFFF" w:val="clear"/>
          </w:tcPr>
          <w:p>
            <w:pPr>
              <w:pStyle w:val="TableContents"/>
              <w:spacing w:before="0" w:after="283"/>
              <w:rPr>
                <w:sz w:val="4"/>
                <w:szCs w:val="4"/>
              </w:rPr>
            </w:pPr>
            <w:r>
              <w:rPr>
                <w:sz w:val="4"/>
                <w:szCs w:val="4"/>
              </w:rPr>
            </w:r>
          </w:p>
        </w:tc>
      </w:tr>
      <w:tr>
        <w:trPr/>
        <w:tc>
          <w:tcPr>
            <w:tcW w:w="10205" w:type="dxa"/>
            <w:gridSpan w:val="9"/>
            <w:tcBorders/>
            <w:shd w:fill="FFFFFF" w:val="clear"/>
          </w:tcPr>
          <w:p>
            <w:pPr>
              <w:pStyle w:val="TableContents"/>
              <w:spacing w:before="0" w:after="0"/>
              <w:ind w:left="200" w:right="0" w:hanging="200"/>
              <w:jc w:val="center"/>
              <w:rPr/>
            </w:pPr>
            <w:hyperlink w:anchor="101">
              <w:r>
                <w:rPr>
                  <w:rStyle w:val="InternetLink"/>
                  <w:b/>
                  <w:sz w:val="17"/>
                </w:rPr>
                <w:t>Part I</w:t>
              </w:r>
            </w:hyperlink>
            <w:r>
              <w:rPr/>
              <w:t xml:space="preserve"> </w:t>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2">
              <w:r>
                <w:rPr>
                  <w:rStyle w:val="InternetLink"/>
                  <w:sz w:val="17"/>
                </w:rPr>
                <w:t>Items 1 and 2.</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2">
              <w:r>
                <w:rPr>
                  <w:rStyle w:val="InternetLink"/>
                  <w:sz w:val="17"/>
                </w:rPr>
                <w:t>Business and Properties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3">
              <w:r>
                <w:rPr>
                  <w:rStyle w:val="InternetLink"/>
                  <w:sz w:val="17"/>
                </w:rPr>
                <w:t>Item 1A.</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3">
              <w:r>
                <w:rPr>
                  <w:rStyle w:val="InternetLink"/>
                  <w:sz w:val="17"/>
                </w:rPr>
                <w:t>Risk Factors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40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4">
              <w:r>
                <w:rPr>
                  <w:rStyle w:val="InternetLink"/>
                  <w:sz w:val="17"/>
                </w:rPr>
                <w:t>Item 1B.</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4">
              <w:r>
                <w:rPr>
                  <w:rStyle w:val="InternetLink"/>
                  <w:sz w:val="17"/>
                </w:rPr>
                <w:t>Unresolved Staff Comments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54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5">
              <w:r>
                <w:rPr>
                  <w:rStyle w:val="InternetLink"/>
                  <w:sz w:val="17"/>
                </w:rPr>
                <w:t>Item 3.</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5">
              <w:r>
                <w:rPr>
                  <w:rStyle w:val="InternetLink"/>
                  <w:sz w:val="17"/>
                </w:rPr>
                <w:t>Legal Proceedings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54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6">
              <w:r>
                <w:rPr>
                  <w:rStyle w:val="InternetLink"/>
                  <w:sz w:val="17"/>
                </w:rPr>
                <w:t>Item 4.</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6">
              <w:r>
                <w:rPr>
                  <w:rStyle w:val="InternetLink"/>
                  <w:sz w:val="17"/>
                </w:rPr>
                <w:t>Submission of Matters to a Vote of Security Holders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56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tcPr>
          <w:p>
            <w:pPr>
              <w:pStyle w:val="TableContents"/>
              <w:spacing w:before="0" w:after="0"/>
              <w:ind w:left="200" w:right="0" w:hanging="200"/>
              <w:jc w:val="center"/>
              <w:rPr/>
            </w:pPr>
            <w:hyperlink w:anchor="107">
              <w:r>
                <w:rPr>
                  <w:rStyle w:val="InternetLink"/>
                  <w:b/>
                  <w:sz w:val="17"/>
                </w:rPr>
                <w:t>Part II</w:t>
              </w:r>
            </w:hyperlink>
            <w:r>
              <w:rPr/>
              <w:t xml:space="preserve"> </w:t>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8">
              <w:r>
                <w:rPr>
                  <w:rStyle w:val="InternetLink"/>
                  <w:sz w:val="17"/>
                </w:rPr>
                <w:t>Item 5.</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8">
              <w:r>
                <w:rPr>
                  <w:rStyle w:val="InternetLink"/>
                  <w:sz w:val="17"/>
                </w:rPr>
                <w:t>Market for Registrants Common Units, Related Unitholder Matters and Issuer Purchases of Equity Securities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56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09">
              <w:r>
                <w:rPr>
                  <w:rStyle w:val="InternetLink"/>
                  <w:sz w:val="17"/>
                </w:rPr>
                <w:t>Item 6.</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09">
              <w:r>
                <w:rPr>
                  <w:rStyle w:val="InternetLink"/>
                  <w:sz w:val="17"/>
                </w:rPr>
                <w:t>Selected Financial Data</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58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0">
              <w:r>
                <w:rPr>
                  <w:rStyle w:val="InternetLink"/>
                  <w:sz w:val="17"/>
                </w:rPr>
                <w:t>Item 7.</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0">
              <w:r>
                <w:rPr>
                  <w:rStyle w:val="InternetLink"/>
                  <w:sz w:val="17"/>
                </w:rPr>
                <w:t>Managements Discussion and Analysis of Financial Condition and Results of Operations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60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1">
              <w:r>
                <w:rPr>
                  <w:rStyle w:val="InternetLink"/>
                  <w:sz w:val="17"/>
                </w:rPr>
                <w:t>Item 7A.</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1">
              <w:r>
                <w:rPr>
                  <w:rStyle w:val="InternetLink"/>
                  <w:sz w:val="17"/>
                </w:rPr>
                <w:t>Quantitative and Qualitative Disclosures About Market Risk</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90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2">
              <w:r>
                <w:rPr>
                  <w:rStyle w:val="InternetLink"/>
                  <w:sz w:val="17"/>
                </w:rPr>
                <w:t>Item 8.</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2">
              <w:r>
                <w:rPr>
                  <w:rStyle w:val="InternetLink"/>
                  <w:sz w:val="17"/>
                </w:rPr>
                <w:t>Financial Statements and Supplementary Data</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92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3">
              <w:r>
                <w:rPr>
                  <w:rStyle w:val="InternetLink"/>
                  <w:sz w:val="17"/>
                </w:rPr>
                <w:t>Item 9.</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3">
              <w:r>
                <w:rPr>
                  <w:rStyle w:val="InternetLink"/>
                  <w:sz w:val="17"/>
                </w:rPr>
                <w:t>Changes in and Disagreements With Accountants on Accounting and Financial Disclosure</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92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4">
              <w:r>
                <w:rPr>
                  <w:rStyle w:val="InternetLink"/>
                  <w:sz w:val="17"/>
                </w:rPr>
                <w:t>Item 9A.</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4">
              <w:r>
                <w:rPr>
                  <w:rStyle w:val="InternetLink"/>
                  <w:sz w:val="17"/>
                </w:rPr>
                <w:t>Controls and Procedures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92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5">
              <w:r>
                <w:rPr>
                  <w:rStyle w:val="InternetLink"/>
                  <w:sz w:val="17"/>
                </w:rPr>
                <w:t>Item 9B.</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5">
              <w:r>
                <w:rPr>
                  <w:rStyle w:val="InternetLink"/>
                  <w:sz w:val="17"/>
                </w:rPr>
                <w:t>Other Information</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93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tcPr>
          <w:p>
            <w:pPr>
              <w:pStyle w:val="TableContents"/>
              <w:spacing w:before="0" w:after="0"/>
              <w:ind w:left="200" w:right="0" w:hanging="200"/>
              <w:jc w:val="center"/>
              <w:rPr/>
            </w:pPr>
            <w:hyperlink w:anchor="116">
              <w:r>
                <w:rPr>
                  <w:rStyle w:val="InternetLink"/>
                  <w:b/>
                  <w:sz w:val="17"/>
                </w:rPr>
                <w:t>Part III</w:t>
              </w:r>
            </w:hyperlink>
            <w:r>
              <w:rPr/>
              <w:t xml:space="preserve"> </w:t>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7">
              <w:r>
                <w:rPr>
                  <w:rStyle w:val="InternetLink"/>
                  <w:sz w:val="17"/>
                </w:rPr>
                <w:t>Item 10.</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7">
              <w:r>
                <w:rPr>
                  <w:rStyle w:val="InternetLink"/>
                  <w:sz w:val="17"/>
                </w:rPr>
                <w:t>Directors and Executive Officers of Our General Partner and Corporate Governance</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93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8">
              <w:r>
                <w:rPr>
                  <w:rStyle w:val="InternetLink"/>
                  <w:sz w:val="17"/>
                </w:rPr>
                <w:t>Item 11.</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8">
              <w:r>
                <w:rPr>
                  <w:rStyle w:val="InternetLink"/>
                  <w:sz w:val="17"/>
                </w:rPr>
                <w:t>Executive Compensation</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103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19">
              <w:r>
                <w:rPr>
                  <w:rStyle w:val="InternetLink"/>
                  <w:sz w:val="17"/>
                </w:rPr>
                <w:t>Item 12.</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19">
              <w:r>
                <w:rPr>
                  <w:rStyle w:val="InternetLink"/>
                  <w:sz w:val="17"/>
                </w:rPr>
                <w:t>Security Ownership of Certain Beneficial Owners and Management and Related Unitholder Matters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117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20">
              <w:r>
                <w:rPr>
                  <w:rStyle w:val="InternetLink"/>
                  <w:sz w:val="17"/>
                </w:rPr>
                <w:t>Item 13.</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20">
              <w:r>
                <w:rPr>
                  <w:rStyle w:val="InternetLink"/>
                  <w:sz w:val="17"/>
                </w:rPr>
                <w:t>Certain Relationships and Related Transactions, and Director Independence</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121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21">
              <w:r>
                <w:rPr>
                  <w:rStyle w:val="InternetLink"/>
                  <w:sz w:val="17"/>
                </w:rPr>
                <w:t>Item 14.</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21">
              <w:r>
                <w:rPr>
                  <w:rStyle w:val="InternetLink"/>
                  <w:sz w:val="17"/>
                </w:rPr>
                <w:t>Principal Accountant Fees and Services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126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tcPr>
          <w:p>
            <w:pPr>
              <w:pStyle w:val="TableContents"/>
              <w:spacing w:before="0" w:after="0"/>
              <w:ind w:left="200" w:right="0" w:hanging="200"/>
              <w:jc w:val="center"/>
              <w:rPr/>
            </w:pPr>
            <w:hyperlink w:anchor="122">
              <w:r>
                <w:rPr>
                  <w:rStyle w:val="InternetLink"/>
                  <w:b/>
                  <w:sz w:val="17"/>
                </w:rPr>
                <w:t>Part IV</w:t>
              </w:r>
            </w:hyperlink>
            <w:r>
              <w:rPr/>
              <w:t xml:space="preserve"> </w:t>
            </w:r>
          </w:p>
        </w:tc>
      </w:tr>
      <w:tr>
        <w:trPr/>
        <w:tc>
          <w:tcPr>
            <w:tcW w:w="462" w:type="dxa"/>
            <w:tcBorders/>
            <w:shd w:fill="FFFFFF" w:val="clear"/>
            <w:vAlign w:val="bottom"/>
          </w:tcPr>
          <w:p>
            <w:pPr>
              <w:pStyle w:val="TableContents"/>
              <w:spacing w:before="0" w:after="283"/>
              <w:rPr>
                <w:sz w:val="4"/>
                <w:szCs w:val="4"/>
              </w:rPr>
            </w:pPr>
            <w:r>
              <w:rPr>
                <w:sz w:val="4"/>
                <w:szCs w:val="4"/>
              </w:rPr>
            </w:r>
          </w:p>
        </w:tc>
        <w:tc>
          <w:tcPr>
            <w:tcW w:w="1078" w:type="dxa"/>
            <w:tcBorders/>
            <w:shd w:fill="FFFFFF" w:val="clear"/>
          </w:tcPr>
          <w:p>
            <w:pPr>
              <w:pStyle w:val="TableContents"/>
              <w:spacing w:before="0" w:after="0"/>
              <w:ind w:left="200" w:right="0" w:hanging="200"/>
              <w:jc w:val="left"/>
              <w:rPr/>
            </w:pPr>
            <w:hyperlink w:anchor="123">
              <w:r>
                <w:rPr>
                  <w:rStyle w:val="InternetLink"/>
                  <w:sz w:val="17"/>
                </w:rPr>
                <w:t>Item 15.</w:t>
              </w:r>
            </w:hyperlink>
            <w:r>
              <w:rPr/>
              <w:t xml:space="preserve"> </w:t>
            </w:r>
          </w:p>
        </w:tc>
        <w:tc>
          <w:tcPr>
            <w:tcW w:w="463" w:type="dxa"/>
            <w:tcBorders/>
            <w:shd w:fill="FFFFFF" w:val="clear"/>
            <w:vAlign w:val="bottom"/>
          </w:tcPr>
          <w:p>
            <w:pPr>
              <w:pStyle w:val="TableContents"/>
              <w:spacing w:before="0" w:after="283"/>
              <w:rPr>
                <w:sz w:val="4"/>
                <w:szCs w:val="4"/>
              </w:rPr>
            </w:pPr>
            <w:r>
              <w:rPr>
                <w:sz w:val="4"/>
                <w:szCs w:val="4"/>
              </w:rPr>
            </w:r>
          </w:p>
        </w:tc>
        <w:tc>
          <w:tcPr>
            <w:tcW w:w="192" w:type="dxa"/>
            <w:tcBorders/>
            <w:shd w:fill="FFFFFF" w:val="clear"/>
            <w:vAlign w:val="bottom"/>
          </w:tcPr>
          <w:p>
            <w:pPr>
              <w:pStyle w:val="TableContents"/>
              <w:spacing w:before="0" w:after="283"/>
              <w:rPr/>
            </w:pPr>
            <w:r>
              <w:rPr/>
              <w:t xml:space="preserve">  </w:t>
            </w:r>
          </w:p>
        </w:tc>
        <w:tc>
          <w:tcPr>
            <w:tcW w:w="7066" w:type="dxa"/>
            <w:tcBorders/>
            <w:shd w:fill="FFFFFF" w:val="clear"/>
            <w:vAlign w:val="bottom"/>
          </w:tcPr>
          <w:p>
            <w:pPr>
              <w:pStyle w:val="TableContents"/>
              <w:spacing w:before="0" w:after="283"/>
              <w:jc w:val="left"/>
              <w:rPr/>
            </w:pPr>
            <w:hyperlink w:anchor="123">
              <w:r>
                <w:rPr>
                  <w:rStyle w:val="InternetLink"/>
                  <w:sz w:val="17"/>
                </w:rPr>
                <w:t>Exhibits and Financial Statement Schedules</w:t>
              </w:r>
            </w:hyperlink>
            <w:r>
              <w:rPr/>
              <w:t xml:space="preserve"> </w:t>
            </w:r>
          </w:p>
        </w:tc>
        <w:tc>
          <w:tcPr>
            <w:tcW w:w="19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sz w:val="4"/>
                <w:szCs w:val="4"/>
              </w:rPr>
            </w:pPr>
            <w:r>
              <w:rPr>
                <w:sz w:val="4"/>
                <w:szCs w:val="4"/>
              </w:rPr>
            </w:r>
          </w:p>
        </w:tc>
        <w:tc>
          <w:tcPr>
            <w:tcW w:w="467" w:type="dxa"/>
            <w:tcBorders/>
            <w:shd w:fill="FFFFFF" w:val="clear"/>
            <w:vAlign w:val="bottom"/>
          </w:tcPr>
          <w:p>
            <w:pPr>
              <w:pStyle w:val="TableContents"/>
              <w:spacing w:before="0" w:after="283"/>
              <w:jc w:val="right"/>
              <w:rPr>
                <w:sz w:val="17"/>
              </w:rPr>
            </w:pPr>
            <w:r>
              <w:rPr>
                <w:sz w:val="17"/>
              </w:rPr>
              <w:t xml:space="preserve">127 </w:t>
            </w:r>
          </w:p>
        </w:tc>
        <w:tc>
          <w:tcPr>
            <w:tcW w:w="147" w:type="dxa"/>
            <w:tcBorders/>
            <w:shd w:fill="FFFFFF" w:val="clear"/>
            <w:vAlign w:val="bottom"/>
          </w:tcPr>
          <w:p>
            <w:pPr>
              <w:pStyle w:val="TableContents"/>
              <w:spacing w:before="0" w:after="283"/>
              <w:rPr>
                <w:sz w:val="4"/>
                <w:szCs w:val="4"/>
              </w:rPr>
            </w:pPr>
            <w:r>
              <w:rPr>
                <w:sz w:val="4"/>
                <w:szCs w:val="4"/>
              </w:rPr>
            </w:r>
          </w:p>
        </w:tc>
      </w:tr>
      <w:tr>
        <w:trPr/>
        <w:tc>
          <w:tcPr>
            <w:tcW w:w="10205" w:type="dxa"/>
            <w:gridSpan w:val="9"/>
            <w:tcBorders/>
            <w:shd w:fill="FFFFFF" w:val="clear"/>
            <w:vAlign w:val="center"/>
          </w:tcPr>
          <w:p>
            <w:pPr>
              <w:pStyle w:val="TableContents"/>
              <w:spacing w:before="0" w:after="283"/>
              <w:rPr/>
            </w:pPr>
            <w:r>
              <w:rPr/>
              <w:t> </w:t>
            </w:r>
            <w:hyperlink w:anchor="h43224exv3w10.htm">
              <w:r>
                <w:rPr>
                  <w:rStyle w:val="InternetLink"/>
                  <w:sz w:val="20"/>
                </w:rPr>
                <w:t>Certificate of Incorporation</w:t>
              </w:r>
            </w:hyperlink>
          </w:p>
        </w:tc>
      </w:tr>
      <w:tr>
        <w:trPr/>
        <w:tc>
          <w:tcPr>
            <w:tcW w:w="10205" w:type="dxa"/>
            <w:gridSpan w:val="9"/>
            <w:tcBorders/>
            <w:shd w:fill="FFFFFF" w:val="clear"/>
            <w:vAlign w:val="center"/>
          </w:tcPr>
          <w:p>
            <w:pPr>
              <w:pStyle w:val="TableContents"/>
              <w:spacing w:before="0" w:after="283"/>
              <w:rPr/>
            </w:pPr>
            <w:r>
              <w:rPr/>
              <w:t> </w:t>
            </w:r>
            <w:hyperlink w:anchor="h43224exv3w11.htm">
              <w:r>
                <w:rPr>
                  <w:rStyle w:val="InternetLink"/>
                  <w:sz w:val="20"/>
                </w:rPr>
                <w:t>Bylaws</w:t>
              </w:r>
            </w:hyperlink>
          </w:p>
        </w:tc>
      </w:tr>
      <w:tr>
        <w:trPr/>
        <w:tc>
          <w:tcPr>
            <w:tcW w:w="10205" w:type="dxa"/>
            <w:gridSpan w:val="9"/>
            <w:tcBorders/>
            <w:shd w:fill="FFFFFF" w:val="clear"/>
            <w:vAlign w:val="center"/>
          </w:tcPr>
          <w:p>
            <w:pPr>
              <w:pStyle w:val="TableContents"/>
              <w:spacing w:before="0" w:after="283"/>
              <w:rPr/>
            </w:pPr>
            <w:r>
              <w:rPr/>
              <w:t> </w:t>
            </w:r>
            <w:hyperlink w:anchor="h43224exv4w17.htm">
              <w:r>
                <w:rPr>
                  <w:rStyle w:val="InternetLink"/>
                  <w:sz w:val="20"/>
                </w:rPr>
                <w:t>Second Supplemental Indenture</w:t>
              </w:r>
            </w:hyperlink>
          </w:p>
        </w:tc>
      </w:tr>
      <w:tr>
        <w:trPr/>
        <w:tc>
          <w:tcPr>
            <w:tcW w:w="10205" w:type="dxa"/>
            <w:gridSpan w:val="9"/>
            <w:tcBorders/>
            <w:shd w:fill="FFFFFF" w:val="clear"/>
            <w:vAlign w:val="center"/>
          </w:tcPr>
          <w:p>
            <w:pPr>
              <w:pStyle w:val="TableContents"/>
              <w:spacing w:before="0" w:after="283"/>
              <w:rPr/>
            </w:pPr>
            <w:r>
              <w:rPr/>
              <w:t> </w:t>
            </w:r>
            <w:hyperlink w:anchor="h43224exv10w22.htm">
              <w:r>
                <w:rPr>
                  <w:rStyle w:val="InternetLink"/>
                  <w:sz w:val="20"/>
                </w:rPr>
                <w:t>Directors' Compensation Summary</w:t>
              </w:r>
            </w:hyperlink>
          </w:p>
        </w:tc>
      </w:tr>
      <w:tr>
        <w:trPr/>
        <w:tc>
          <w:tcPr>
            <w:tcW w:w="10205" w:type="dxa"/>
            <w:gridSpan w:val="9"/>
            <w:tcBorders/>
            <w:shd w:fill="FFFFFF" w:val="clear"/>
            <w:vAlign w:val="center"/>
          </w:tcPr>
          <w:p>
            <w:pPr>
              <w:pStyle w:val="TableContents"/>
              <w:spacing w:before="0" w:after="283"/>
              <w:rPr/>
            </w:pPr>
            <w:r>
              <w:rPr/>
              <w:t> </w:t>
            </w:r>
            <w:hyperlink w:anchor="h43224exv10w42.htm">
              <w:r>
                <w:rPr>
                  <w:rStyle w:val="InternetLink"/>
                  <w:sz w:val="20"/>
                </w:rPr>
                <w:t>Fourth Amendment to Credit Agreement</w:t>
              </w:r>
            </w:hyperlink>
          </w:p>
        </w:tc>
      </w:tr>
      <w:tr>
        <w:trPr/>
        <w:tc>
          <w:tcPr>
            <w:tcW w:w="10205" w:type="dxa"/>
            <w:gridSpan w:val="9"/>
            <w:tcBorders/>
            <w:shd w:fill="FFFFFF" w:val="clear"/>
            <w:vAlign w:val="center"/>
          </w:tcPr>
          <w:p>
            <w:pPr>
              <w:pStyle w:val="TableContents"/>
              <w:spacing w:before="0" w:after="283"/>
              <w:rPr/>
            </w:pPr>
            <w:r>
              <w:rPr/>
              <w:t> </w:t>
            </w:r>
            <w:hyperlink w:anchor="h43224exv10w45.htm">
              <w:r>
                <w:rPr>
                  <w:rStyle w:val="InternetLink"/>
                  <w:sz w:val="20"/>
                </w:rPr>
                <w:t>Long-Term Incentive Plan</w:t>
              </w:r>
            </w:hyperlink>
          </w:p>
        </w:tc>
      </w:tr>
      <w:tr>
        <w:trPr/>
        <w:tc>
          <w:tcPr>
            <w:tcW w:w="10205" w:type="dxa"/>
            <w:gridSpan w:val="9"/>
            <w:tcBorders/>
            <w:shd w:fill="FFFFFF" w:val="clear"/>
            <w:vAlign w:val="center"/>
          </w:tcPr>
          <w:p>
            <w:pPr>
              <w:pStyle w:val="TableContents"/>
              <w:spacing w:before="0" w:after="283"/>
              <w:rPr/>
            </w:pPr>
            <w:r>
              <w:rPr/>
              <w:t> </w:t>
            </w:r>
            <w:hyperlink w:anchor="h43224exv21w1.htm">
              <w:r>
                <w:rPr>
                  <w:rStyle w:val="InternetLink"/>
                  <w:sz w:val="20"/>
                </w:rPr>
                <w:t>List of Subsidiaries</w:t>
              </w:r>
            </w:hyperlink>
          </w:p>
        </w:tc>
      </w:tr>
      <w:tr>
        <w:trPr/>
        <w:tc>
          <w:tcPr>
            <w:tcW w:w="10205" w:type="dxa"/>
            <w:gridSpan w:val="9"/>
            <w:tcBorders/>
            <w:shd w:fill="FFFFFF" w:val="clear"/>
            <w:vAlign w:val="center"/>
          </w:tcPr>
          <w:p>
            <w:pPr>
              <w:pStyle w:val="TableContents"/>
              <w:spacing w:before="0" w:after="283"/>
              <w:rPr/>
            </w:pPr>
            <w:r>
              <w:rPr/>
              <w:t> </w:t>
            </w:r>
            <w:hyperlink w:anchor="h43224exv23w1.htm">
              <w:r>
                <w:rPr>
                  <w:rStyle w:val="InternetLink"/>
                  <w:sz w:val="20"/>
                </w:rPr>
                <w:t>Consent of PricewaterhouseCoopers LLP</w:t>
              </w:r>
            </w:hyperlink>
          </w:p>
        </w:tc>
      </w:tr>
      <w:tr>
        <w:trPr/>
        <w:tc>
          <w:tcPr>
            <w:tcW w:w="10205" w:type="dxa"/>
            <w:gridSpan w:val="9"/>
            <w:tcBorders/>
            <w:shd w:fill="FFFFFF" w:val="clear"/>
            <w:vAlign w:val="center"/>
          </w:tcPr>
          <w:p>
            <w:pPr>
              <w:pStyle w:val="TableContents"/>
              <w:spacing w:before="0" w:after="283"/>
              <w:rPr/>
            </w:pPr>
            <w:r>
              <w:rPr/>
              <w:t> </w:t>
            </w:r>
            <w:hyperlink w:anchor="h43224exv31w1.htm">
              <w:r>
                <w:rPr>
                  <w:rStyle w:val="InternetLink"/>
                  <w:sz w:val="20"/>
                </w:rPr>
                <w:t>Certification of PEO Pursuant to Rules 13a-14(a)</w:t>
              </w:r>
            </w:hyperlink>
          </w:p>
        </w:tc>
      </w:tr>
      <w:tr>
        <w:trPr/>
        <w:tc>
          <w:tcPr>
            <w:tcW w:w="10205" w:type="dxa"/>
            <w:gridSpan w:val="9"/>
            <w:tcBorders/>
            <w:shd w:fill="FFFFFF" w:val="clear"/>
            <w:vAlign w:val="center"/>
          </w:tcPr>
          <w:p>
            <w:pPr>
              <w:pStyle w:val="TableContents"/>
              <w:spacing w:before="0" w:after="283"/>
              <w:rPr/>
            </w:pPr>
            <w:r>
              <w:rPr/>
              <w:t> </w:t>
            </w:r>
            <w:hyperlink w:anchor="h43224exv31w2.htm">
              <w:r>
                <w:rPr>
                  <w:rStyle w:val="InternetLink"/>
                  <w:sz w:val="20"/>
                </w:rPr>
                <w:t>Certification of PFO Pursuant to Rules 13a-14(a)</w:t>
              </w:r>
            </w:hyperlink>
          </w:p>
        </w:tc>
      </w:tr>
      <w:tr>
        <w:trPr/>
        <w:tc>
          <w:tcPr>
            <w:tcW w:w="10205" w:type="dxa"/>
            <w:gridSpan w:val="9"/>
            <w:tcBorders/>
            <w:shd w:fill="FFFFFF" w:val="clear"/>
            <w:vAlign w:val="center"/>
          </w:tcPr>
          <w:p>
            <w:pPr>
              <w:pStyle w:val="TableContents"/>
              <w:spacing w:before="0" w:after="283"/>
              <w:rPr/>
            </w:pPr>
            <w:r>
              <w:rPr/>
              <w:t> </w:t>
            </w:r>
            <w:hyperlink w:anchor="h43224exv32w1.htm">
              <w:r>
                <w:rPr>
                  <w:rStyle w:val="InternetLink"/>
                  <w:sz w:val="20"/>
                </w:rPr>
                <w:t>Certification of PEO Pursuant to Section 1350</w:t>
              </w:r>
            </w:hyperlink>
          </w:p>
        </w:tc>
      </w:tr>
      <w:tr>
        <w:trPr/>
        <w:tc>
          <w:tcPr>
            <w:tcW w:w="10205" w:type="dxa"/>
            <w:gridSpan w:val="9"/>
            <w:tcBorders/>
            <w:shd w:fill="FFFFFF" w:val="clear"/>
            <w:vAlign w:val="center"/>
          </w:tcPr>
          <w:p>
            <w:pPr>
              <w:pStyle w:val="TableContents"/>
              <w:spacing w:before="0" w:after="283"/>
              <w:rPr/>
            </w:pPr>
            <w:r>
              <w:rPr/>
              <w:t> </w:t>
            </w:r>
            <w:hyperlink w:anchor="h43224exv32w2.htm">
              <w:r>
                <w:rPr>
                  <w:rStyle w:val="InternetLink"/>
                  <w:sz w:val="20"/>
                </w:rPr>
                <w:t>Certification of PFO Pursuant to Section 1350</w:t>
              </w:r>
            </w:hyperlink>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failure to successfully integrate the business operations of Pacific Energy Partners L.P. (Pacific) or our failure to successfully integrate any future acquisitions;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failure to realize the anticipated cost savings, synergies and other benefits of the merger with Pacific;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elsewhere in this document, or factors that are unknown or unpredictable, could also have a material adverse effect on future results. Please read Risks Related to Our Business discussed in Item 1A. Risk Factors. Except as required by applicable securities laws, we do not intend to update these forward-looking statements and information.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 I</w:t>
      </w:r>
      <w:r>
        <w:rPr>
          <w:rFonts w:ascii="Arial;Helvetica" w:hAnsi="Arial;Helvetica"/>
          <w:color w:val="000000"/>
          <w:sz w:val="17"/>
          <w:highlight w:val="white"/>
        </w:rPr>
        <w:t xml:space="preserve"> </w:t>
      </w:r>
    </w:p>
    <w:p>
      <w:pPr>
        <w:pStyle w:val="TextBody"/>
        <w:spacing w:before="240" w:after="283"/>
        <w:rPr/>
      </w:pPr>
      <w:bookmarkStart w:id="4" w:name="102"/>
      <w:bookmarkEnd w:id="4"/>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Items 1 and 2.  </w:t>
      </w:r>
      <w:r>
        <w:rPr>
          <w:rFonts w:ascii="Times New Roman;Times" w:hAnsi="Times New Roman;Times"/>
          <w:b/>
          <w:i/>
          <w:color w:val="000000"/>
          <w:sz w:val="17"/>
          <w:highlight w:val="white"/>
        </w:rPr>
        <w:t>Business and Properties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Delaware limited partnership formed in September 1998. Our operations are conducted directly and indirectly through our primary operating subsidiaries. As used in this Form 10-K, the terms Partnership, Plains, we, us, our, ours and similar terms refer to Plains All American Pipeline, L.P. and its subsidiaries, unless the context indicates otherwise.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our 50% equity ownership in PAA/Vulcan Gas Storage, LLC (PAA/Vulcan), we develop and operate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the fourth quarter of 2006, we managed our operations through two segments. Due to our growth, especially in the facilities portion of our business (most notably in conjunction with the Pacific acquisition), we have revised the manner in which we internally evaluate our segment performance and decide how to allocate resources to our segments. As a result, we now manage our operations through three operating segments: (i) Transportation, (ii) Facilities, and (iii) Marketing.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Transportation</w:t>
      </w:r>
      <w:r>
        <w:rPr>
          <w:rFonts w:ascii="Times New Roman;Times" w:hAnsi="Times New Roman;Times"/>
          <w:color w:val="000000"/>
          <w:sz w:val="17"/>
          <w:highlight w:val="white"/>
        </w:rPr>
        <w:t xml:space="preserve">  Our transportation segment operations generally consist of fee-based activities associated with transporting volumes of crude oil and refined products on pipelines and gathering systems. We generate revenue through a combination of tariffs, third-party leases of pipeline capacity, transportation fees, barrel exchanges and buy/sell arrangements.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employed a variety of owned or leased long-term physical assets throughout the United States and Canada in this segment, including approximately: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70"/>
        <w:gridCol w:w="9534"/>
      </w:tblGrid>
      <w:tr>
        <w:trPr/>
        <w:tc>
          <w:tcPr>
            <w:tcW w:w="40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20,000 miles of active pipelines and gathering systems;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30 million barrels of tank capacity used primarily to facilitate pipeline throughput; and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57 transport and storage barges and 30 transport tugs through our 50% interest in Settoon Towing, LLC (Settoon Towing).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include in this segment our equity earnings from our investments in the Butte Pipe Line Company (Butte) and Frontier Pipeline Company (Frontier) pipeline systems, in which we own minority interests, and Settoon Towing, in which we own a 50%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Facilities</w:t>
      </w:r>
      <w:r>
        <w:rPr>
          <w:rFonts w:ascii="Times New Roman;Times" w:hAnsi="Times New Roman;Times"/>
          <w:color w:val="000000"/>
          <w:sz w:val="17"/>
          <w:highlight w:val="white"/>
        </w:rPr>
        <w:t xml:space="preserve"> 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owned and employed a variety of long-term physical assets throughout the United States and Canada in this segment,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9"/>
        <w:gridCol w:w="9536"/>
      </w:tblGrid>
      <w:tr>
        <w:trPr/>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approximately 30 million barrels of active, above-ground terminalling and storage facilities;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approximately 1.3 million barrels of active, underground terminalling and storage facilities; and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fractionation plant in Canada with a processing capacity of 4,400 barrels per day, and a fractionation and isomerization facility in California with an aggregate processing capacity of 22,000 barrels per day.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year-end 2006, we were in the process of constructing approximately 12.5 million barrels of additional above-ground terminalling and storage facilities, the majority of which we expect to place in service during 2007.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facilities segment also includes our equity earnings from our investment in PAA/Vulcan. At December 31, 2006, PAA/Vulcan owned and operated approximately 25.7 billion cubic feet of underground storage capacity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is constructing an additional 24 billion cubic feet of underground storage capacity, which is expected to be placed in service in stages over the next three years.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Marketing</w:t>
      </w:r>
      <w:r>
        <w:rPr>
          <w:rFonts w:ascii="Times New Roman;Times" w:hAnsi="Times New Roman;Times"/>
          <w:color w:val="000000"/>
          <w:sz w:val="17"/>
          <w:highlight w:val="white"/>
        </w:rPr>
        <w:t xml:space="preserve">  Our marketing segment operations generally consist of the following merchant activities: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purchase of U.S. and Canadian crude oil at the wellhead and the bulk purchase of crude oil at pipeline and terminal facilities, as well as the purchase of foreign cargoes at their load port and various other locations in transit;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storage of inventory during contango market conditions;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purchase of refined products and LPG from producers, refiners and other marketers;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resale or exchange of crude oil, refined products and LPG at various points along the distribution chain to refiners or other resellers to maximize profits;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arranging for the transportation of crude oil, refined products and LPG on trucks, barges, railcars, pipelines and ocean-going vessels to our terminals and third-party terminals.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marketing activities are designed to produce a stable baseline of results in a variety of market conditions, while at the same time providing upside exposure to opportunities inherent in volatile market conditions. These activities utilize storage facilities at major interchange and terminalling locations and various hedging strategies to reduce the negative impact of market volatility and provide counter-cyclical balance.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for pre-defined inventory positions, our policy is generally to purchase only product for which we have a market, to structure our sales contracts so that price fluctuations do not materially affect the segment profit we receive, and not to acquire and hold physical inventory, futures contracts or other derivative products for the purpose of speculating on commodity price changes.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substantial working inventories and working capital associated with its merchant activities, the marketing segment also employs significant volumes of crude oil and LPG as linefill or minimum inventory requirements under service arrangements with transportation carriers and terminalling providers. The marketing segment also employs trucks, trailers, barges, railcars and leased storage.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the marketing segment owned crude oil and LPG classified as long-term assets and a variety of owned or leased long-term physical assets throughout the United States and Canada, including approximately: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7.9 million barrels of crude oil and LPG linefill in pipelines owned by the Partnership;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1.5 million barrels of crude oil and LPG linefill in pipelines owned by third parties;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500 trucks and 600 trailers;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1,300 railcars.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its operations, the marketing segment secures transportation and facilities services from the Partnerships other two segments as well as third-party service providers under month-to-month and multi-year arrangements. Inter-segment transportation service rates are based on posted tariffs for pipeline transportation services. Facilities segment services are also obtained at rates consistent with rates charged to third parties for similar services; however, certain terminalling and storage rates are discounted to our marketing segment to reflect the fact that these services may be canceled on short notice to enable the facilities segment to provide services to third 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Counter-Cyclical Balance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Access to storage tankage by our marketing segment provides a counter-cyclical balance that has a stabilizing effect on our operations and cash flow associated with this segment. The strategic use of our terminalling and storage assets in conjunction with our marketing operations generally provides us with the flexibility to maintain a base level of margin irrespective of crude oil market conditions and, in certain circumstances, to realize incremental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margin during volatile market conditions. See  Crude Oil Volatility; Counter-Cyclical Balance; Risk Management</w:t>
      </w:r>
      <w:r>
        <w:rPr>
          <w:rFonts w:ascii="Times New Roman;Times" w:hAnsi="Times New Roman;Times"/>
          <w:i/>
          <w:color w:val="000000"/>
          <w:sz w:val="17"/>
          <w:highlight w:val="white"/>
        </w:rPr>
        <w: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Business Strategy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principal business strategy is to provide competitive and efficient midstream transportation, terminalling, storage and marketing services to our producer, refiner and other customers, and to address the regional supply and demand imbalances for crude oil, refined products and LPG that exist in the United States and Canada by combining the strategic location and distinctive capabilities of our transportation, terminalling and storage assets with our extensive marketing and distribution expertise. We believe successful execution of this strategy will enable us to generate sustainable earnings and cash flow. We intend to grow our business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optimizing our existing assets and realizing cost efficiencies through operational improvements;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developing and implementing internal growth projects that (i) address evolving crude oil, refined product and LPG needs in the midstream transportation and infrastructure sector and (ii) are well positioned to benefit from long-term industry trends and opportunities;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utilizing our assets along the Gulf, West and East Coasts along with our Cushing Terminal and leased assets to increase our presence in the waterborne importation of foreign crude oil;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establishing a presence in the refined product supply and marketing sector;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selectively pursuing strategic and accretive acquisitions of crude oil, refined product and LPG transportation, terminalling, storage and marketing assets that complement our existing asset base and distribution capabilities;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using our terminalling and storage assets in conjunction with our marketing activities to address physical market imbalances, mitigate inherent risks and increase margin.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PAA/Vulcans natural gas storage assets are also well-positioned to benefit from long-term industry trends and opportunities. Our natural gas storage growth strategies are to develop and implement internal growth projects and to selectively pursue strategic and accretive natural gas storage projects and facilities. We also intend to prudently and economically leverage our asset base, knowledge base and skill sets to participate in other energy-related businesses that have characteristics and opportunities similar to, or that otherwise complement, our existing activities.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Financial Strategy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Targeted Credit Profile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a major factor in our continued success is our ability to maintain a competitive cost of capital and access to the capital markets. We intend to maintain a credit profile that we believe is consistent with an investment grade credit rating. We have targeted a general credit profile with the following attributes: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2"/>
        <w:gridCol w:w="9545"/>
      </w:tblGrid>
      <w:tr>
        <w:trPr/>
        <w:tc>
          <w:tcPr>
            <w:tcW w:w="3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5"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an average long-term debt-to-total capitalization ratio of approximately 50%;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an average long-term debt-to-EBITDA multiple of approximately 3.5x or less (EBITDA is earnings before interest, taxes, depreciation and amortization); and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an average EBITDA-to-interest coverage multiple of approximately 3.3x or better.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first two of these three metrics include long-term debt as a critical measure. In certain market conditions, we also incur short-term debt in connection with marketing activities that involve the simultaneous purchase and forward sale of crude oil. The crude oil purchased in these transactions is hedged, is required to be stored on a month-to-month basis and is sold to high-credit quality counterparties. We do not consider the working capital borrowings associated with this activity to be part of our long-term capital structure. These borrowings are self-liquidating as they are repaid with sales proceeds following delivery of the crude oil. We also anticipate performing similar activities for refined products as we expand our presence in the refined products supply and marketing sector.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for us to maintain our targeted credit profile and achieve growth through internal growth projects and acquisitions, we intend to fund at least 50% of the capital requirements associated with these activities with equity and cash flow in excess of distributions. From time to time, we may be outside the parameters of our targeted credit profile as, in certain cases, these capital expenditures and acquisitions may be financed initially using debt or there may be delays in realizing anticipated synergies from acquisitions or contributions to adjusted EBITDA from capital expansion projects. In this instance, adjusted EBITDA means earnings before interest, tax, depreciation, amortization, Long-Term Incentive Plan charges and gains and losses attributable to Statement of Financial Accounting Standards No. 133 Accounting for Derivative Instruments and Hedging Activities, as amended (SFAS 133). At December 31, 2006, we were above our targeted parameter for the long-term debt-to-EBITDA ratio (due primarily to the closing of the Pacific acquisition in November 2006) and within the parameters of the other credit metrics. Based on our December 31, 2006 long-term debt balance and the midpoint of our adjusted EBITDA guidance for 2007 furnished in a Form 8-K dated February 22, 2007, our long-term debt-to-adjusted-EBITDA multiple would be 3.8.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Credit Rating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February 2007, our senior unsecured ratings with Standard &amp; Poors and Moodys Investment Services were BBB- negative outlook and Baa3 stable outlook, respectively, both of which are considered investment grade. We have targeted the attainment of even stronger investment grade ratings of mid to high-BBB and Baa categories for Standard &amp; Poors and Moodys Investment Services, respectively. We cannot give assurance that our current ratings will remain in effect for any given period of time, that we will be able to attain the higher ratings we have targeted or that one or both of these ratings will not be lowered or withdrawn entirely by the ratings agency. Note that a credit rating is not a recommendation to buy, sell or hold securities, and may be revised or withdrawn at any time.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Competitive Strengths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the following competitive strengths position us successfully to execute our principal business strategy: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4"/>
        <w:gridCol w:w="9543"/>
      </w:tblGrid>
      <w:tr>
        <w:trPr/>
        <w:tc>
          <w:tcPr>
            <w:tcW w:w="3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43"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43" w:type="dxa"/>
            <w:tcBorders/>
            <w:shd w:fill="FFFFFF" w:val="clear"/>
          </w:tcPr>
          <w:p>
            <w:pPr>
              <w:pStyle w:val="TableContents"/>
              <w:spacing w:before="0" w:after="283"/>
              <w:jc w:val="left"/>
              <w:rPr/>
            </w:pPr>
            <w:r>
              <w:rPr>
                <w:b/>
                <w:i/>
              </w:rPr>
              <w:t>Many of our transportation segment and facilities segment assets are strategically located and operationally flexible and have additional capacity or expansion capability.</w:t>
            </w:r>
            <w:r>
              <w:rPr/>
              <w:t xml:space="preserve">  The 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43" w:type="dxa"/>
            <w:tcBorders/>
            <w:shd w:fill="FFFFFF" w:val="clear"/>
          </w:tcPr>
          <w:p>
            <w:pPr>
              <w:pStyle w:val="TableContents"/>
              <w:spacing w:before="0" w:after="283"/>
              <w:jc w:val="left"/>
              <w:rPr/>
            </w:pPr>
            <w:r>
              <w:rPr>
                <w:b/>
                <w:i/>
              </w:rPr>
              <w:t>We possess specialized crude oil market knowledge.</w:t>
            </w:r>
            <w:r>
              <w:rPr/>
              <w:t xml:space="preserve">  We believe our business relationships with participants in various phases of the crude oil distribution chain, from crude oil producers to refiners, as well as our own industry expertise, provide us with an extensive understanding of the North American physical crude oil markets.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43" w:type="dxa"/>
            <w:tcBorders/>
            <w:shd w:fill="FFFFFF" w:val="clear"/>
          </w:tcPr>
          <w:p>
            <w:pPr>
              <w:pStyle w:val="TableContents"/>
              <w:spacing w:before="0" w:after="283"/>
              <w:jc w:val="left"/>
              <w:rPr/>
            </w:pPr>
            <w:r>
              <w:rPr>
                <w:b/>
                <w:i/>
              </w:rPr>
              <w:t>Our business activities are counter-cyclically balanced.</w:t>
            </w:r>
            <w:r>
              <w:rPr/>
              <w:t xml:space="preserve">  We believe the balance of activities provided by our marketing segment provides us with a counter-cyclical balance that generally affords us the flexibility (i) to maintain a base level of margin irrespective of crude oil market conditions and (ii), in certain circumstances, to realize incremental margin during volatile market conditions.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43" w:type="dxa"/>
            <w:tcBorders/>
            <w:shd w:fill="FFFFFF" w:val="clear"/>
          </w:tcPr>
          <w:p>
            <w:pPr>
              <w:pStyle w:val="TableContents"/>
              <w:spacing w:before="0" w:after="283"/>
              <w:jc w:val="left"/>
              <w:rPr/>
            </w:pPr>
            <w:r>
              <w:rPr>
                <w:b/>
                <w:i/>
              </w:rPr>
              <w:t>We have the evaluation, integration and engineering skill sets and the financial flexibility to continue to pursue acquisition and expansion opportunities.</w:t>
            </w:r>
            <w:r>
              <w:rPr/>
              <w:t xml:space="preserve">  Over the past nine years, we have completed and integrated approximately 45 acquisitions with an aggregate purchase price of approximately $5.1 billion ($2.6 billion excluding the Pacific acquisition, for which we are still in the process of integrating). We have also implemented internal expansion capital projects totaling over $700 million. In addition, we believe we have significant resources to finance future strategic expansion and acquisition opportunities. As of December 31, 2006, we had approximately $1.3 billion available under our committed credit facilities, subject to continued covenant compliance. We believe we have one of the strongest capital structures relative to other master limited partnerships with capitalizations greater than $1.0 billion. In addition, the investors in our general partner are diverse and financially strong and have demonstrated their support by providing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4"/>
        <w:gridCol w:w="202"/>
        <w:gridCol w:w="9599"/>
      </w:tblGrid>
      <w:tr>
        <w:trPr/>
        <w:tc>
          <w:tcPr>
            <w:tcW w:w="4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59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sz w:val="4"/>
                <w:szCs w:val="4"/>
              </w:rPr>
            </w:pPr>
            <w:r>
              <w:rPr>
                <w:sz w:val="4"/>
                <w:szCs w:val="4"/>
              </w:rPr>
            </w:r>
          </w:p>
        </w:tc>
        <w:tc>
          <w:tcPr>
            <w:tcW w:w="9599" w:type="dxa"/>
            <w:tcBorders/>
            <w:shd w:fill="FFFFFF" w:val="clear"/>
          </w:tcPr>
          <w:p>
            <w:pPr>
              <w:pStyle w:val="TableContents"/>
              <w:spacing w:before="0" w:after="283"/>
              <w:jc w:val="left"/>
              <w:rPr/>
            </w:pPr>
            <w:r>
              <w:rPr/>
              <w:t xml:space="preserve">capital to help finance previous acquisitions and expansion activities. We believe they are supportive long-term sponsors of the partnership.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65"/>
        <w:gridCol w:w="9539"/>
      </w:tblGrid>
      <w:tr>
        <w:trPr/>
        <w:tc>
          <w:tcPr>
            <w:tcW w:w="40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b/>
                <w:i/>
              </w:rPr>
              <w:t>We have an experienced management team whose interests are aligned with those of our unitholders.</w:t>
            </w:r>
            <w:r>
              <w:rPr/>
              <w:t xml:space="preserve">  Our executive management team has an average of more than 20 years industry experience, with an average of more than 15 years with us or our predecessors and affiliates. Certain members of our senior management team own an approximate 5% interest in our general partner and collectively own approximately 850,000 common units, including fully vested options. In addition, through grants of phantom units, the senior management team also owns significant contingent equity incentives that generally vest upon achievement of performance objectives, continued service or both. These interests give management a vested interest in our continued success.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many of these competitive strengths have similar application to our efforts to expand our presence in the refined products, LPG and natural gas storage sectors.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Organizational History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were formed as a master limited partnership in September 1998 to acquire and operate the midstream crude oil businesses and assets of a predecessor entity. We completed our initial public offering in November 1998. Since June 2001, our 2% general partner interest has been held by Plains AAP, L.P., a Delaware limited partnership. Plains All American GP LLC, a Delaware limited liability company, is Plains AAP, L.P.s general partner. Unless the context otherwise requires, we use the term general partner to refer to both Plains AAP, L.P. and Plains All American GP LLC. Plains AAP, L.P. and Plains All American GP LLC are essentially held by seven owners. See Item 12. Security Ownership of Certain Beneficial Owners and Management and Related Unitholder Matters  Beneficial Ownership of General Partner Interest.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Structure and Management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are conducted through, and our operating assets are owned by, our subsidiaries. Our general partner, Plains AAP, L.P., is managed by its general partner, Plains All American GP LLC, which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chart on the next page depicts the current structure and ownership of Plains All American Pipeline, L.P. and certain subsidiaries.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Partnership Structure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color w:val="000000"/>
          <w:highlight w:val="white"/>
        </w:rPr>
      </w:pPr>
      <w:r>
        <w:rPr>
          <w:color w:val="000000"/>
          <w:highlight w:val="white"/>
        </w:rPr>
        <w:drawing>
          <wp:inline distT="0" distB="0" distL="0" distR="0">
            <wp:extent cx="6115050" cy="5695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15050" cy="5695950"/>
                    </a:xfrm>
                    <a:prstGeom prst="rect">
                      <a:avLst/>
                    </a:prstGeom>
                  </pic:spPr>
                </pic:pic>
              </a:graphicData>
            </a:graphic>
          </wp:inline>
        </w:drawing>
      </w:r>
      <w:r>
        <w:rPr>
          <w:color w:val="000000"/>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rPr/>
            </w:pPr>
            <w:r>
              <w:rPr/>
              <w:t>(1) </w:t>
            </w:r>
          </w:p>
        </w:tc>
        <w:tc>
          <w:tcPr>
            <w:tcW w:w="9900" w:type="dxa"/>
            <w:tcBorders/>
            <w:shd w:fill="FFFFFF" w:val="clear"/>
          </w:tcPr>
          <w:p>
            <w:pPr>
              <w:pStyle w:val="TableContents"/>
              <w:spacing w:before="0" w:after="283"/>
              <w:jc w:val="left"/>
              <w:rPr/>
            </w:pPr>
            <w:r>
              <w:rPr/>
              <w:t xml:space="preserve">Based on Form 4 filings for executive officers and directors, 13D filings for Paul G. Allen and Richard Kayne and other information believed to be reliable for the remaining investors, this group, or affiliates of such investors, owns approximately 26 million limited partner units, representing approximately 23.5% of the limited partner interest.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Acquisitions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acquisition of assets and businesses that are strategic and complementary to our existing operations constitutes an integral component of our business strategy and growth objective. Such assets and businesses include crude oil related assets, refined products assets and LPG assets, as well as other energy transportation related assets that have characteristics and opportunities similar to these business lines and enable us to leverage our asset base, knowledge base and skill sets. We have established a target to complete, on average, $200 million to $300 million in acquisitions per year, subject to availability of attractive assets on acceptable terms. Between 1998 and December 31, 2006, we have completed approximately 45 acquisitions for a cumulative purchase price of approximately $5.1 billion.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acquisitions greater than $50 million that we have completed over the past five years: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19"/>
        <w:gridCol w:w="134"/>
        <w:gridCol w:w="1648"/>
        <w:gridCol w:w="174"/>
        <w:gridCol w:w="3345"/>
        <w:gridCol w:w="174"/>
        <w:gridCol w:w="393"/>
        <w:gridCol w:w="1458"/>
        <w:gridCol w:w="360"/>
      </w:tblGrid>
      <w:tr>
        <w:trPr/>
        <w:tc>
          <w:tcPr>
            <w:tcW w:w="251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1648"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3345"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393" w:type="dxa"/>
            <w:tcBorders/>
            <w:shd w:fill="FFFFFF" w:val="clear"/>
            <w:vAlign w:val="bottom"/>
          </w:tcPr>
          <w:p>
            <w:pPr>
              <w:pStyle w:val="TableContents"/>
              <w:spacing w:before="0" w:after="283"/>
              <w:jc w:val="right"/>
              <w:rPr/>
            </w:pPr>
            <w:r>
              <w:rPr/>
              <w:t> </w:t>
            </w:r>
          </w:p>
        </w:tc>
        <w:tc>
          <w:tcPr>
            <w:tcW w:w="1458" w:type="dxa"/>
            <w:tcBorders/>
            <w:shd w:fill="FFFFFF" w:val="clear"/>
            <w:vAlign w:val="bottom"/>
          </w:tcPr>
          <w:p>
            <w:pPr>
              <w:pStyle w:val="TableContents"/>
              <w:spacing w:before="0" w:after="283"/>
              <w:jc w:val="right"/>
              <w:rPr/>
            </w:pPr>
            <w:r>
              <w:rPr/>
              <w:t> </w:t>
            </w:r>
          </w:p>
        </w:tc>
        <w:tc>
          <w:tcPr>
            <w:tcW w:w="360" w:type="dxa"/>
            <w:tcBorders/>
            <w:shd w:fill="FFFFFF" w:val="clear"/>
            <w:vAlign w:val="bottom"/>
          </w:tcPr>
          <w:p>
            <w:pPr>
              <w:pStyle w:val="TableContents"/>
              <w:spacing w:before="0" w:after="283"/>
              <w:jc w:val="left"/>
              <w:rPr/>
            </w:pPr>
            <w:r>
              <w:rPr/>
              <w:t> </w:t>
            </w:r>
          </w:p>
        </w:tc>
      </w:tr>
      <w:tr>
        <w:trPr/>
        <w:tc>
          <w:tcPr>
            <w:tcW w:w="2519"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64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345"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851" w:type="dxa"/>
            <w:gridSpan w:val="2"/>
            <w:tcBorders/>
            <w:shd w:fill="FFFFFF" w:val="clear"/>
            <w:vAlign w:val="bottom"/>
          </w:tcPr>
          <w:p>
            <w:pPr>
              <w:pStyle w:val="TableContents"/>
              <w:spacing w:before="0" w:after="283"/>
              <w:jc w:val="center"/>
              <w:rPr>
                <w:b/>
              </w:rPr>
            </w:pPr>
            <w:r>
              <w:rPr>
                <w:b/>
              </w:rPr>
              <w:t>Approximate</w:t>
            </w:r>
          </w:p>
        </w:tc>
        <w:tc>
          <w:tcPr>
            <w:tcW w:w="360" w:type="dxa"/>
            <w:tcBorders/>
            <w:shd w:fill="FFFFFF" w:val="clear"/>
            <w:vAlign w:val="bottom"/>
          </w:tcPr>
          <w:p>
            <w:pPr>
              <w:pStyle w:val="TableContents"/>
              <w:spacing w:before="0" w:after="283"/>
              <w:jc w:val="center"/>
              <w:rPr/>
            </w:pPr>
            <w:r>
              <w:rPr/>
              <w:t xml:space="preserve">  </w:t>
            </w:r>
          </w:p>
        </w:tc>
      </w:tr>
      <w:tr>
        <w:trPr/>
        <w:tc>
          <w:tcPr>
            <w:tcW w:w="2519" w:type="dxa"/>
            <w:tcBorders/>
            <w:shd w:fill="FFFFFF" w:val="clear"/>
            <w:vAlign w:val="bottom"/>
          </w:tcPr>
          <w:p>
            <w:pPr>
              <w:pStyle w:val="TableContents"/>
              <w:spacing w:before="0" w:after="0"/>
              <w:jc w:val="left"/>
              <w:rPr>
                <w:bdr w:val="single" w:sz="2" w:space="1" w:color="000000"/>
              </w:rPr>
            </w:pPr>
            <w:r>
              <w:rPr>
                <w:b/>
                <w:bdr w:val="single" w:sz="2" w:space="1" w:color="000000"/>
              </w:rPr>
              <w:t>Acquisition</w:t>
            </w:r>
            <w:r>
              <w:rPr>
                <w:bdr w:val="single" w:sz="2" w:space="1" w:color="000000"/>
              </w:rPr>
              <w:t xml:space="preserve"> </w:t>
            </w:r>
          </w:p>
        </w:tc>
        <w:tc>
          <w:tcPr>
            <w:tcW w:w="134" w:type="dxa"/>
            <w:tcBorders/>
            <w:shd w:fill="FFFFFF" w:val="clear"/>
            <w:vAlign w:val="bottom"/>
          </w:tcPr>
          <w:p>
            <w:pPr>
              <w:pStyle w:val="TableContents"/>
              <w:spacing w:before="0" w:after="283"/>
              <w:jc w:val="center"/>
              <w:rPr/>
            </w:pPr>
            <w:r>
              <w:rPr/>
              <w:t xml:space="preserve">  </w:t>
            </w:r>
          </w:p>
        </w:tc>
        <w:tc>
          <w:tcPr>
            <w:tcW w:w="1648"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c>
          <w:tcPr>
            <w:tcW w:w="174" w:type="dxa"/>
            <w:tcBorders/>
            <w:shd w:fill="FFFFFF" w:val="clear"/>
            <w:vAlign w:val="bottom"/>
          </w:tcPr>
          <w:p>
            <w:pPr>
              <w:pStyle w:val="TableContents"/>
              <w:spacing w:before="0" w:after="283"/>
              <w:jc w:val="center"/>
              <w:rPr/>
            </w:pPr>
            <w:r>
              <w:rPr/>
              <w:t xml:space="preserve">  </w:t>
            </w:r>
          </w:p>
        </w:tc>
        <w:tc>
          <w:tcPr>
            <w:tcW w:w="3345" w:type="dxa"/>
            <w:tcBorders/>
            <w:shd w:fill="FFFFFF" w:val="clear"/>
            <w:vAlign w:val="bottom"/>
          </w:tcPr>
          <w:p>
            <w:pPr>
              <w:pStyle w:val="TableContents"/>
              <w:spacing w:before="0" w:after="0"/>
              <w:jc w:val="center"/>
              <w:rPr>
                <w:bdr w:val="single" w:sz="2" w:space="1" w:color="000000"/>
              </w:rPr>
            </w:pPr>
            <w:r>
              <w:rPr>
                <w:b/>
                <w:bdr w:val="single" w:sz="2" w:space="1" w:color="000000"/>
              </w:rPr>
              <w:t>Description</w:t>
            </w:r>
            <w:r>
              <w:rPr>
                <w:bdr w:val="single" w:sz="2" w:space="1" w:color="000000"/>
              </w:rPr>
              <w:t xml:space="preserve"> </w:t>
            </w:r>
          </w:p>
        </w:tc>
        <w:tc>
          <w:tcPr>
            <w:tcW w:w="174" w:type="dxa"/>
            <w:tcBorders/>
            <w:shd w:fill="FFFFFF" w:val="clear"/>
            <w:vAlign w:val="bottom"/>
          </w:tcPr>
          <w:p>
            <w:pPr>
              <w:pStyle w:val="TableContents"/>
              <w:spacing w:before="0" w:after="283"/>
              <w:jc w:val="center"/>
              <w:rPr/>
            </w:pPr>
            <w:r>
              <w:rPr/>
              <w:t xml:space="preserve">  </w:t>
            </w:r>
          </w:p>
        </w:tc>
        <w:tc>
          <w:tcPr>
            <w:tcW w:w="185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Purchase Price</w:t>
            </w:r>
            <w:r>
              <w:rPr/>
              <w:t xml:space="preserve"> </w:t>
            </w:r>
          </w:p>
        </w:tc>
        <w:tc>
          <w:tcPr>
            <w:tcW w:w="360" w:type="dxa"/>
            <w:tcBorders/>
            <w:shd w:fill="FFFFFF" w:val="clear"/>
            <w:vAlign w:val="bottom"/>
          </w:tcPr>
          <w:p>
            <w:pPr>
              <w:pStyle w:val="TableContents"/>
              <w:spacing w:before="0" w:after="283"/>
              <w:jc w:val="center"/>
              <w:rPr/>
            </w:pPr>
            <w:r>
              <w:rPr/>
              <w:t xml:space="preserve">  </w:t>
            </w:r>
          </w:p>
        </w:tc>
      </w:tr>
      <w:tr>
        <w:trPr/>
        <w:tc>
          <w:tcPr>
            <w:tcW w:w="2519"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648"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3345"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851" w:type="dxa"/>
            <w:gridSpan w:val="2"/>
            <w:tcBorders/>
            <w:shd w:fill="FFFFFF" w:val="clear"/>
            <w:vAlign w:val="bottom"/>
          </w:tcPr>
          <w:p>
            <w:pPr>
              <w:pStyle w:val="TableContents"/>
              <w:spacing w:before="0" w:after="283"/>
              <w:jc w:val="center"/>
              <w:rPr/>
            </w:pPr>
            <w:r>
              <w:rPr>
                <w:b/>
              </w:rPr>
              <w:t>(In millions)</w:t>
            </w:r>
            <w:r>
              <w:rPr/>
              <w:t xml:space="preserve"> </w:t>
            </w:r>
          </w:p>
        </w:tc>
        <w:tc>
          <w:tcPr>
            <w:tcW w:w="360" w:type="dxa"/>
            <w:tcBorders/>
            <w:shd w:fill="FFFFFF" w:val="clear"/>
            <w:vAlign w:val="bottom"/>
          </w:tcPr>
          <w:p>
            <w:pPr>
              <w:pStyle w:val="TableContents"/>
              <w:spacing w:before="0" w:after="283"/>
              <w:jc w:val="center"/>
              <w:rPr/>
            </w:pPr>
            <w:r>
              <w:rPr/>
              <w:t xml:space="preserve">  </w:t>
            </w:r>
          </w:p>
        </w:tc>
      </w:tr>
      <w:tr>
        <w:trPr/>
        <w:tc>
          <w:tcPr>
            <w:tcW w:w="2519" w:type="dxa"/>
            <w:tcBorders/>
            <w:shd w:fill="FFFFFF" w:val="clear"/>
            <w:vAlign w:val="center"/>
          </w:tcPr>
          <w:p>
            <w:pPr>
              <w:pStyle w:val="TableContents"/>
              <w:spacing w:before="0" w:after="283"/>
              <w:rPr/>
            </w:pPr>
            <w:r>
              <w:rPr/>
              <w:t xml:space="preserve">  </w:t>
            </w:r>
          </w:p>
        </w:tc>
        <w:tc>
          <w:tcPr>
            <w:tcW w:w="7686" w:type="dxa"/>
            <w:gridSpan w:val="8"/>
            <w:tcBorders/>
            <w:shd w:fill="FFFFFF" w:val="clear"/>
          </w:tcPr>
          <w:p>
            <w:pPr>
              <w:pStyle w:val="TableContents"/>
              <w:spacing w:before="0" w:after="283"/>
              <w:rPr>
                <w:sz w:val="4"/>
                <w:szCs w:val="4"/>
              </w:rPr>
            </w:pPr>
            <w:r>
              <w:rPr>
                <w:sz w:val="4"/>
                <w:szCs w:val="4"/>
              </w:rPr>
            </w:r>
          </w:p>
        </w:tc>
      </w:tr>
      <w:tr>
        <w:trPr/>
        <w:tc>
          <w:tcPr>
            <w:tcW w:w="2519" w:type="dxa"/>
            <w:tcBorders/>
            <w:shd w:fill="FFFFFF" w:val="clear"/>
          </w:tcPr>
          <w:p>
            <w:pPr>
              <w:pStyle w:val="TableContents"/>
              <w:spacing w:before="0" w:after="0"/>
              <w:ind w:left="200" w:right="0" w:hanging="200"/>
              <w:jc w:val="left"/>
              <w:rPr>
                <w:sz w:val="17"/>
              </w:rPr>
            </w:pPr>
            <w:r>
              <w:rPr>
                <w:sz w:val="17"/>
              </w:rPr>
              <w:t xml:space="preserve">Pacific Energy Partners LP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November 2006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Merger of Pacific Energy Partners with and into the Partnership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2,456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Products Pipeline System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September 2006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Three refined products pipeline systems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66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Crude Oil Systems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July 2006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64.35% interest in the Clovelly-to-Meraux Pipeline system; 100% interest in the Bay Marchand-to-Ostrica-to-Alliance system and various interests in the High Island Pipeline System (2)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130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Andrews Petroleum and Lone Star Trucking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April 2006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Isomerization, fractionation, marketing and transportation services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220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South Louisiana Gathering and Transportation Assets (SemCrude)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April 2006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Crude oil gathering and transportation assets, including inventory, and related contracts in South Louisiana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129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Investment in Natural Gas Storage Facilities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September 2005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Joint venture with Vulcan Gas Storage LLC to develop and operate natural gas storage facilities.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125 </w:t>
            </w:r>
          </w:p>
        </w:tc>
        <w:tc>
          <w:tcPr>
            <w:tcW w:w="360" w:type="dxa"/>
            <w:tcBorders/>
            <w:shd w:fill="FFFFFF" w:val="clear"/>
            <w:vAlign w:val="bottom"/>
          </w:tcPr>
          <w:p>
            <w:pPr>
              <w:pStyle w:val="TableContents"/>
              <w:spacing w:before="0" w:after="283"/>
              <w:jc w:val="left"/>
              <w:rPr/>
            </w:pPr>
            <w:r>
              <w:rPr/>
              <w:t xml:space="preserve">(1) </w:t>
            </w:r>
          </w:p>
        </w:tc>
      </w:tr>
      <w:tr>
        <w:trPr/>
        <w:tc>
          <w:tcPr>
            <w:tcW w:w="2519" w:type="dxa"/>
            <w:tcBorders/>
            <w:shd w:fill="FFFFFF" w:val="clear"/>
          </w:tcPr>
          <w:p>
            <w:pPr>
              <w:pStyle w:val="TableContents"/>
              <w:spacing w:before="0" w:after="0"/>
              <w:ind w:left="200" w:right="0" w:hanging="200"/>
              <w:jc w:val="left"/>
              <w:rPr>
                <w:sz w:val="17"/>
              </w:rPr>
            </w:pPr>
            <w:r>
              <w:rPr>
                <w:sz w:val="17"/>
              </w:rPr>
              <w:t xml:space="preserve">Link Energy LLC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April 2004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The North American crude oil and pipeline operations of Link Energy, LLC (Link)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332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Capline and Capwood Pipeline Systems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March 2004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An approximate 22% undivided joint interest in the Capline Pipeline System and an approximate 76% undivided joint interest in the Capwood Pipeline System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159 </w:t>
            </w:r>
          </w:p>
        </w:tc>
        <w:tc>
          <w:tcPr>
            <w:tcW w:w="360" w:type="dxa"/>
            <w:tcBorders/>
            <w:shd w:fill="FFFFFF" w:val="clear"/>
            <w:vAlign w:val="bottom"/>
          </w:tcPr>
          <w:p>
            <w:pPr>
              <w:pStyle w:val="TableContents"/>
              <w:spacing w:before="0" w:after="283"/>
              <w:jc w:val="left"/>
              <w:rPr/>
            </w:pPr>
            <w:r>
              <w:rPr/>
              <w:t xml:space="preserve">  </w:t>
            </w:r>
          </w:p>
        </w:tc>
      </w:tr>
      <w:tr>
        <w:trPr/>
        <w:tc>
          <w:tcPr>
            <w:tcW w:w="2519" w:type="dxa"/>
            <w:tcBorders/>
            <w:shd w:fill="FFFFFF" w:val="clear"/>
          </w:tcPr>
          <w:p>
            <w:pPr>
              <w:pStyle w:val="TableContents"/>
              <w:spacing w:before="0" w:after="0"/>
              <w:ind w:left="200" w:right="0" w:hanging="200"/>
              <w:jc w:val="left"/>
              <w:rPr>
                <w:sz w:val="17"/>
              </w:rPr>
            </w:pPr>
            <w:r>
              <w:rPr>
                <w:sz w:val="17"/>
              </w:rPr>
              <w:t xml:space="preserve">Shell West Texas Assets </w:t>
            </w:r>
          </w:p>
        </w:tc>
        <w:tc>
          <w:tcPr>
            <w:tcW w:w="134" w:type="dxa"/>
            <w:tcBorders/>
            <w:shd w:fill="FFFFFF" w:val="clear"/>
            <w:vAlign w:val="bottom"/>
          </w:tcPr>
          <w:p>
            <w:pPr>
              <w:pStyle w:val="TableContents"/>
              <w:spacing w:before="0" w:after="283"/>
              <w:rPr/>
            </w:pPr>
            <w:r>
              <w:rPr/>
              <w:t xml:space="preserve">  </w:t>
            </w:r>
          </w:p>
        </w:tc>
        <w:tc>
          <w:tcPr>
            <w:tcW w:w="1648" w:type="dxa"/>
            <w:tcBorders/>
            <w:shd w:fill="FFFFFF" w:val="clear"/>
            <w:vAlign w:val="bottom"/>
          </w:tcPr>
          <w:p>
            <w:pPr>
              <w:pStyle w:val="TableContents"/>
              <w:spacing w:before="0" w:after="283"/>
              <w:jc w:val="left"/>
              <w:rPr>
                <w:sz w:val="17"/>
              </w:rPr>
            </w:pPr>
            <w:r>
              <w:rPr>
                <w:sz w:val="17"/>
              </w:rPr>
              <w:t xml:space="preserve">August 2002 </w:t>
            </w:r>
          </w:p>
        </w:tc>
        <w:tc>
          <w:tcPr>
            <w:tcW w:w="174" w:type="dxa"/>
            <w:tcBorders/>
            <w:shd w:fill="FFFFFF" w:val="clear"/>
            <w:vAlign w:val="bottom"/>
          </w:tcPr>
          <w:p>
            <w:pPr>
              <w:pStyle w:val="TableContents"/>
              <w:spacing w:before="0" w:after="283"/>
              <w:rPr/>
            </w:pPr>
            <w:r>
              <w:rPr/>
              <w:t xml:space="preserve">  </w:t>
            </w:r>
          </w:p>
        </w:tc>
        <w:tc>
          <w:tcPr>
            <w:tcW w:w="3345" w:type="dxa"/>
            <w:tcBorders/>
            <w:shd w:fill="FFFFFF" w:val="clear"/>
            <w:vAlign w:val="bottom"/>
          </w:tcPr>
          <w:p>
            <w:pPr>
              <w:pStyle w:val="TableContents"/>
              <w:spacing w:before="0" w:after="283"/>
              <w:jc w:val="left"/>
              <w:rPr>
                <w:sz w:val="17"/>
              </w:rPr>
            </w:pPr>
            <w:r>
              <w:rPr>
                <w:sz w:val="17"/>
              </w:rPr>
              <w:t xml:space="preserve">Basin Pipeline System, Permian Basin Pipeline System and the Rancho Pipeline System </w:t>
            </w:r>
          </w:p>
        </w:tc>
        <w:tc>
          <w:tcPr>
            <w:tcW w:w="174" w:type="dxa"/>
            <w:tcBorders/>
            <w:shd w:fill="FFFFFF" w:val="clear"/>
            <w:vAlign w:val="bottom"/>
          </w:tcPr>
          <w:p>
            <w:pPr>
              <w:pStyle w:val="TableContents"/>
              <w:spacing w:before="0" w:after="283"/>
              <w:rPr/>
            </w:pPr>
            <w:r>
              <w:rPr/>
              <w:t xml:space="preserve">  </w:t>
            </w:r>
          </w:p>
        </w:tc>
        <w:tc>
          <w:tcPr>
            <w:tcW w:w="393" w:type="dxa"/>
            <w:tcBorders/>
            <w:shd w:fill="FFFFFF" w:val="clear"/>
            <w:vAlign w:val="bottom"/>
          </w:tcPr>
          <w:p>
            <w:pPr>
              <w:pStyle w:val="TableContents"/>
              <w:spacing w:before="0" w:after="283"/>
              <w:jc w:val="left"/>
              <w:rPr/>
            </w:pPr>
            <w:r>
              <w:rPr/>
              <w:t xml:space="preserve">$ </w:t>
            </w:r>
          </w:p>
        </w:tc>
        <w:tc>
          <w:tcPr>
            <w:tcW w:w="1458" w:type="dxa"/>
            <w:tcBorders/>
            <w:shd w:fill="FFFFFF" w:val="clear"/>
            <w:vAlign w:val="bottom"/>
          </w:tcPr>
          <w:p>
            <w:pPr>
              <w:pStyle w:val="TableContents"/>
              <w:spacing w:before="0" w:after="283"/>
              <w:jc w:val="right"/>
              <w:rPr/>
            </w:pPr>
            <w:r>
              <w:rPr/>
              <w:t xml:space="preserve">324 </w:t>
            </w:r>
          </w:p>
        </w:tc>
        <w:tc>
          <w:tcPr>
            <w:tcW w:w="360"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Represents 50% of the purchase price for the acquisition made by our joint venture. The joint venture completed an acquisition for approximately $250 million during 2005.</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Our interest in the High Island Pipeline System was relinquished in November 2006.</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Pacific Energy Acquisition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15, 2006 we completed our acquisition of Pacific pursuant to an Agreement and Plan of Merger dated June 11, 2006. The merger-related transactions included: (i) the acquisition from LB Pacific, LP and its affiliates (LB Pacific) of the general partner interest and incentive distribution rights of Pacific as well as approximately 5.2 million Pacific common units and approximately 5.2 million Pacific subordinated units for a total of $700 million and (ii) the acquisition of the balance of Pacifics equity through a unit-for-unit exchange in which each Pacific unitholder (other than LB Pacific) received 0.77 newly issued Partnership common units for each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common unit. The total value of the transaction was approximately $2.5 billion, including the assumption of debt and estimated transaction costs. Upon completion of the merger-related transactions, the general partner and limited partner ownership interests in Pacific were extinguished and Pacific was merged with and into the Partnership. The assets acquired in the Pacific acquisition included approximately 4,500 miles of active crude oil pipeline and gathering systems and 550 miles of refined products pipelines, over 13 million barrels of active crude oil and 9 million barrels of refined products storage capacity, a fleet of approximately 75 owned or leased trucks and approximately 1.9 million barrels of crude oil and refined products linefill and working inventory. The Pacific assets complement our existing asset base in California, the Rocky Mountains and Canada, with minimal asset overlap but attractive potential vertical integration opportunities. The results of operations and assets and liabilities from this acquisition (the Pacific acquisition) have been included in our consolidated financial statements since November 15, 2006. The purchase price allocation related to the Pacific acquisition is preliminary and subject to change. See Note 3 to our Consolidated Financial Statements.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Other 2006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we completed six additional acquisitions for aggregate consideration of approximately $565 million. These acquisitions included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(SemCrude), (iii) interests in various crude oil pipeline systems in Canada and the U.S. including a 100% interest in the Bay Marchand-to-Ostrica-to-Alliance (BOA) Pipeline, various interests in the High Island Pipeline System (HIPS), and a 64.35% interest in the Clovelly-to-Meraux (CAM) Pipeline system, and (iv) three refined products pipeline systems from Chevron Pipe Line Company.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Ongoing Acquisition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Consistent with our business strategy, we are continuously engaged in discussions with potential sellers regarding the possible purchase by us of assets and operations that are strategic and complementary to our existing operations. Such assets and operations include crude oil related assets, refined products assets, LPG assets and, through our interest in PAA/Vulcan, natural gas storage assets. In addition, we have in the past and intend in the future to evaluate and pursue other energy related assets that have characteristics and opportunities similar to these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Crude Oil Market Overview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assets and our business strategy are designed to service our producer and refiner customers by addressing regional crude oil supply and demand imbalances that exist in the United States and Canada. According to the Energy Information Administration (EIA), during the twelve months ended October 2006, the United States consumed approximately 15.2 million barrels of crude oil per day, while only producing 5.1 million barrels per day. Accordingly, the United States relies on foreign imports for nearly 66% of the crude oil used by U.S. domestic refineries. This imbalance represents a continuing trend. Foreign imports of crude oil into the U.S. have tripled over the last 21 years, increasing from 3.2 million barrels per day in 1985 to 10.2 million barrels per day for the 12 months ended October 2006, as U.S. refinery demand has increased and domestic crude oil production has declined due to natural depletion.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October 2006 and is derived from information published by the EIA (see EIA website at www.eia.doe.gov). </w:t>
      </w:r>
    </w:p>
    <w:p>
      <w:pPr>
        <w:pStyle w:val="TextBody"/>
        <w:spacing w:before="12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6289"/>
        <w:gridCol w:w="123"/>
        <w:gridCol w:w="220"/>
        <w:gridCol w:w="768"/>
        <w:gridCol w:w="137"/>
        <w:gridCol w:w="160"/>
        <w:gridCol w:w="189"/>
        <w:gridCol w:w="824"/>
        <w:gridCol w:w="136"/>
        <w:gridCol w:w="160"/>
        <w:gridCol w:w="174"/>
        <w:gridCol w:w="852"/>
        <w:gridCol w:w="173"/>
      </w:tblGrid>
      <w:tr>
        <w:trPr/>
        <w:tc>
          <w:tcPr>
            <w:tcW w:w="6289"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jc w:val="right"/>
              <w:rPr/>
            </w:pPr>
            <w:r>
              <w:rPr/>
              <w:t> </w:t>
            </w:r>
          </w:p>
        </w:tc>
        <w:tc>
          <w:tcPr>
            <w:tcW w:w="768"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jc w:val="right"/>
              <w:rPr/>
            </w:pPr>
            <w:r>
              <w:rPr/>
              <w:t> </w:t>
            </w:r>
          </w:p>
        </w:tc>
        <w:tc>
          <w:tcPr>
            <w:tcW w:w="824"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jc w:val="right"/>
              <w:rPr/>
            </w:pPr>
            <w:r>
              <w:rPr/>
              <w:t> </w:t>
            </w:r>
          </w:p>
        </w:tc>
        <w:tc>
          <w:tcPr>
            <w:tcW w:w="852"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r>
      <w:tr>
        <w:trPr/>
        <w:tc>
          <w:tcPr>
            <w:tcW w:w="6289" w:type="dxa"/>
            <w:tcBorders/>
            <w:shd w:fill="FFFFFF" w:val="clear"/>
            <w:vAlign w:val="bottom"/>
          </w:tcPr>
          <w:p>
            <w:pPr>
              <w:pStyle w:val="TableContents"/>
              <w:spacing w:before="0" w:after="283"/>
              <w:jc w:val="left"/>
              <w:rPr/>
            </w:pPr>
            <w:r>
              <w:rPr/>
              <w:t xml:space="preserve">  </w:t>
            </w:r>
          </w:p>
        </w:tc>
        <w:tc>
          <w:tcPr>
            <w:tcW w:w="123" w:type="dxa"/>
            <w:tcBorders/>
            <w:shd w:fill="FFFFFF" w:val="clear"/>
            <w:vAlign w:val="bottom"/>
          </w:tcPr>
          <w:p>
            <w:pPr>
              <w:pStyle w:val="TableContents"/>
              <w:spacing w:before="0" w:after="283"/>
              <w:jc w:val="center"/>
              <w:rPr/>
            </w:pPr>
            <w:r>
              <w:rPr/>
              <w:t xml:space="preserve">  </w:t>
            </w:r>
          </w:p>
        </w:tc>
        <w:tc>
          <w:tcPr>
            <w:tcW w:w="988" w:type="dxa"/>
            <w:gridSpan w:val="2"/>
            <w:tcBorders/>
            <w:shd w:fill="FFFFFF" w:val="clear"/>
            <w:vAlign w:val="bottom"/>
          </w:tcPr>
          <w:p>
            <w:pPr>
              <w:pStyle w:val="TableContents"/>
              <w:spacing w:before="0" w:after="283"/>
              <w:jc w:val="center"/>
              <w:rPr>
                <w:b/>
              </w:rPr>
            </w:pPr>
            <w:r>
              <w:rPr>
                <w:b/>
              </w:rPr>
              <w:t>Regional</w:t>
            </w:r>
          </w:p>
        </w:tc>
        <w:tc>
          <w:tcPr>
            <w:tcW w:w="137"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13" w:type="dxa"/>
            <w:gridSpan w:val="2"/>
            <w:tcBorders/>
            <w:shd w:fill="FFFFFF" w:val="clear"/>
            <w:vAlign w:val="bottom"/>
          </w:tcPr>
          <w:p>
            <w:pPr>
              <w:pStyle w:val="TableContents"/>
              <w:spacing w:before="0" w:after="283"/>
              <w:jc w:val="center"/>
              <w:rPr>
                <w:b/>
              </w:rPr>
            </w:pPr>
            <w:r>
              <w:rPr>
                <w:b/>
              </w:rPr>
              <w:t>Refinery</w:t>
            </w:r>
          </w:p>
        </w:tc>
        <w:tc>
          <w:tcPr>
            <w:tcW w:w="13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26" w:type="dxa"/>
            <w:gridSpan w:val="2"/>
            <w:tcBorders/>
            <w:shd w:fill="FFFFFF" w:val="clear"/>
            <w:vAlign w:val="bottom"/>
          </w:tcPr>
          <w:p>
            <w:pPr>
              <w:pStyle w:val="TableContents"/>
              <w:spacing w:before="0" w:after="283"/>
              <w:jc w:val="center"/>
              <w:rPr>
                <w:b/>
              </w:rPr>
            </w:pPr>
            <w:r>
              <w:rPr>
                <w:b/>
              </w:rPr>
              <w:t>Supply</w:t>
            </w:r>
          </w:p>
        </w:tc>
        <w:tc>
          <w:tcPr>
            <w:tcW w:w="173" w:type="dxa"/>
            <w:tcBorders/>
            <w:shd w:fill="FFFFFF" w:val="clear"/>
            <w:vAlign w:val="bottom"/>
          </w:tcPr>
          <w:p>
            <w:pPr>
              <w:pStyle w:val="TableContents"/>
              <w:spacing w:before="0" w:after="283"/>
              <w:jc w:val="center"/>
              <w:rPr/>
            </w:pPr>
            <w:r>
              <w:rPr/>
              <w:t xml:space="preserve">  </w:t>
            </w:r>
          </w:p>
        </w:tc>
      </w:tr>
      <w:tr>
        <w:trPr/>
        <w:tc>
          <w:tcPr>
            <w:tcW w:w="6289" w:type="dxa"/>
            <w:tcBorders/>
            <w:shd w:fill="FFFFFF" w:val="clear"/>
            <w:vAlign w:val="bottom"/>
          </w:tcPr>
          <w:p>
            <w:pPr>
              <w:pStyle w:val="TableContents"/>
              <w:spacing w:before="0" w:after="0"/>
              <w:jc w:val="left"/>
              <w:rPr>
                <w:bdr w:val="single" w:sz="2" w:space="1" w:color="000000"/>
              </w:rPr>
            </w:pPr>
            <w:r>
              <w:rPr>
                <w:b/>
                <w:bdr w:val="single" w:sz="2" w:space="1" w:color="000000"/>
              </w:rPr>
              <w:t>Petroleum Administration Defense District</w:t>
            </w:r>
            <w:r>
              <w:rPr>
                <w:bdr w:val="single" w:sz="2" w:space="1" w:color="000000"/>
              </w:rPr>
              <w:t xml:space="preserve"> </w:t>
            </w:r>
          </w:p>
        </w:tc>
        <w:tc>
          <w:tcPr>
            <w:tcW w:w="123" w:type="dxa"/>
            <w:tcBorders/>
            <w:shd w:fill="FFFFFF" w:val="clear"/>
            <w:vAlign w:val="bottom"/>
          </w:tcPr>
          <w:p>
            <w:pPr>
              <w:pStyle w:val="TableContents"/>
              <w:spacing w:before="0" w:after="283"/>
              <w:jc w:val="center"/>
              <w:rPr/>
            </w:pPr>
            <w:r>
              <w:rPr/>
              <w:t xml:space="preserve">  </w:t>
            </w:r>
          </w:p>
        </w:tc>
        <w:tc>
          <w:tcPr>
            <w:tcW w:w="9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Supply</w:t>
            </w: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1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Demand</w:t>
            </w: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Shortfall</w:t>
            </w:r>
            <w:r>
              <w:rPr/>
              <w:t xml:space="preserve"> </w:t>
            </w:r>
          </w:p>
        </w:tc>
        <w:tc>
          <w:tcPr>
            <w:tcW w:w="173" w:type="dxa"/>
            <w:tcBorders/>
            <w:shd w:fill="FFFFFF" w:val="clear"/>
            <w:vAlign w:val="bottom"/>
          </w:tcPr>
          <w:p>
            <w:pPr>
              <w:pStyle w:val="TableContents"/>
              <w:spacing w:before="0" w:after="283"/>
              <w:jc w:val="center"/>
              <w:rPr/>
            </w:pPr>
            <w:r>
              <w:rPr/>
              <w:t xml:space="preserve">  </w:t>
            </w:r>
          </w:p>
        </w:tc>
      </w:tr>
      <w:tr>
        <w:trPr/>
        <w:tc>
          <w:tcPr>
            <w:tcW w:w="6289" w:type="dxa"/>
            <w:tcBorders/>
            <w:shd w:fill="FFFFFF" w:val="clear"/>
            <w:vAlign w:val="bottom"/>
          </w:tcPr>
          <w:p>
            <w:pPr>
              <w:pStyle w:val="TableContents"/>
              <w:spacing w:before="0" w:after="283"/>
              <w:jc w:val="center"/>
              <w:rPr/>
            </w:pPr>
            <w:r>
              <w:rPr/>
              <w:t xml:space="preserve">  </w:t>
            </w:r>
          </w:p>
        </w:tc>
        <w:tc>
          <w:tcPr>
            <w:tcW w:w="123" w:type="dxa"/>
            <w:tcBorders/>
            <w:shd w:fill="FFFFFF" w:val="clear"/>
            <w:vAlign w:val="bottom"/>
          </w:tcPr>
          <w:p>
            <w:pPr>
              <w:pStyle w:val="TableContents"/>
              <w:spacing w:before="0" w:after="283"/>
              <w:jc w:val="center"/>
              <w:rPr/>
            </w:pPr>
            <w:r>
              <w:rPr/>
              <w:t xml:space="preserve">  </w:t>
            </w:r>
          </w:p>
        </w:tc>
        <w:tc>
          <w:tcPr>
            <w:tcW w:w="3620" w:type="dxa"/>
            <w:gridSpan w:val="10"/>
            <w:tcBorders/>
            <w:shd w:fill="FFFFFF" w:val="clear"/>
            <w:vAlign w:val="bottom"/>
          </w:tcPr>
          <w:p>
            <w:pPr>
              <w:pStyle w:val="TableContents"/>
              <w:spacing w:before="0" w:after="283"/>
              <w:jc w:val="center"/>
              <w:rPr/>
            </w:pPr>
            <w:r>
              <w:rPr>
                <w:b/>
              </w:rPr>
              <w:t>(Millions of barrels per day)</w:t>
            </w:r>
            <w:r>
              <w:rPr/>
              <w:t xml:space="preserve"> </w:t>
            </w:r>
          </w:p>
        </w:tc>
        <w:tc>
          <w:tcPr>
            <w:tcW w:w="173" w:type="dxa"/>
            <w:tcBorders/>
            <w:shd w:fill="FFFFFF" w:val="clear"/>
            <w:vAlign w:val="bottom"/>
          </w:tcPr>
          <w:p>
            <w:pPr>
              <w:pStyle w:val="TableContents"/>
              <w:spacing w:before="0" w:after="283"/>
              <w:jc w:val="center"/>
              <w:rPr/>
            </w:pPr>
            <w:r>
              <w:rPr/>
              <w:t xml:space="preserve">  </w:t>
            </w:r>
          </w:p>
        </w:tc>
      </w:tr>
      <w:tr>
        <w:trPr/>
        <w:tc>
          <w:tcPr>
            <w:tcW w:w="6289" w:type="dxa"/>
            <w:tcBorders/>
            <w:shd w:fill="FFFFFF" w:val="clear"/>
            <w:vAlign w:val="center"/>
          </w:tcPr>
          <w:p>
            <w:pPr>
              <w:pStyle w:val="TableContents"/>
              <w:spacing w:before="0" w:after="283"/>
              <w:rPr/>
            </w:pPr>
            <w:r>
              <w:rPr/>
              <w:t xml:space="preserve">  </w:t>
            </w:r>
          </w:p>
        </w:tc>
        <w:tc>
          <w:tcPr>
            <w:tcW w:w="3916" w:type="dxa"/>
            <w:gridSpan w:val="12"/>
            <w:tcBorders/>
            <w:shd w:fill="FFFFFF" w:val="clear"/>
          </w:tcPr>
          <w:p>
            <w:pPr>
              <w:pStyle w:val="TableContents"/>
              <w:spacing w:before="0" w:after="283"/>
              <w:rPr>
                <w:sz w:val="4"/>
                <w:szCs w:val="4"/>
              </w:rPr>
            </w:pPr>
            <w:r>
              <w:rPr>
                <w:sz w:val="4"/>
                <w:szCs w:val="4"/>
              </w:rPr>
            </w:r>
          </w:p>
        </w:tc>
      </w:tr>
      <w:tr>
        <w:trPr/>
        <w:tc>
          <w:tcPr>
            <w:tcW w:w="6289" w:type="dxa"/>
            <w:tcBorders/>
            <w:shd w:fill="CCEEFF" w:val="clear"/>
            <w:vAlign w:val="bottom"/>
          </w:tcPr>
          <w:p>
            <w:pPr>
              <w:pStyle w:val="TableContents"/>
              <w:spacing w:before="0" w:after="0"/>
              <w:ind w:left="200" w:right="0" w:hanging="200"/>
              <w:jc w:val="left"/>
              <w:rPr>
                <w:sz w:val="17"/>
              </w:rPr>
            </w:pPr>
            <w:r>
              <w:rPr>
                <w:sz w:val="17"/>
              </w:rPr>
              <w:t xml:space="preserve">PADD I (East Coast) </w:t>
            </w:r>
          </w:p>
        </w:tc>
        <w:tc>
          <w:tcPr>
            <w:tcW w:w="123" w:type="dxa"/>
            <w:tcBorders/>
            <w:shd w:fill="CCEEFF" w:val="clear"/>
            <w:vAlign w:val="bottom"/>
          </w:tcPr>
          <w:p>
            <w:pPr>
              <w:pStyle w:val="TableContents"/>
              <w:spacing w:before="0" w:after="283"/>
              <w:rPr/>
            </w:pPr>
            <w:r>
              <w:rPr/>
              <w:t xml:space="preserve">  </w:t>
            </w:r>
          </w:p>
        </w:tc>
        <w:tc>
          <w:tcPr>
            <w:tcW w:w="220" w:type="dxa"/>
            <w:tcBorders/>
            <w:shd w:fill="CCEEFF" w:val="clear"/>
            <w:vAlign w:val="bottom"/>
          </w:tcPr>
          <w:p>
            <w:pPr>
              <w:pStyle w:val="TableContents"/>
              <w:spacing w:before="0" w:after="283"/>
              <w:jc w:val="left"/>
              <w:rPr/>
            </w:pPr>
            <w:r>
              <w:rPr/>
              <w:t xml:space="preserve">  </w:t>
            </w:r>
          </w:p>
        </w:tc>
        <w:tc>
          <w:tcPr>
            <w:tcW w:w="768" w:type="dxa"/>
            <w:tcBorders/>
            <w:shd w:fill="CCEEFF" w:val="clear"/>
            <w:vAlign w:val="bottom"/>
          </w:tcPr>
          <w:p>
            <w:pPr>
              <w:pStyle w:val="TableContents"/>
              <w:spacing w:before="0" w:after="283"/>
              <w:jc w:val="right"/>
              <w:rPr/>
            </w:pPr>
            <w:r>
              <w:rPr/>
              <w:t xml:space="preserve">0.0 </w:t>
            </w:r>
          </w:p>
        </w:tc>
        <w:tc>
          <w:tcPr>
            <w:tcW w:w="137"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89" w:type="dxa"/>
            <w:tcBorders/>
            <w:shd w:fill="CCEEFF" w:val="clear"/>
            <w:vAlign w:val="bottom"/>
          </w:tcPr>
          <w:p>
            <w:pPr>
              <w:pStyle w:val="TableContents"/>
              <w:spacing w:before="0" w:after="283"/>
              <w:jc w:val="left"/>
              <w:rPr/>
            </w:pPr>
            <w:r>
              <w:rPr/>
              <w:t xml:space="preserve">  </w:t>
            </w:r>
          </w:p>
        </w:tc>
        <w:tc>
          <w:tcPr>
            <w:tcW w:w="824" w:type="dxa"/>
            <w:tcBorders/>
            <w:shd w:fill="CCEEFF" w:val="clear"/>
            <w:vAlign w:val="bottom"/>
          </w:tcPr>
          <w:p>
            <w:pPr>
              <w:pStyle w:val="TableContents"/>
              <w:spacing w:before="0" w:after="283"/>
              <w:jc w:val="right"/>
              <w:rPr/>
            </w:pPr>
            <w:r>
              <w:rPr/>
              <w:t xml:space="preserve">1.5 </w:t>
            </w:r>
          </w:p>
        </w:tc>
        <w:tc>
          <w:tcPr>
            <w:tcW w:w="136"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852" w:type="dxa"/>
            <w:tcBorders/>
            <w:shd w:fill="CCEEFF" w:val="clear"/>
            <w:vAlign w:val="bottom"/>
          </w:tcPr>
          <w:p>
            <w:pPr>
              <w:pStyle w:val="TableContents"/>
              <w:spacing w:before="0" w:after="283"/>
              <w:jc w:val="right"/>
              <w:rPr/>
            </w:pPr>
            <w:r>
              <w:rPr/>
              <w:t xml:space="preserve">(1.5 </w:t>
            </w:r>
          </w:p>
        </w:tc>
        <w:tc>
          <w:tcPr>
            <w:tcW w:w="173" w:type="dxa"/>
            <w:tcBorders/>
            <w:shd w:fill="CCEEFF" w:val="clear"/>
            <w:vAlign w:val="bottom"/>
          </w:tcPr>
          <w:p>
            <w:pPr>
              <w:pStyle w:val="TableContents"/>
              <w:spacing w:before="0" w:after="283"/>
              <w:jc w:val="left"/>
              <w:rPr/>
            </w:pPr>
            <w:r>
              <w:rPr/>
              <w:t xml:space="preserve">) </w:t>
            </w:r>
          </w:p>
        </w:tc>
      </w:tr>
      <w:tr>
        <w:trPr/>
        <w:tc>
          <w:tcPr>
            <w:tcW w:w="6289" w:type="dxa"/>
            <w:tcBorders/>
            <w:shd w:fill="FFFFFF" w:val="clear"/>
            <w:vAlign w:val="bottom"/>
          </w:tcPr>
          <w:p>
            <w:pPr>
              <w:pStyle w:val="TableContents"/>
              <w:spacing w:before="0" w:after="0"/>
              <w:ind w:left="200" w:right="0" w:hanging="200"/>
              <w:jc w:val="left"/>
              <w:rPr>
                <w:sz w:val="17"/>
              </w:rPr>
            </w:pPr>
            <w:r>
              <w:rPr>
                <w:sz w:val="17"/>
              </w:rPr>
              <w:t xml:space="preserve">PADD II (Midwest) </w:t>
            </w:r>
          </w:p>
        </w:tc>
        <w:tc>
          <w:tcPr>
            <w:tcW w:w="123"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jc w:val="left"/>
              <w:rPr/>
            </w:pPr>
            <w:r>
              <w:rPr/>
              <w:t xml:space="preserve">  </w:t>
            </w:r>
          </w:p>
        </w:tc>
        <w:tc>
          <w:tcPr>
            <w:tcW w:w="768" w:type="dxa"/>
            <w:tcBorders/>
            <w:shd w:fill="FFFFFF" w:val="clear"/>
            <w:vAlign w:val="bottom"/>
          </w:tcPr>
          <w:p>
            <w:pPr>
              <w:pStyle w:val="TableContents"/>
              <w:spacing w:before="0" w:after="283"/>
              <w:jc w:val="right"/>
              <w:rPr/>
            </w:pPr>
            <w:r>
              <w:rPr/>
              <w:t xml:space="preserve">0.5 </w:t>
            </w:r>
          </w:p>
        </w:tc>
        <w:tc>
          <w:tcPr>
            <w:tcW w:w="137"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jc w:val="left"/>
              <w:rPr/>
            </w:pPr>
            <w:r>
              <w:rPr/>
              <w:t xml:space="preserve">  </w:t>
            </w:r>
          </w:p>
        </w:tc>
        <w:tc>
          <w:tcPr>
            <w:tcW w:w="824" w:type="dxa"/>
            <w:tcBorders/>
            <w:shd w:fill="FFFFFF" w:val="clear"/>
            <w:vAlign w:val="bottom"/>
          </w:tcPr>
          <w:p>
            <w:pPr>
              <w:pStyle w:val="TableContents"/>
              <w:spacing w:before="0" w:after="283"/>
              <w:jc w:val="right"/>
              <w:rPr/>
            </w:pPr>
            <w:r>
              <w:rPr/>
              <w:t xml:space="preserve">3.3 </w:t>
            </w:r>
          </w:p>
        </w:tc>
        <w:tc>
          <w:tcPr>
            <w:tcW w:w="136"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852" w:type="dxa"/>
            <w:tcBorders/>
            <w:shd w:fill="FFFFFF" w:val="clear"/>
            <w:vAlign w:val="bottom"/>
          </w:tcPr>
          <w:p>
            <w:pPr>
              <w:pStyle w:val="TableContents"/>
              <w:spacing w:before="0" w:after="283"/>
              <w:jc w:val="right"/>
              <w:rPr/>
            </w:pPr>
            <w:r>
              <w:rPr/>
              <w:t xml:space="preserve">(2.8 </w:t>
            </w:r>
          </w:p>
        </w:tc>
        <w:tc>
          <w:tcPr>
            <w:tcW w:w="173" w:type="dxa"/>
            <w:tcBorders/>
            <w:shd w:fill="FFFFFF" w:val="clear"/>
            <w:vAlign w:val="bottom"/>
          </w:tcPr>
          <w:p>
            <w:pPr>
              <w:pStyle w:val="TableContents"/>
              <w:spacing w:before="0" w:after="283"/>
              <w:jc w:val="left"/>
              <w:rPr/>
            </w:pPr>
            <w:r>
              <w:rPr/>
              <w:t xml:space="preserve">) </w:t>
            </w:r>
          </w:p>
        </w:tc>
      </w:tr>
      <w:tr>
        <w:trPr/>
        <w:tc>
          <w:tcPr>
            <w:tcW w:w="6289" w:type="dxa"/>
            <w:tcBorders/>
            <w:shd w:fill="CCEEFF" w:val="clear"/>
            <w:vAlign w:val="bottom"/>
          </w:tcPr>
          <w:p>
            <w:pPr>
              <w:pStyle w:val="TableContents"/>
              <w:spacing w:before="0" w:after="0"/>
              <w:ind w:left="200" w:right="0" w:hanging="200"/>
              <w:jc w:val="left"/>
              <w:rPr>
                <w:sz w:val="17"/>
              </w:rPr>
            </w:pPr>
            <w:r>
              <w:rPr>
                <w:sz w:val="17"/>
              </w:rPr>
              <w:t xml:space="preserve">PADD III (South) </w:t>
            </w:r>
          </w:p>
        </w:tc>
        <w:tc>
          <w:tcPr>
            <w:tcW w:w="123" w:type="dxa"/>
            <w:tcBorders/>
            <w:shd w:fill="CCEEFF" w:val="clear"/>
            <w:vAlign w:val="bottom"/>
          </w:tcPr>
          <w:p>
            <w:pPr>
              <w:pStyle w:val="TableContents"/>
              <w:spacing w:before="0" w:after="283"/>
              <w:rPr/>
            </w:pPr>
            <w:r>
              <w:rPr/>
              <w:t xml:space="preserve">  </w:t>
            </w:r>
          </w:p>
        </w:tc>
        <w:tc>
          <w:tcPr>
            <w:tcW w:w="220" w:type="dxa"/>
            <w:tcBorders/>
            <w:shd w:fill="CCEEFF" w:val="clear"/>
            <w:vAlign w:val="bottom"/>
          </w:tcPr>
          <w:p>
            <w:pPr>
              <w:pStyle w:val="TableContents"/>
              <w:spacing w:before="0" w:after="283"/>
              <w:jc w:val="left"/>
              <w:rPr/>
            </w:pPr>
            <w:r>
              <w:rPr/>
              <w:t xml:space="preserve">  </w:t>
            </w:r>
          </w:p>
        </w:tc>
        <w:tc>
          <w:tcPr>
            <w:tcW w:w="768" w:type="dxa"/>
            <w:tcBorders/>
            <w:shd w:fill="CCEEFF" w:val="clear"/>
            <w:vAlign w:val="bottom"/>
          </w:tcPr>
          <w:p>
            <w:pPr>
              <w:pStyle w:val="TableContents"/>
              <w:spacing w:before="0" w:after="283"/>
              <w:jc w:val="right"/>
              <w:rPr/>
            </w:pPr>
            <w:r>
              <w:rPr/>
              <w:t xml:space="preserve">2.8 </w:t>
            </w:r>
          </w:p>
        </w:tc>
        <w:tc>
          <w:tcPr>
            <w:tcW w:w="137"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89" w:type="dxa"/>
            <w:tcBorders/>
            <w:shd w:fill="CCEEFF" w:val="clear"/>
            <w:vAlign w:val="bottom"/>
          </w:tcPr>
          <w:p>
            <w:pPr>
              <w:pStyle w:val="TableContents"/>
              <w:spacing w:before="0" w:after="283"/>
              <w:jc w:val="left"/>
              <w:rPr/>
            </w:pPr>
            <w:r>
              <w:rPr/>
              <w:t xml:space="preserve">  </w:t>
            </w:r>
          </w:p>
        </w:tc>
        <w:tc>
          <w:tcPr>
            <w:tcW w:w="824" w:type="dxa"/>
            <w:tcBorders/>
            <w:shd w:fill="CCEEFF" w:val="clear"/>
            <w:vAlign w:val="bottom"/>
          </w:tcPr>
          <w:p>
            <w:pPr>
              <w:pStyle w:val="TableContents"/>
              <w:spacing w:before="0" w:after="283"/>
              <w:jc w:val="right"/>
              <w:rPr/>
            </w:pPr>
            <w:r>
              <w:rPr/>
              <w:t xml:space="preserve">7.2 </w:t>
            </w:r>
          </w:p>
        </w:tc>
        <w:tc>
          <w:tcPr>
            <w:tcW w:w="136"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852" w:type="dxa"/>
            <w:tcBorders/>
            <w:shd w:fill="CCEEFF" w:val="clear"/>
            <w:vAlign w:val="bottom"/>
          </w:tcPr>
          <w:p>
            <w:pPr>
              <w:pStyle w:val="TableContents"/>
              <w:spacing w:before="0" w:after="283"/>
              <w:jc w:val="right"/>
              <w:rPr/>
            </w:pPr>
            <w:r>
              <w:rPr/>
              <w:t xml:space="preserve">(4.4 </w:t>
            </w:r>
          </w:p>
        </w:tc>
        <w:tc>
          <w:tcPr>
            <w:tcW w:w="173" w:type="dxa"/>
            <w:tcBorders/>
            <w:shd w:fill="CCEEFF" w:val="clear"/>
            <w:vAlign w:val="bottom"/>
          </w:tcPr>
          <w:p>
            <w:pPr>
              <w:pStyle w:val="TableContents"/>
              <w:spacing w:before="0" w:after="283"/>
              <w:jc w:val="left"/>
              <w:rPr/>
            </w:pPr>
            <w:r>
              <w:rPr/>
              <w:t xml:space="preserve">) </w:t>
            </w:r>
          </w:p>
        </w:tc>
      </w:tr>
      <w:tr>
        <w:trPr/>
        <w:tc>
          <w:tcPr>
            <w:tcW w:w="6289" w:type="dxa"/>
            <w:tcBorders/>
            <w:shd w:fill="FFFFFF" w:val="clear"/>
            <w:vAlign w:val="bottom"/>
          </w:tcPr>
          <w:p>
            <w:pPr>
              <w:pStyle w:val="TableContents"/>
              <w:spacing w:before="0" w:after="0"/>
              <w:ind w:left="200" w:right="0" w:hanging="200"/>
              <w:jc w:val="left"/>
              <w:rPr>
                <w:sz w:val="17"/>
              </w:rPr>
            </w:pPr>
            <w:r>
              <w:rPr>
                <w:sz w:val="17"/>
              </w:rPr>
              <w:t xml:space="preserve">PADD IV (Rockies) </w:t>
            </w:r>
          </w:p>
        </w:tc>
        <w:tc>
          <w:tcPr>
            <w:tcW w:w="123"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jc w:val="left"/>
              <w:rPr/>
            </w:pPr>
            <w:r>
              <w:rPr/>
              <w:t xml:space="preserve">  </w:t>
            </w:r>
          </w:p>
        </w:tc>
        <w:tc>
          <w:tcPr>
            <w:tcW w:w="768" w:type="dxa"/>
            <w:tcBorders/>
            <w:shd w:fill="FFFFFF" w:val="clear"/>
            <w:vAlign w:val="bottom"/>
          </w:tcPr>
          <w:p>
            <w:pPr>
              <w:pStyle w:val="TableContents"/>
              <w:spacing w:before="0" w:after="283"/>
              <w:jc w:val="right"/>
              <w:rPr/>
            </w:pPr>
            <w:r>
              <w:rPr/>
              <w:t xml:space="preserve">0.3 </w:t>
            </w:r>
          </w:p>
        </w:tc>
        <w:tc>
          <w:tcPr>
            <w:tcW w:w="137"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jc w:val="left"/>
              <w:rPr/>
            </w:pPr>
            <w:r>
              <w:rPr/>
              <w:t xml:space="preserve">  </w:t>
            </w:r>
          </w:p>
        </w:tc>
        <w:tc>
          <w:tcPr>
            <w:tcW w:w="824" w:type="dxa"/>
            <w:tcBorders/>
            <w:shd w:fill="FFFFFF" w:val="clear"/>
            <w:vAlign w:val="bottom"/>
          </w:tcPr>
          <w:p>
            <w:pPr>
              <w:pStyle w:val="TableContents"/>
              <w:spacing w:before="0" w:after="283"/>
              <w:jc w:val="right"/>
              <w:rPr/>
            </w:pPr>
            <w:r>
              <w:rPr/>
              <w:t xml:space="preserve">0.5 </w:t>
            </w:r>
          </w:p>
        </w:tc>
        <w:tc>
          <w:tcPr>
            <w:tcW w:w="136"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852" w:type="dxa"/>
            <w:tcBorders/>
            <w:shd w:fill="FFFFFF" w:val="clear"/>
            <w:vAlign w:val="bottom"/>
          </w:tcPr>
          <w:p>
            <w:pPr>
              <w:pStyle w:val="TableContents"/>
              <w:spacing w:before="0" w:after="283"/>
              <w:jc w:val="right"/>
              <w:rPr/>
            </w:pPr>
            <w:r>
              <w:rPr/>
              <w:t xml:space="preserve">(0.2 </w:t>
            </w:r>
          </w:p>
        </w:tc>
        <w:tc>
          <w:tcPr>
            <w:tcW w:w="173" w:type="dxa"/>
            <w:tcBorders/>
            <w:shd w:fill="FFFFFF" w:val="clear"/>
            <w:vAlign w:val="bottom"/>
          </w:tcPr>
          <w:p>
            <w:pPr>
              <w:pStyle w:val="TableContents"/>
              <w:spacing w:before="0" w:after="283"/>
              <w:jc w:val="left"/>
              <w:rPr/>
            </w:pPr>
            <w:r>
              <w:rPr/>
              <w:t xml:space="preserve">) </w:t>
            </w:r>
          </w:p>
        </w:tc>
      </w:tr>
      <w:tr>
        <w:trPr/>
        <w:tc>
          <w:tcPr>
            <w:tcW w:w="6289" w:type="dxa"/>
            <w:tcBorders/>
            <w:shd w:fill="CCEEFF" w:val="clear"/>
            <w:vAlign w:val="bottom"/>
          </w:tcPr>
          <w:p>
            <w:pPr>
              <w:pStyle w:val="TableContents"/>
              <w:spacing w:before="0" w:after="0"/>
              <w:ind w:left="200" w:right="0" w:hanging="200"/>
              <w:jc w:val="left"/>
              <w:rPr>
                <w:sz w:val="17"/>
              </w:rPr>
            </w:pPr>
            <w:r>
              <w:rPr>
                <w:sz w:val="17"/>
              </w:rPr>
              <w:t xml:space="preserve">PADD V (West Coast) </w:t>
            </w:r>
          </w:p>
        </w:tc>
        <w:tc>
          <w:tcPr>
            <w:tcW w:w="123" w:type="dxa"/>
            <w:tcBorders/>
            <w:shd w:fill="CCEEFF" w:val="clear"/>
            <w:vAlign w:val="bottom"/>
          </w:tcPr>
          <w:p>
            <w:pPr>
              <w:pStyle w:val="TableContents"/>
              <w:spacing w:before="0" w:after="283"/>
              <w:rPr/>
            </w:pPr>
            <w:r>
              <w:rPr/>
              <w:t xml:space="preserve">  </w:t>
            </w:r>
          </w:p>
        </w:tc>
        <w:tc>
          <w:tcPr>
            <w:tcW w:w="220" w:type="dxa"/>
            <w:tcBorders/>
            <w:shd w:fill="CCEEFF" w:val="clear"/>
            <w:vAlign w:val="bottom"/>
          </w:tcPr>
          <w:p>
            <w:pPr>
              <w:pStyle w:val="TableContents"/>
              <w:spacing w:before="0" w:after="283"/>
              <w:jc w:val="left"/>
              <w:rPr/>
            </w:pPr>
            <w:r>
              <w:rPr/>
              <w:t xml:space="preserve">  </w:t>
            </w:r>
          </w:p>
        </w:tc>
        <w:tc>
          <w:tcPr>
            <w:tcW w:w="768" w:type="dxa"/>
            <w:tcBorders/>
            <w:shd w:fill="CCEEFF" w:val="clear"/>
            <w:vAlign w:val="bottom"/>
          </w:tcPr>
          <w:p>
            <w:pPr>
              <w:pStyle w:val="TableContents"/>
              <w:spacing w:before="0" w:after="283"/>
              <w:jc w:val="right"/>
              <w:rPr/>
            </w:pPr>
            <w:r>
              <w:rPr/>
              <w:t xml:space="preserve">1.5 </w:t>
            </w:r>
          </w:p>
        </w:tc>
        <w:tc>
          <w:tcPr>
            <w:tcW w:w="137"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89" w:type="dxa"/>
            <w:tcBorders/>
            <w:shd w:fill="CCEEFF" w:val="clear"/>
            <w:vAlign w:val="bottom"/>
          </w:tcPr>
          <w:p>
            <w:pPr>
              <w:pStyle w:val="TableContents"/>
              <w:spacing w:before="0" w:after="283"/>
              <w:jc w:val="left"/>
              <w:rPr/>
            </w:pPr>
            <w:r>
              <w:rPr/>
              <w:t xml:space="preserve">  </w:t>
            </w:r>
          </w:p>
        </w:tc>
        <w:tc>
          <w:tcPr>
            <w:tcW w:w="824" w:type="dxa"/>
            <w:tcBorders/>
            <w:shd w:fill="CCEEFF" w:val="clear"/>
            <w:vAlign w:val="bottom"/>
          </w:tcPr>
          <w:p>
            <w:pPr>
              <w:pStyle w:val="TableContents"/>
              <w:spacing w:before="0" w:after="283"/>
              <w:jc w:val="right"/>
              <w:rPr/>
            </w:pPr>
            <w:r>
              <w:rPr/>
              <w:t xml:space="preserve">2.7 </w:t>
            </w:r>
          </w:p>
        </w:tc>
        <w:tc>
          <w:tcPr>
            <w:tcW w:w="136"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852" w:type="dxa"/>
            <w:tcBorders/>
            <w:shd w:fill="CCEEFF" w:val="clear"/>
            <w:vAlign w:val="bottom"/>
          </w:tcPr>
          <w:p>
            <w:pPr>
              <w:pStyle w:val="TableContents"/>
              <w:spacing w:before="0" w:after="283"/>
              <w:jc w:val="right"/>
              <w:rPr/>
            </w:pPr>
            <w:r>
              <w:rPr/>
              <w:t xml:space="preserve">(1.2 </w:t>
            </w:r>
          </w:p>
        </w:tc>
        <w:tc>
          <w:tcPr>
            <w:tcW w:w="173" w:type="dxa"/>
            <w:tcBorders/>
            <w:shd w:fill="CCEEFF" w:val="clear"/>
            <w:vAlign w:val="bottom"/>
          </w:tcPr>
          <w:p>
            <w:pPr>
              <w:pStyle w:val="TableContents"/>
              <w:spacing w:before="0" w:after="283"/>
              <w:jc w:val="left"/>
              <w:rPr/>
            </w:pPr>
            <w:r>
              <w:rPr/>
              <w:t xml:space="preserve">) </w:t>
            </w:r>
          </w:p>
        </w:tc>
      </w:tr>
      <w:tr>
        <w:trPr/>
        <w:tc>
          <w:tcPr>
            <w:tcW w:w="6289" w:type="dxa"/>
            <w:tcBorders/>
            <w:shd w:fill="FFFFFF" w:val="clear"/>
            <w:vAlign w:val="bottom"/>
          </w:tcPr>
          <w:p>
            <w:pPr>
              <w:pStyle w:val="TableContents"/>
              <w:spacing w:before="0" w:after="283"/>
              <w:rPr/>
            </w:pPr>
            <w:r>
              <w:rPr/>
              <w:t xml:space="preserve">  </w:t>
            </w:r>
          </w:p>
        </w:tc>
        <w:tc>
          <w:tcPr>
            <w:tcW w:w="123" w:type="dxa"/>
            <w:tcBorders/>
            <w:shd w:fill="FFFFFF" w:val="clear"/>
            <w:vAlign w:val="bottom"/>
          </w:tcPr>
          <w:p>
            <w:pPr>
              <w:pStyle w:val="TableContents"/>
              <w:spacing w:before="0" w:after="283"/>
              <w:rPr/>
            </w:pPr>
            <w:r>
              <w:rPr/>
              <w:t xml:space="preserve">  </w:t>
            </w:r>
          </w:p>
        </w:tc>
        <w:tc>
          <w:tcPr>
            <w:tcW w:w="2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8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r>
      <w:tr>
        <w:trPr/>
        <w:tc>
          <w:tcPr>
            <w:tcW w:w="6289" w:type="dxa"/>
            <w:tcBorders/>
            <w:shd w:fill="FFFFFF" w:val="clear"/>
            <w:vAlign w:val="bottom"/>
          </w:tcPr>
          <w:p>
            <w:pPr>
              <w:pStyle w:val="TableContents"/>
              <w:spacing w:before="0" w:after="0"/>
              <w:ind w:left="200" w:right="0" w:hanging="200"/>
              <w:jc w:val="left"/>
              <w:rPr/>
            </w:pPr>
            <w:r>
              <w:rPr>
                <w:b/>
                <w:sz w:val="17"/>
              </w:rPr>
              <w:t>Total U.S.</w:t>
            </w:r>
            <w:r>
              <w:rPr/>
              <w:t xml:space="preserve">  </w:t>
            </w:r>
          </w:p>
        </w:tc>
        <w:tc>
          <w:tcPr>
            <w:tcW w:w="123"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jc w:val="left"/>
              <w:rPr/>
            </w:pPr>
            <w:r>
              <w:rPr/>
              <w:t xml:space="preserve">  </w:t>
            </w:r>
          </w:p>
        </w:tc>
        <w:tc>
          <w:tcPr>
            <w:tcW w:w="768" w:type="dxa"/>
            <w:tcBorders/>
            <w:shd w:fill="FFFFFF" w:val="clear"/>
            <w:vAlign w:val="bottom"/>
          </w:tcPr>
          <w:p>
            <w:pPr>
              <w:pStyle w:val="TableContents"/>
              <w:spacing w:before="0" w:after="283"/>
              <w:jc w:val="right"/>
              <w:rPr/>
            </w:pPr>
            <w:r>
              <w:rPr/>
              <w:t xml:space="preserve">5.1 </w:t>
            </w:r>
          </w:p>
        </w:tc>
        <w:tc>
          <w:tcPr>
            <w:tcW w:w="137"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jc w:val="left"/>
              <w:rPr/>
            </w:pPr>
            <w:r>
              <w:rPr/>
              <w:t xml:space="preserve">  </w:t>
            </w:r>
          </w:p>
        </w:tc>
        <w:tc>
          <w:tcPr>
            <w:tcW w:w="824" w:type="dxa"/>
            <w:tcBorders/>
            <w:shd w:fill="FFFFFF" w:val="clear"/>
            <w:vAlign w:val="bottom"/>
          </w:tcPr>
          <w:p>
            <w:pPr>
              <w:pStyle w:val="TableContents"/>
              <w:spacing w:before="0" w:after="283"/>
              <w:jc w:val="right"/>
              <w:rPr/>
            </w:pPr>
            <w:r>
              <w:rPr/>
              <w:t xml:space="preserve">15.2 </w:t>
            </w:r>
          </w:p>
        </w:tc>
        <w:tc>
          <w:tcPr>
            <w:tcW w:w="136"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852" w:type="dxa"/>
            <w:tcBorders/>
            <w:shd w:fill="FFFFFF" w:val="clear"/>
            <w:vAlign w:val="bottom"/>
          </w:tcPr>
          <w:p>
            <w:pPr>
              <w:pStyle w:val="TableContents"/>
              <w:spacing w:before="0" w:after="283"/>
              <w:jc w:val="right"/>
              <w:rPr/>
            </w:pPr>
            <w:r>
              <w:rPr/>
              <w:t xml:space="preserve">(10.1 </w:t>
            </w:r>
          </w:p>
        </w:tc>
        <w:tc>
          <w:tcPr>
            <w:tcW w:w="173"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PADD III has the largest supply shortfall, PADD II is believed to be the most critical region with respect to supply and transportation logistics because it is the largest, most highly populated area of the U.S. that does not have direct access to oceanborne cargoes.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Over the last 21 years, crude oil production in PADD II has declined from approximately 1.0 million barrels per day to approximately 450,000 barrels per day. Over this same time period, refinery demand has increased from approximately 2.7 million barrels per day in 1985 to 3.3 million barrels per day for the twelve months ended October 2006. As a result, the volume of crude oil transported into PADD II has increased 71%, from 1.7 million barrels per day to 2.9 million barrels per day. This aggregate shortfall is principally supplied by direct imports from Canada to the north and from the Gulf Coast area and the Cushing Interchange to the south.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logistical transportation, terminalling and storage challenges associated with regional volumetric supply and demand imbalances are further complicated by the fact that crude oil from different sources is not fungible. The crude slate available to U.S. refineries consists of a substantial number of different grades and varieties of crude oil. Each crude grade has distinguishing physical properties, such as specific gravity (generally referred to as light or heavy), sulfur content (generally referred to as sweet or sour) and metals content as well as varying economic attributes. In many cases, these factors result in the need for such grades to be batched or segregated in the transportation and storage processes, blended to precise specifications or adjusted in value. In addition, from time to time, natural disasters and geopolitical factors, such as hurricanes, earthquakes, tsunamis, inclement weather, labor strikes, refinery disruptions, embargoes and armed conflicts, may impact supply, demand and transportation and storage logistics.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Refined Products Market Overview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Once crude oil is transported to a refinery, it is broken down into different petroleum products. These refined products fall into three major categories: fuels such as motor gasoline and distillate fuel oil (diesel fuel); finished non-fuel products such as solvents and lubricating oils; and feedstocks for the petrochemical industry such as naphtha and various refinery gases. Demand is greatest for products in the fuels category, particularly motor gasoline.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characteristics of the gasoline produced depend upon the setup of the refinery at which it is produced and the type of crude oil that is used. Gasoline characteristics are also impacted by other ingredients that may be blended into it, such as ethanol. The performance of the gasoline must meet industry standards and environmental regulations that vary based on location.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After crude oil is refined into gasoline and other petroleum products, the products must be distributed to consumers. The majority of products are shipped by pipeline to storage terminals near consuming areas, and then loaded into trucks for delivery to gasoline stations or other end users. Some of the products which are used as feedstocks are typically transported by pipeline to chemical plants.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Demand for refined products is increasing and is affected by price levels, economic growth trends and, to a lesser extent, weather conditions. According to the EIA, consumption of refined products in the United States has risen steadily from approximately 15.7 million barrels per day in 1985 to approximately 20.7 million barrels per day for the twelve months ended October 2006, an increase of 31%. By 2030, the EIA estimates that the U.S. will consume approximately 27.6 million barrels per day of refined products, an increase of 33% over the last twelve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months levels. We believe that the additional demand will be met by growth in the capacity of existing refineries through large expansion projects and capacity creep as well as increased imports of refined products, both of which we believe will generate incremental demand for midstream infrastructure, such as pipelines and terminals.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demand for refined products pipeline and terminalling infrastructure will also increase as a result of: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9"/>
        <w:gridCol w:w="9536"/>
      </w:tblGrid>
      <w:tr>
        <w:trPr/>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multiple specifications of existing products (also referred to as boutique gasoline blends);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specification changes to existing products, such as ultra low sulfur diesel;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new products, such as bio-fuels;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aging of existing infrastructure; and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potential reduction in storage capacity due to regulations governing the inspection, repair, alteration and construction of storage tanks.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grow our asset base in the refined products business through expansion projects and future acquisitions. Consistent with our plan to apply our proven business model to these assets, we also intend to optimize the value of our refined products assets and better serve the needs of our customers by building a complementary refined products supply and marketing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LPG Products Market Overview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LPGs are a group of hydrogen-based gases that are derived from crude oil refining and natural gas processing. They include ethane, propane, normal butane, isobutane and other related products. For transportation purposes, these gases are liquefied through pressurization. LPG is also imported into the U.S. from Canada and other parts of the world.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LPGs are principally used as feedstock for petrochemical production processes. Individual LPG products have specific uses. For example, propane is used for home heating, water heating, cooking, crop drying and tobacco curing. As a motor fuel, propane is burned in internal combustion engines that power over-the-road vehicles, forklifts and stationary engines. Ethane is used primarily as a petrochemical feedstock. Normal butane is used as a petrochemical feedstock, as a blend stock for motor gasoline, and to derive isobutane through isomerization. Isobutane is principally used in refinery alkylation to enhance the octane content of motor gasoline or in the production of isooctane or other octane additives. Certain LPGs are also used as diluent in the transportation of heavy oil, particularly in Canada.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According to the EIA, consumption of LPGs in the United States has risen steadily from approximately 1.6 million barrels per day in 1985 to approximately 2.1 million barrels per day for the twelve months ended October 2006, an increase of 33%. By 2030, the EIA estimates that the U.S. will consume approximately 2.4 million barrels per day of LPGs, an increase of 13% over the last twelve months levels. We believe that the additional demand will result in an increased demand for LPG infrastructure, including pipelines, storage facilities, processing facilities and import terminals.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grow our asset base in the LPG business through expansion projects and future acquisitions. We believe that our asset base, which is principally located in the upper tier of the U.S., Oklahoma and California, provides flexibility in meeting the needs of our customers and opportunities to capitalize on regional supply/demand imbalances in LPG markets.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Natural Gas Storage Market Overview</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After treatment for impurities such as carbon dioxide and hydrogen sulfide and processing to separate heavier hydrocarbons from the gas stream, natural gas from one source generally is fungible with natural gas from any other source. Because of its fungibility and physical volatility and the fact that it is transported in a gaseous state, natural gas presents different logistical transportation challenges than crude oil and refined products; however, we believe the U.S. natural gas supply and demand situation will ultimately face storage challenges very similar to those that exist in the North American crude oil sector. We believe these factors will result in an increased need and an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attractive valuation for natural gas storage facilities in order to balance market demands. From 1990 to 2005, domestic natural gas production grew approximately 2% while domestic natural gas consumption rose approximately 15%, resulting in an approximate 175% increase in the domestic supply shortfall over that time period. In addition, significant excess domestic production capacity contractually withheld from the market by take-or-pay contracts between natural gas producers and purchasers in the late 1980s and early 1990s has since been eliminated. This trend of an increasing domestic supply shortfall is expected to continue. By 2030, the EIA estimates that the U.S. will require approximately 5.5 trillion cubic feet of annual net natural gas imports (or approximately 15 billion cubic feet per day) to meet its demand, nearly 1.4 times the 2005 annual shortfall.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vast majority of the projected supply shortfall is expected to be met with imports of liquefied natural gas (LNG). According to the Federal Energy Regulatory Commission (FERC) as of January 2007, plans for 34 new LNG terminals in the United States and Bahamas have been proposed, 17 of which are to be situated along the Gulf Coast. Of the 17 proposed Gulf Coast facilities, three are under construction, nine have been approved by the appropriate regulatory agencies, and five have been proposed to the appropriate regulatory agencies. These facilities will be used to re-gasify the LNG prior to shipment in pipelines to natural gas markets.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Normal depletion of regional natural gas supplies will require additional storage capacity to pre-position natural gas supplies for seasonal usage. In addition, we believe that the growth of LNG as a supply source will also increase the demand for natural gas storage as a result of inconsistent surges and shortfalls in supply based on LNG tanker deliveries, similar in many respects to the issues associated with waterborne crude oil imports. LNG shipments are exposed to a number of risks related to natural disasters and geopolitical factors, including hurricanes, earthquakes, tsunamis, inclement weather, labor strikes and facility disruptions, which can impact supply, demand and transportation and storage logistics. These factors are in addition to the already dramatic impact of seasonality and regional weather issues on natural gas markets.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Description of Segments and Associated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business activities are conducted through three segments  Transportation, Facilities and Marketing. We have an extensive network of transportation, terminalling and storage facilities at major market hubs and in key oil producing basins and crude oil, refined product and LPG transportation corridors in the United States and Canada.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Following is a description of the activities and assets for each of our business segments.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Transportation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transportation segment operations generally consist of fee-based activities associated with transporting volumes of crude oil and refined products on pipelines and gathering systems.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employed a variety of owned or leased long-term physical assets throughout the United States and Canada in this segment, including approximately: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20,000 miles of active pipelines and gathering systems;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30 million barrels of tank capacity used primarily to facilitate pipeline movements;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57 transport and storage barges and 30 transport tugs through our 50% interest in Settoon Towing.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generate revenue through a combination of tariffs, third party leases of pipeline capacity, transportation fees, barrel exchanges and buy/sell arrangements. We also include in this segment our equity earnings from our investments in the Butte and Frontier pipeline systems, in which we own minority interests, and Settoon Towing, in which we own a 50% interest.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Substantially all of our pipeline systems are controlled or monitored from one of four central control rooms with computer systems designed to continuously monitor real-time operational data, such as measurement of crude oil quantities injected into and delivered through the pipelines, product flow rates, and pressure and temperature variations. The systems are designed to enhance leak detection capabilities, sound automatic alarms in the event of operational conditions outside of pre-established parameters and provide for remote controlled shut-down of the majority of our pump stations on the pipeline systems. Pump stations, storage facilities and meter measurement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points along the pipeline systems are linked by satellite, radio, fiber optic cable, telephone, or a combination thereof to provide communications for remote monitoring and in some instances operational control, which reduces our requirement for full-time site personnel at most of these locations.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make repairs on and replacements of our mainline pipeline systems when necessary or appropriate. We attempt to control corrosion of the mainlines through the use of cathodic protection, corrosion inhibiting chemicals injected into the crude and refined product streams and other protection systems typically used in the industry. Maintenance facilities containing spare parts and equipment for pipe repairs, as well as trained response personnel, are strategically located along the pipelines and in concentrated operating areas. We believe that all of our pipelines have been constructed and are maintained in all material respects in accordance with applicable federal, state, provincial and local laws and regulations, standards prescribed by the American Petroleum Institute (API), the Canadian Standards Association and accepted industry practice as required or considered appropriate under the circumstances. See  Regulation  Pipeline and Storage Regulation.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Following is a tabular presentation of all of our active pipeline assets in the United States and Canada, grouped by geographic location: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764"/>
        <w:gridCol w:w="119"/>
        <w:gridCol w:w="3739"/>
        <w:gridCol w:w="155"/>
        <w:gridCol w:w="1600"/>
        <w:gridCol w:w="155"/>
        <w:gridCol w:w="134"/>
        <w:gridCol w:w="620"/>
        <w:gridCol w:w="134"/>
        <w:gridCol w:w="155"/>
        <w:gridCol w:w="178"/>
        <w:gridCol w:w="1311"/>
        <w:gridCol w:w="141"/>
      </w:tblGrid>
      <w:tr>
        <w:trPr/>
        <w:tc>
          <w:tcPr>
            <w:tcW w:w="1764"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rPr/>
            </w:pPr>
            <w:r>
              <w:rPr/>
              <w:t> </w:t>
            </w:r>
          </w:p>
        </w:tc>
        <w:tc>
          <w:tcPr>
            <w:tcW w:w="3739"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600"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55"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right"/>
              <w:rPr/>
            </w:pPr>
            <w:r>
              <w:rPr/>
              <w:t> </w:t>
            </w:r>
          </w:p>
        </w:tc>
        <w:tc>
          <w:tcPr>
            <w:tcW w:w="1311"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center"/>
              <w:rPr/>
            </w:pPr>
            <w:r>
              <w:rPr/>
              <w:t xml:space="preserve">  </w:t>
            </w:r>
          </w:p>
        </w:tc>
        <w:tc>
          <w:tcPr>
            <w:tcW w:w="3739"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600"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489" w:type="dxa"/>
            <w:gridSpan w:val="2"/>
            <w:tcBorders/>
            <w:shd w:fill="FFFFFF" w:val="clear"/>
            <w:vAlign w:val="bottom"/>
          </w:tcPr>
          <w:p>
            <w:pPr>
              <w:pStyle w:val="TableContents"/>
              <w:spacing w:before="0" w:after="283"/>
              <w:jc w:val="center"/>
              <w:rPr>
                <w:b/>
              </w:rPr>
            </w:pPr>
            <w:r>
              <w:rPr>
                <w:b/>
              </w:rPr>
              <w:t>2006 Average</w:t>
            </w:r>
          </w:p>
        </w:tc>
        <w:tc>
          <w:tcPr>
            <w:tcW w:w="141" w:type="dxa"/>
            <w:tcBorders/>
            <w:shd w:fill="FFFFFF" w:val="clear"/>
            <w:vAlign w:val="bottom"/>
          </w:tcPr>
          <w:p>
            <w:pPr>
              <w:pStyle w:val="TableContents"/>
              <w:spacing w:before="0" w:after="283"/>
              <w:jc w:val="center"/>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center"/>
              <w:rPr/>
            </w:pPr>
            <w:r>
              <w:rPr/>
              <w:t xml:space="preserve">  </w:t>
            </w:r>
          </w:p>
        </w:tc>
        <w:tc>
          <w:tcPr>
            <w:tcW w:w="3739"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600"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b/>
              </w:rPr>
            </w:pPr>
            <w:r>
              <w:rPr>
                <w:b/>
              </w:rPr>
              <w:t>System</w:t>
            </w:r>
          </w:p>
        </w:tc>
        <w:tc>
          <w:tcPr>
            <w:tcW w:w="13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489" w:type="dxa"/>
            <w:gridSpan w:val="2"/>
            <w:tcBorders/>
            <w:shd w:fill="FFFFFF" w:val="clear"/>
            <w:vAlign w:val="bottom"/>
          </w:tcPr>
          <w:p>
            <w:pPr>
              <w:pStyle w:val="TableContents"/>
              <w:spacing w:before="0" w:after="283"/>
              <w:jc w:val="center"/>
              <w:rPr>
                <w:b/>
              </w:rPr>
            </w:pPr>
            <w:r>
              <w:rPr>
                <w:b/>
              </w:rPr>
              <w:t>Net Barrels</w:t>
            </w:r>
          </w:p>
        </w:tc>
        <w:tc>
          <w:tcPr>
            <w:tcW w:w="141" w:type="dxa"/>
            <w:tcBorders/>
            <w:shd w:fill="FFFFFF" w:val="clear"/>
            <w:vAlign w:val="bottom"/>
          </w:tcPr>
          <w:p>
            <w:pPr>
              <w:pStyle w:val="TableContents"/>
              <w:spacing w:before="0" w:after="283"/>
              <w:jc w:val="center"/>
              <w:rPr/>
            </w:pPr>
            <w:r>
              <w:rPr/>
              <w:t xml:space="preserve">  </w:t>
            </w:r>
          </w:p>
        </w:tc>
      </w:tr>
      <w:tr>
        <w:trPr/>
        <w:tc>
          <w:tcPr>
            <w:tcW w:w="1764" w:type="dxa"/>
            <w:tcBorders/>
            <w:shd w:fill="FFFFFF" w:val="clear"/>
            <w:vAlign w:val="bottom"/>
          </w:tcPr>
          <w:p>
            <w:pPr>
              <w:pStyle w:val="TableContents"/>
              <w:spacing w:before="0" w:after="0"/>
              <w:jc w:val="left"/>
              <w:rPr>
                <w:bdr w:val="single" w:sz="2" w:space="1" w:color="000000"/>
              </w:rPr>
            </w:pPr>
            <w:r>
              <w:rPr>
                <w:b/>
                <w:bdr w:val="single" w:sz="2" w:space="1" w:color="000000"/>
              </w:rPr>
              <w:t>Region</w:t>
            </w:r>
            <w:r>
              <w:rPr>
                <w:bdr w:val="single" w:sz="2" w:space="1" w:color="000000"/>
              </w:rPr>
              <w:t xml:space="preserve"> </w:t>
            </w:r>
          </w:p>
        </w:tc>
        <w:tc>
          <w:tcPr>
            <w:tcW w:w="119" w:type="dxa"/>
            <w:tcBorders/>
            <w:shd w:fill="FFFFFF" w:val="clear"/>
            <w:vAlign w:val="bottom"/>
          </w:tcPr>
          <w:p>
            <w:pPr>
              <w:pStyle w:val="TableContents"/>
              <w:spacing w:before="0" w:after="283"/>
              <w:jc w:val="center"/>
              <w:rPr/>
            </w:pPr>
            <w:r>
              <w:rPr/>
              <w:t xml:space="preserve">  </w:t>
            </w:r>
          </w:p>
        </w:tc>
        <w:tc>
          <w:tcPr>
            <w:tcW w:w="3739" w:type="dxa"/>
            <w:tcBorders/>
            <w:shd w:fill="FFFFFF" w:val="clear"/>
            <w:vAlign w:val="bottom"/>
          </w:tcPr>
          <w:p>
            <w:pPr>
              <w:pStyle w:val="TableContents"/>
              <w:spacing w:before="0" w:after="0"/>
              <w:jc w:val="center"/>
              <w:rPr>
                <w:bdr w:val="single" w:sz="2" w:space="1" w:color="000000"/>
              </w:rPr>
            </w:pPr>
            <w:r>
              <w:rPr>
                <w:b/>
                <w:bdr w:val="single" w:sz="2" w:space="1" w:color="000000"/>
              </w:rPr>
              <w:t>Pipeline/Gathering Systems</w:t>
            </w:r>
            <w:r>
              <w:rPr>
                <w:bdr w:val="single" w:sz="2" w:space="1" w:color="000000"/>
              </w:rPr>
              <w:t xml:space="preserve"> </w:t>
            </w:r>
          </w:p>
        </w:tc>
        <w:tc>
          <w:tcPr>
            <w:tcW w:w="155" w:type="dxa"/>
            <w:tcBorders/>
            <w:shd w:fill="FFFFFF" w:val="clear"/>
            <w:vAlign w:val="bottom"/>
          </w:tcPr>
          <w:p>
            <w:pPr>
              <w:pStyle w:val="TableContents"/>
              <w:spacing w:before="0" w:after="283"/>
              <w:jc w:val="center"/>
              <w:rPr/>
            </w:pPr>
            <w:r>
              <w:rPr/>
              <w:t xml:space="preserve">  </w:t>
            </w:r>
          </w:p>
        </w:tc>
        <w:tc>
          <w:tcPr>
            <w:tcW w:w="1600" w:type="dxa"/>
            <w:tcBorders>
              <w:bottom w:val="single" w:sz="2" w:space="0" w:color="000000"/>
            </w:tcBorders>
            <w:shd w:fill="FFFFFF" w:val="clear"/>
            <w:tcMar>
              <w:bottom w:w="28" w:type="dxa"/>
            </w:tcMar>
            <w:vAlign w:val="bottom"/>
          </w:tcPr>
          <w:p>
            <w:pPr>
              <w:pStyle w:val="TableContents"/>
              <w:spacing w:before="0" w:after="283"/>
              <w:jc w:val="center"/>
              <w:rPr/>
            </w:pPr>
            <w:r>
              <w:rPr>
                <w:b/>
              </w:rPr>
              <w:t>% Ownership</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7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Miles</w:t>
            </w: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4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per Day(1)</w:t>
            </w:r>
            <w:r>
              <w:rPr/>
              <w:t xml:space="preserve"> </w:t>
            </w:r>
          </w:p>
        </w:tc>
        <w:tc>
          <w:tcPr>
            <w:tcW w:w="141" w:type="dxa"/>
            <w:tcBorders/>
            <w:shd w:fill="FFFFFF" w:val="clear"/>
            <w:vAlign w:val="bottom"/>
          </w:tcPr>
          <w:p>
            <w:pPr>
              <w:pStyle w:val="TableContents"/>
              <w:spacing w:before="0" w:after="283"/>
              <w:jc w:val="center"/>
              <w:rPr/>
            </w:pPr>
            <w:r>
              <w:rPr/>
              <w:t xml:space="preserve">  </w:t>
            </w:r>
          </w:p>
        </w:tc>
      </w:tr>
      <w:tr>
        <w:trPr/>
        <w:tc>
          <w:tcPr>
            <w:tcW w:w="1764" w:type="dxa"/>
            <w:tcBorders/>
            <w:shd w:fill="FFFFFF" w:val="clear"/>
            <w:vAlign w:val="center"/>
          </w:tcPr>
          <w:p>
            <w:pPr>
              <w:pStyle w:val="TableContents"/>
              <w:spacing w:before="0" w:after="283"/>
              <w:rPr/>
            </w:pPr>
            <w:r>
              <w:rPr/>
              <w:t xml:space="preserve">  </w:t>
            </w:r>
          </w:p>
        </w:tc>
        <w:tc>
          <w:tcPr>
            <w:tcW w:w="8441" w:type="dxa"/>
            <w:gridSpan w:val="12"/>
            <w:tcBorders/>
            <w:shd w:fill="FFFFFF" w:val="clear"/>
          </w:tcPr>
          <w:p>
            <w:pPr>
              <w:pStyle w:val="TableContents"/>
              <w:spacing w:before="0" w:after="283"/>
              <w:rPr>
                <w:sz w:val="4"/>
                <w:szCs w:val="4"/>
              </w:rPr>
            </w:pPr>
            <w:r>
              <w:rPr>
                <w:sz w:val="4"/>
                <w:szCs w:val="4"/>
              </w:rPr>
            </w:r>
          </w:p>
        </w:tc>
      </w:tr>
      <w:tr>
        <w:trPr/>
        <w:tc>
          <w:tcPr>
            <w:tcW w:w="1764" w:type="dxa"/>
            <w:tcBorders/>
            <w:shd w:fill="CCEEFF" w:val="clear"/>
            <w:vAlign w:val="bottom"/>
          </w:tcPr>
          <w:p>
            <w:pPr>
              <w:pStyle w:val="TableContents"/>
              <w:spacing w:before="0" w:after="0"/>
              <w:ind w:left="200" w:right="0" w:hanging="200"/>
              <w:jc w:val="left"/>
              <w:rPr/>
            </w:pPr>
            <w:r>
              <w:rPr>
                <w:b/>
                <w:sz w:val="17"/>
              </w:rPr>
              <w:t>Southwest US</w:t>
            </w: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Basin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87%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519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332,000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Dollarhide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24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5,000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El Paso  Albuquerque (refined products)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257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28,000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Garden City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63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10,000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Hardeman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107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4,000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Iatan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360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21,000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Iraan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98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31,000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Merkel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128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4,000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Mesa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63%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80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31,000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New Mexico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1,163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81,000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Permian Basin Gathering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780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59,000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Spraberry Gathering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727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42,000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Texas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1,498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75,000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West Texas Gathering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738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85,000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0"/>
              <w:ind w:left="200" w:right="0" w:hanging="200"/>
              <w:jc w:val="left"/>
              <w:rPr/>
            </w:pPr>
            <w:r>
              <w:rPr>
                <w:b/>
                <w:sz w:val="17"/>
              </w:rPr>
              <w:t>Western US</w:t>
            </w: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All American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136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49,000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Line 63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323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86,000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Line 2000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151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73,000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San Joaquin Valley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77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88,000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0"/>
              <w:ind w:left="200" w:right="0" w:hanging="200"/>
              <w:jc w:val="left"/>
              <w:rPr/>
            </w:pPr>
            <w:r>
              <w:rPr>
                <w:b/>
                <w:sz w:val="17"/>
              </w:rPr>
              <w:t>US Rocky Mountain</w:t>
            </w: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AREPI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42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46,000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Beartooth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50%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76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15,000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Bighorn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58%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336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15,000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Butte(3)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22%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370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18,000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Frontier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22%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290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46,000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Glacier(3)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21%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614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20,000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North Dakota/Trenton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731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89,000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Rocky Mountain Gathering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400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27,000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Rocky Mountain Products (refined products)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554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61,000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Salt Lake City Core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960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45,000 </w:t>
            </w:r>
          </w:p>
        </w:tc>
        <w:tc>
          <w:tcPr>
            <w:tcW w:w="141" w:type="dxa"/>
            <w:tcBorders/>
            <w:shd w:fill="FFFFFF" w:val="clear"/>
            <w:vAlign w:val="bottom"/>
          </w:tcPr>
          <w:p>
            <w:pPr>
              <w:pStyle w:val="TableContents"/>
              <w:spacing w:before="0" w:after="283"/>
              <w:jc w:val="left"/>
              <w:rPr/>
            </w:pPr>
            <w:r>
              <w:rPr/>
              <w:t xml:space="preserve">  </w:t>
            </w:r>
          </w:p>
        </w:tc>
      </w:tr>
      <w:tr>
        <w:trPr/>
        <w:tc>
          <w:tcPr>
            <w:tcW w:w="1764" w:type="dxa"/>
            <w:tcBorders/>
            <w:shd w:fill="CCEEFF" w:val="clear"/>
            <w:vAlign w:val="bottom"/>
          </w:tcPr>
          <w:p>
            <w:pPr>
              <w:pStyle w:val="TableContents"/>
              <w:spacing w:before="0" w:after="0"/>
              <w:ind w:left="200" w:right="0" w:hanging="200"/>
              <w:jc w:val="left"/>
              <w:rPr/>
            </w:pPr>
            <w:r>
              <w:rPr>
                <w:b/>
                <w:sz w:val="17"/>
              </w:rPr>
              <w:t>US Gulf Coast</w:t>
            </w:r>
            <w:r>
              <w:rPr/>
              <w:t xml:space="preserve"> </w:t>
            </w:r>
          </w:p>
        </w:tc>
        <w:tc>
          <w:tcPr>
            <w:tcW w:w="119" w:type="dxa"/>
            <w:tcBorders/>
            <w:shd w:fill="CCEEFF" w:val="clear"/>
            <w:vAlign w:val="bottom"/>
          </w:tcPr>
          <w:p>
            <w:pPr>
              <w:pStyle w:val="TableContents"/>
              <w:spacing w:before="0" w:after="283"/>
              <w:rPr/>
            </w:pPr>
            <w:r>
              <w:rPr/>
              <w:t xml:space="preserve">  </w:t>
            </w:r>
          </w:p>
        </w:tc>
        <w:tc>
          <w:tcPr>
            <w:tcW w:w="3739" w:type="dxa"/>
            <w:tcBorders/>
            <w:shd w:fill="CCEEFF" w:val="clear"/>
            <w:vAlign w:val="bottom"/>
          </w:tcPr>
          <w:p>
            <w:pPr>
              <w:pStyle w:val="TableContents"/>
              <w:spacing w:before="0" w:after="283"/>
              <w:jc w:val="left"/>
              <w:rPr>
                <w:sz w:val="17"/>
              </w:rPr>
            </w:pPr>
            <w:r>
              <w:rPr>
                <w:sz w:val="17"/>
              </w:rPr>
              <w:t xml:space="preserve">ArkLaTex </w:t>
            </w:r>
          </w:p>
        </w:tc>
        <w:tc>
          <w:tcPr>
            <w:tcW w:w="155" w:type="dxa"/>
            <w:tcBorders/>
            <w:shd w:fill="CCEEFF" w:val="clear"/>
            <w:vAlign w:val="bottom"/>
          </w:tcPr>
          <w:p>
            <w:pPr>
              <w:pStyle w:val="TableContents"/>
              <w:spacing w:before="0" w:after="283"/>
              <w:rPr/>
            </w:pPr>
            <w:r>
              <w:rPr/>
              <w:t xml:space="preserve">  </w:t>
            </w:r>
          </w:p>
        </w:tc>
        <w:tc>
          <w:tcPr>
            <w:tcW w:w="1600" w:type="dxa"/>
            <w:tcBorders/>
            <w:shd w:fill="CCEEFF" w:val="clear"/>
            <w:vAlign w:val="bottom"/>
          </w:tcPr>
          <w:p>
            <w:pPr>
              <w:pStyle w:val="TableContents"/>
              <w:spacing w:before="0" w:after="283"/>
              <w:jc w:val="center"/>
              <w:rPr>
                <w:sz w:val="17"/>
              </w:rPr>
            </w:pPr>
            <w:r>
              <w:rPr>
                <w:sz w:val="17"/>
              </w:rPr>
              <w:t xml:space="preserve">100% </w:t>
            </w:r>
          </w:p>
        </w:tc>
        <w:tc>
          <w:tcPr>
            <w:tcW w:w="155"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87 </w:t>
            </w:r>
          </w:p>
        </w:tc>
        <w:tc>
          <w:tcPr>
            <w:tcW w:w="134"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283"/>
              <w:rPr/>
            </w:pPr>
            <w:r>
              <w:rPr/>
              <w:t xml:space="preserve">  </w:t>
            </w:r>
          </w:p>
        </w:tc>
        <w:tc>
          <w:tcPr>
            <w:tcW w:w="178" w:type="dxa"/>
            <w:tcBorders/>
            <w:shd w:fill="CCEEFF" w:val="clear"/>
            <w:vAlign w:val="bottom"/>
          </w:tcPr>
          <w:p>
            <w:pPr>
              <w:pStyle w:val="TableContents"/>
              <w:spacing w:before="0" w:after="283"/>
              <w:jc w:val="left"/>
              <w:rPr/>
            </w:pPr>
            <w:r>
              <w:rPr/>
              <w:t xml:space="preserve">  </w:t>
            </w:r>
          </w:p>
        </w:tc>
        <w:tc>
          <w:tcPr>
            <w:tcW w:w="1311" w:type="dxa"/>
            <w:tcBorders/>
            <w:shd w:fill="CCEEFF" w:val="clear"/>
            <w:vAlign w:val="bottom"/>
          </w:tcPr>
          <w:p>
            <w:pPr>
              <w:pStyle w:val="TableContents"/>
              <w:spacing w:before="0" w:after="283"/>
              <w:jc w:val="right"/>
              <w:rPr/>
            </w:pPr>
            <w:r>
              <w:rPr/>
              <w:t xml:space="preserve">21,000 </w:t>
            </w:r>
          </w:p>
        </w:tc>
        <w:tc>
          <w:tcPr>
            <w:tcW w:w="141" w:type="dxa"/>
            <w:tcBorders/>
            <w:shd w:fill="CCEEFF" w:val="clear"/>
            <w:vAlign w:val="bottom"/>
          </w:tcPr>
          <w:p>
            <w:pPr>
              <w:pStyle w:val="TableContents"/>
              <w:spacing w:before="0" w:after="283"/>
              <w:jc w:val="left"/>
              <w:rPr/>
            </w:pPr>
            <w:r>
              <w:rPr/>
              <w:t xml:space="preserve">  </w:t>
            </w:r>
          </w:p>
        </w:tc>
      </w:tr>
      <w:tr>
        <w:trPr/>
        <w:tc>
          <w:tcPr>
            <w:tcW w:w="1764"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rPr/>
            </w:pPr>
            <w:r>
              <w:rPr/>
              <w:t xml:space="preserve">  </w:t>
            </w:r>
          </w:p>
        </w:tc>
        <w:tc>
          <w:tcPr>
            <w:tcW w:w="3739" w:type="dxa"/>
            <w:tcBorders/>
            <w:shd w:fill="FFFFFF" w:val="clear"/>
            <w:vAlign w:val="bottom"/>
          </w:tcPr>
          <w:p>
            <w:pPr>
              <w:pStyle w:val="TableContents"/>
              <w:spacing w:before="0" w:after="283"/>
              <w:jc w:val="left"/>
              <w:rPr>
                <w:sz w:val="17"/>
              </w:rPr>
            </w:pPr>
            <w:r>
              <w:rPr>
                <w:sz w:val="17"/>
              </w:rPr>
              <w:t xml:space="preserve">Atchafalaya </w:t>
            </w:r>
          </w:p>
        </w:tc>
        <w:tc>
          <w:tcPr>
            <w:tcW w:w="155" w:type="dxa"/>
            <w:tcBorders/>
            <w:shd w:fill="FFFFFF" w:val="clear"/>
            <w:vAlign w:val="bottom"/>
          </w:tcPr>
          <w:p>
            <w:pPr>
              <w:pStyle w:val="TableContents"/>
              <w:spacing w:before="0" w:after="283"/>
              <w:rPr/>
            </w:pPr>
            <w:r>
              <w:rPr/>
              <w:t xml:space="preserve">  </w:t>
            </w:r>
          </w:p>
        </w:tc>
        <w:tc>
          <w:tcPr>
            <w:tcW w:w="1600" w:type="dxa"/>
            <w:tcBorders/>
            <w:shd w:fill="FFFFFF" w:val="clear"/>
            <w:vAlign w:val="bottom"/>
          </w:tcPr>
          <w:p>
            <w:pPr>
              <w:pStyle w:val="TableContents"/>
              <w:spacing w:before="0" w:after="283"/>
              <w:jc w:val="center"/>
              <w:rPr>
                <w:sz w:val="17"/>
              </w:rPr>
            </w:pPr>
            <w:r>
              <w:rPr>
                <w:sz w:val="17"/>
              </w:rPr>
              <w:t xml:space="preserve">100% </w:t>
            </w:r>
          </w:p>
        </w:tc>
        <w:tc>
          <w:tcPr>
            <w:tcW w:w="155"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35 </w:t>
            </w:r>
          </w:p>
        </w:tc>
        <w:tc>
          <w:tcPr>
            <w:tcW w:w="134"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jc w:val="left"/>
              <w:rPr/>
            </w:pPr>
            <w:r>
              <w:rPr/>
              <w:t xml:space="preserve">  </w:t>
            </w:r>
          </w:p>
        </w:tc>
        <w:tc>
          <w:tcPr>
            <w:tcW w:w="1311" w:type="dxa"/>
            <w:tcBorders/>
            <w:shd w:fill="FFFFFF" w:val="clear"/>
            <w:vAlign w:val="bottom"/>
          </w:tcPr>
          <w:p>
            <w:pPr>
              <w:pStyle w:val="TableContents"/>
              <w:spacing w:before="0" w:after="283"/>
              <w:jc w:val="right"/>
              <w:rPr/>
            </w:pPr>
            <w:r>
              <w:rPr/>
              <w:t xml:space="preserve">20,000 </w:t>
            </w:r>
          </w:p>
        </w:tc>
        <w:tc>
          <w:tcPr>
            <w:tcW w:w="141" w:type="dxa"/>
            <w:tcBorders/>
            <w:shd w:fill="FFFFFF" w:val="clear"/>
            <w:vAlign w:val="bottom"/>
          </w:tcPr>
          <w:p>
            <w:pPr>
              <w:pStyle w:val="TableContents"/>
              <w:spacing w:before="0" w:after="283"/>
              <w:jc w:val="left"/>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1582"/>
        <w:gridCol w:w="116"/>
        <w:gridCol w:w="3747"/>
        <w:gridCol w:w="149"/>
        <w:gridCol w:w="1633"/>
        <w:gridCol w:w="149"/>
        <w:gridCol w:w="136"/>
        <w:gridCol w:w="741"/>
        <w:gridCol w:w="136"/>
        <w:gridCol w:w="148"/>
        <w:gridCol w:w="159"/>
        <w:gridCol w:w="1363"/>
        <w:gridCol w:w="146"/>
      </w:tblGrid>
      <w:tr>
        <w:trPr/>
        <w:tc>
          <w:tcPr>
            <w:tcW w:w="1582"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rPr/>
            </w:pPr>
            <w:r>
              <w:rPr/>
              <w:t> </w:t>
            </w:r>
          </w:p>
        </w:tc>
        <w:tc>
          <w:tcPr>
            <w:tcW w:w="3747"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633"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right"/>
              <w:rPr/>
            </w:pPr>
            <w:r>
              <w:rPr/>
              <w:t> </w:t>
            </w:r>
          </w:p>
        </w:tc>
        <w:tc>
          <w:tcPr>
            <w:tcW w:w="741"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48"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right"/>
              <w:rPr/>
            </w:pPr>
            <w:r>
              <w:rPr/>
              <w:t> </w:t>
            </w:r>
          </w:p>
        </w:tc>
        <w:tc>
          <w:tcPr>
            <w:tcW w:w="1363"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jc w:val="center"/>
              <w:rPr/>
            </w:pPr>
            <w:r>
              <w:rPr/>
              <w:t xml:space="preserve">  </w:t>
            </w:r>
          </w:p>
        </w:tc>
        <w:tc>
          <w:tcPr>
            <w:tcW w:w="3747"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633"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877" w:type="dxa"/>
            <w:gridSpan w:val="2"/>
            <w:tcBorders/>
            <w:shd w:fill="FFFFFF" w:val="clear"/>
            <w:vAlign w:val="bottom"/>
          </w:tcPr>
          <w:p>
            <w:pPr>
              <w:pStyle w:val="TableContents"/>
              <w:spacing w:before="0" w:after="283"/>
              <w:jc w:val="center"/>
              <w:rPr/>
            </w:pP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522" w:type="dxa"/>
            <w:gridSpan w:val="2"/>
            <w:tcBorders/>
            <w:shd w:fill="FFFFFF" w:val="clear"/>
            <w:vAlign w:val="bottom"/>
          </w:tcPr>
          <w:p>
            <w:pPr>
              <w:pStyle w:val="TableContents"/>
              <w:spacing w:before="0" w:after="283"/>
              <w:jc w:val="center"/>
              <w:rPr>
                <w:b/>
              </w:rPr>
            </w:pPr>
            <w:r>
              <w:rPr>
                <w:b/>
              </w:rPr>
              <w:t>2006 Average</w:t>
            </w:r>
          </w:p>
        </w:tc>
        <w:tc>
          <w:tcPr>
            <w:tcW w:w="146" w:type="dxa"/>
            <w:tcBorders/>
            <w:shd w:fill="FFFFFF" w:val="clear"/>
            <w:vAlign w:val="bottom"/>
          </w:tcPr>
          <w:p>
            <w:pPr>
              <w:pStyle w:val="TableContents"/>
              <w:spacing w:before="0" w:after="283"/>
              <w:jc w:val="center"/>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jc w:val="center"/>
              <w:rPr/>
            </w:pPr>
            <w:r>
              <w:rPr/>
              <w:t xml:space="preserve">  </w:t>
            </w:r>
          </w:p>
        </w:tc>
        <w:tc>
          <w:tcPr>
            <w:tcW w:w="3747"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1633"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877" w:type="dxa"/>
            <w:gridSpan w:val="2"/>
            <w:tcBorders/>
            <w:shd w:fill="FFFFFF" w:val="clear"/>
            <w:vAlign w:val="bottom"/>
          </w:tcPr>
          <w:p>
            <w:pPr>
              <w:pStyle w:val="TableContents"/>
              <w:spacing w:before="0" w:after="283"/>
              <w:jc w:val="center"/>
              <w:rPr>
                <w:b/>
              </w:rPr>
            </w:pPr>
            <w:r>
              <w:rPr>
                <w:b/>
              </w:rPr>
              <w:t>System</w:t>
            </w:r>
          </w:p>
        </w:tc>
        <w:tc>
          <w:tcPr>
            <w:tcW w:w="136"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522" w:type="dxa"/>
            <w:gridSpan w:val="2"/>
            <w:tcBorders/>
            <w:shd w:fill="FFFFFF" w:val="clear"/>
            <w:vAlign w:val="bottom"/>
          </w:tcPr>
          <w:p>
            <w:pPr>
              <w:pStyle w:val="TableContents"/>
              <w:spacing w:before="0" w:after="283"/>
              <w:jc w:val="center"/>
              <w:rPr>
                <w:b/>
              </w:rPr>
            </w:pPr>
            <w:r>
              <w:rPr>
                <w:b/>
              </w:rPr>
              <w:t>Net Barrels</w:t>
            </w:r>
          </w:p>
        </w:tc>
        <w:tc>
          <w:tcPr>
            <w:tcW w:w="146" w:type="dxa"/>
            <w:tcBorders/>
            <w:shd w:fill="FFFFFF" w:val="clear"/>
            <w:vAlign w:val="bottom"/>
          </w:tcPr>
          <w:p>
            <w:pPr>
              <w:pStyle w:val="TableContents"/>
              <w:spacing w:before="0" w:after="283"/>
              <w:jc w:val="center"/>
              <w:rPr/>
            </w:pPr>
            <w:r>
              <w:rPr/>
              <w:t xml:space="preserve">  </w:t>
            </w:r>
          </w:p>
        </w:tc>
      </w:tr>
      <w:tr>
        <w:trPr/>
        <w:tc>
          <w:tcPr>
            <w:tcW w:w="1582" w:type="dxa"/>
            <w:tcBorders/>
            <w:shd w:fill="FFFFFF" w:val="clear"/>
            <w:vAlign w:val="bottom"/>
          </w:tcPr>
          <w:p>
            <w:pPr>
              <w:pStyle w:val="TableContents"/>
              <w:spacing w:before="0" w:after="0"/>
              <w:jc w:val="left"/>
              <w:rPr>
                <w:bdr w:val="single" w:sz="2" w:space="1" w:color="000000"/>
              </w:rPr>
            </w:pPr>
            <w:r>
              <w:rPr>
                <w:b/>
                <w:bdr w:val="single" w:sz="2" w:space="1" w:color="000000"/>
              </w:rPr>
              <w:t>Region</w:t>
            </w:r>
            <w:r>
              <w:rPr>
                <w:bdr w:val="single" w:sz="2" w:space="1" w:color="000000"/>
              </w:rPr>
              <w:t xml:space="preserve"> </w:t>
            </w:r>
          </w:p>
        </w:tc>
        <w:tc>
          <w:tcPr>
            <w:tcW w:w="116" w:type="dxa"/>
            <w:tcBorders/>
            <w:shd w:fill="FFFFFF" w:val="clear"/>
            <w:vAlign w:val="bottom"/>
          </w:tcPr>
          <w:p>
            <w:pPr>
              <w:pStyle w:val="TableContents"/>
              <w:spacing w:before="0" w:after="283"/>
              <w:jc w:val="center"/>
              <w:rPr/>
            </w:pPr>
            <w:r>
              <w:rPr/>
              <w:t xml:space="preserve">  </w:t>
            </w:r>
          </w:p>
        </w:tc>
        <w:tc>
          <w:tcPr>
            <w:tcW w:w="3747" w:type="dxa"/>
            <w:tcBorders/>
            <w:shd w:fill="FFFFFF" w:val="clear"/>
            <w:vAlign w:val="bottom"/>
          </w:tcPr>
          <w:p>
            <w:pPr>
              <w:pStyle w:val="TableContents"/>
              <w:spacing w:before="0" w:after="0"/>
              <w:jc w:val="center"/>
              <w:rPr>
                <w:bdr w:val="single" w:sz="2" w:space="1" w:color="000000"/>
              </w:rPr>
            </w:pPr>
            <w:r>
              <w:rPr>
                <w:b/>
                <w:bdr w:val="single" w:sz="2" w:space="1" w:color="000000"/>
              </w:rPr>
              <w:t>Pipeline/Gathering Systems</w:t>
            </w:r>
            <w:r>
              <w:rPr>
                <w:bdr w:val="single" w:sz="2" w:space="1" w:color="000000"/>
              </w:rPr>
              <w:t xml:space="preserve"> </w:t>
            </w:r>
          </w:p>
        </w:tc>
        <w:tc>
          <w:tcPr>
            <w:tcW w:w="149" w:type="dxa"/>
            <w:tcBorders/>
            <w:shd w:fill="FFFFFF" w:val="clear"/>
            <w:vAlign w:val="bottom"/>
          </w:tcPr>
          <w:p>
            <w:pPr>
              <w:pStyle w:val="TableContents"/>
              <w:spacing w:before="0" w:after="283"/>
              <w:jc w:val="center"/>
              <w:rPr/>
            </w:pPr>
            <w:r>
              <w:rPr/>
              <w:t xml:space="preserve">  </w:t>
            </w:r>
          </w:p>
        </w:tc>
        <w:tc>
          <w:tcPr>
            <w:tcW w:w="1633" w:type="dxa"/>
            <w:tcBorders>
              <w:bottom w:val="single" w:sz="2" w:space="0" w:color="000000"/>
            </w:tcBorders>
            <w:shd w:fill="FFFFFF" w:val="clear"/>
            <w:tcMar>
              <w:bottom w:w="28" w:type="dxa"/>
            </w:tcMar>
            <w:vAlign w:val="bottom"/>
          </w:tcPr>
          <w:p>
            <w:pPr>
              <w:pStyle w:val="TableContents"/>
              <w:spacing w:before="0" w:after="283"/>
              <w:jc w:val="center"/>
              <w:rPr/>
            </w:pPr>
            <w:r>
              <w:rPr>
                <w:b/>
              </w:rPr>
              <w:t>% Ownership</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87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Miles</w:t>
            </w: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15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per Day(1)</w:t>
            </w:r>
            <w:r>
              <w:rPr/>
              <w:t xml:space="preserve"> </w:t>
            </w:r>
          </w:p>
        </w:tc>
        <w:tc>
          <w:tcPr>
            <w:tcW w:w="146" w:type="dxa"/>
            <w:tcBorders/>
            <w:shd w:fill="FFFFFF" w:val="clear"/>
            <w:vAlign w:val="bottom"/>
          </w:tcPr>
          <w:p>
            <w:pPr>
              <w:pStyle w:val="TableContents"/>
              <w:spacing w:before="0" w:after="283"/>
              <w:jc w:val="center"/>
              <w:rPr/>
            </w:pPr>
            <w:r>
              <w:rPr/>
              <w:t xml:space="preserve">  </w:t>
            </w:r>
          </w:p>
        </w:tc>
      </w:tr>
      <w:tr>
        <w:trPr/>
        <w:tc>
          <w:tcPr>
            <w:tcW w:w="1582" w:type="dxa"/>
            <w:tcBorders/>
            <w:shd w:fill="FFFFFF" w:val="clear"/>
            <w:vAlign w:val="center"/>
          </w:tcPr>
          <w:p>
            <w:pPr>
              <w:pStyle w:val="TableContents"/>
              <w:spacing w:before="0" w:after="283"/>
              <w:rPr/>
            </w:pPr>
            <w:r>
              <w:rPr/>
              <w:t xml:space="preserve">  </w:t>
            </w:r>
          </w:p>
        </w:tc>
        <w:tc>
          <w:tcPr>
            <w:tcW w:w="8623" w:type="dxa"/>
            <w:gridSpan w:val="12"/>
            <w:tcBorders/>
            <w:shd w:fill="FFFFFF" w:val="clear"/>
          </w:tcPr>
          <w:p>
            <w:pPr>
              <w:pStyle w:val="TableContents"/>
              <w:spacing w:before="0" w:after="283"/>
              <w:rPr>
                <w:sz w:val="4"/>
                <w:szCs w:val="4"/>
              </w:rPr>
            </w:pPr>
            <w:r>
              <w:rPr>
                <w:sz w:val="4"/>
                <w:szCs w:val="4"/>
              </w:rPr>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BOA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107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82,000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Bridger Lakes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19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1,000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CAM (Segment I/Segment II)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60%/0%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47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131,000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Capline(3)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22%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633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160,000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Capwood/Patoka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76%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58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99,000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Cocodrie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66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6,000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East Texas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9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8,000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Eugene Island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66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11,000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Golden Meadow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37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3,000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Deleck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119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29,000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Mississippi/Alabama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837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87,000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Pearsall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62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2,000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Red River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359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13,000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Red Rock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54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3,000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Sabine Pass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33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12,000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Southwest Louisiana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205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4,000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Turtle Bayou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14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3,000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0"/>
              <w:ind w:left="200" w:right="0" w:hanging="200"/>
              <w:jc w:val="left"/>
              <w:rPr/>
            </w:pPr>
            <w:r>
              <w:rPr>
                <w:b/>
                <w:sz w:val="17"/>
              </w:rPr>
              <w:t>Central US</w:t>
            </w: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Cushing to Broome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103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73,000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Midcontinent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1,197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35,000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Oklahoma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1,629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59,000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pPr>
            <w:r>
              <w:rPr/>
              <w:t>  </w:t>
            </w:r>
            <w:r>
              <w:rPr>
                <w:sz w:val="17"/>
              </w:rPr>
              <w:t xml:space="preserve">Domestic Total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pPr>
            <w:r>
              <w:rPr/>
              <w:t xml:space="preserve">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17,378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2,348,000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741"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1363"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1582" w:type="dxa"/>
            <w:tcBorders/>
            <w:shd w:fill="FFFFFF" w:val="clear"/>
            <w:vAlign w:val="bottom"/>
          </w:tcPr>
          <w:p>
            <w:pPr>
              <w:pStyle w:val="TableContents"/>
              <w:spacing w:before="0" w:after="0"/>
              <w:ind w:left="200" w:right="0" w:hanging="200"/>
              <w:jc w:val="left"/>
              <w:rPr/>
            </w:pPr>
            <w:r>
              <w:rPr>
                <w:b/>
                <w:sz w:val="17"/>
              </w:rPr>
              <w:t>Canada</w:t>
            </w: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Cactus Lake(2)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115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16,000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Cal Ven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148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16,000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Joarcam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31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4,000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Manito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381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61,000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Milk River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33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96,000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Rangeland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938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66,000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South Saskatchewan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344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47,000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sz w:val="17"/>
              </w:rPr>
            </w:pPr>
            <w:r>
              <w:rPr>
                <w:sz w:val="17"/>
              </w:rPr>
              <w:t xml:space="preserve">Wapella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sz w:val="17"/>
              </w:rPr>
            </w:pPr>
            <w:r>
              <w:rPr>
                <w:sz w:val="17"/>
              </w:rPr>
              <w:t xml:space="preserve">100%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73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11,000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sz w:val="17"/>
              </w:rPr>
            </w:pPr>
            <w:r>
              <w:rPr>
                <w:sz w:val="17"/>
              </w:rPr>
              <w:t xml:space="preserve">Wascana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sz w:val="17"/>
              </w:rPr>
            </w:pPr>
            <w:r>
              <w:rPr>
                <w:sz w:val="17"/>
              </w:rPr>
              <w:t xml:space="preserve">100%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107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3,000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1582" w:type="dxa"/>
            <w:tcBorders/>
            <w:shd w:fill="CCEEFF" w:val="clear"/>
            <w:vAlign w:val="bottom"/>
          </w:tcPr>
          <w:p>
            <w:pPr>
              <w:pStyle w:val="TableContents"/>
              <w:spacing w:before="0" w:after="283"/>
              <w:jc w:val="left"/>
              <w:rPr/>
            </w:pPr>
            <w:r>
              <w:rPr/>
              <w:t xml:space="preserve">  </w:t>
            </w:r>
          </w:p>
        </w:tc>
        <w:tc>
          <w:tcPr>
            <w:tcW w:w="116" w:type="dxa"/>
            <w:tcBorders/>
            <w:shd w:fill="CCEEFF" w:val="clear"/>
            <w:vAlign w:val="bottom"/>
          </w:tcPr>
          <w:p>
            <w:pPr>
              <w:pStyle w:val="TableContents"/>
              <w:spacing w:before="0" w:after="283"/>
              <w:rPr/>
            </w:pPr>
            <w:r>
              <w:rPr/>
              <w:t xml:space="preserve">  </w:t>
            </w:r>
          </w:p>
        </w:tc>
        <w:tc>
          <w:tcPr>
            <w:tcW w:w="3747" w:type="dxa"/>
            <w:tcBorders/>
            <w:shd w:fill="CCEEFF" w:val="clear"/>
            <w:vAlign w:val="bottom"/>
          </w:tcPr>
          <w:p>
            <w:pPr>
              <w:pStyle w:val="TableContents"/>
              <w:spacing w:before="0" w:after="283"/>
              <w:jc w:val="left"/>
              <w:rPr/>
            </w:pPr>
            <w:r>
              <w:rPr/>
              <w:t>  </w:t>
            </w:r>
            <w:r>
              <w:rPr>
                <w:sz w:val="17"/>
              </w:rPr>
              <w:t xml:space="preserve">Canada Total </w:t>
            </w:r>
          </w:p>
        </w:tc>
        <w:tc>
          <w:tcPr>
            <w:tcW w:w="149" w:type="dxa"/>
            <w:tcBorders/>
            <w:shd w:fill="CCEEFF" w:val="clear"/>
            <w:vAlign w:val="bottom"/>
          </w:tcPr>
          <w:p>
            <w:pPr>
              <w:pStyle w:val="TableContents"/>
              <w:spacing w:before="0" w:after="283"/>
              <w:rPr/>
            </w:pPr>
            <w:r>
              <w:rPr/>
              <w:t xml:space="preserve">  </w:t>
            </w:r>
          </w:p>
        </w:tc>
        <w:tc>
          <w:tcPr>
            <w:tcW w:w="1633" w:type="dxa"/>
            <w:tcBorders/>
            <w:shd w:fill="CCEEFF" w:val="clear"/>
            <w:vAlign w:val="bottom"/>
          </w:tcPr>
          <w:p>
            <w:pPr>
              <w:pStyle w:val="TableContents"/>
              <w:spacing w:before="0" w:after="283"/>
              <w:jc w:val="center"/>
              <w:rPr/>
            </w:pPr>
            <w:r>
              <w:rPr/>
              <w:t xml:space="preserve">  </w:t>
            </w:r>
          </w:p>
        </w:tc>
        <w:tc>
          <w:tcPr>
            <w:tcW w:w="149" w:type="dxa"/>
            <w:tcBorders/>
            <w:shd w:fill="CCEEFF" w:val="clear"/>
            <w:vAlign w:val="bottom"/>
          </w:tcPr>
          <w:p>
            <w:pPr>
              <w:pStyle w:val="TableContents"/>
              <w:spacing w:before="0" w:after="283"/>
              <w:rPr/>
            </w:pPr>
            <w:r>
              <w:rPr/>
              <w:t xml:space="preserve">  </w:t>
            </w:r>
          </w:p>
        </w:tc>
        <w:tc>
          <w:tcPr>
            <w:tcW w:w="136"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2,170 </w:t>
            </w:r>
          </w:p>
        </w:tc>
        <w:tc>
          <w:tcPr>
            <w:tcW w:w="136" w:type="dxa"/>
            <w:tcBorders/>
            <w:shd w:fill="CCEEFF" w:val="clear"/>
            <w:vAlign w:val="bottom"/>
          </w:tcPr>
          <w:p>
            <w:pPr>
              <w:pStyle w:val="TableContents"/>
              <w:spacing w:before="0" w:after="283"/>
              <w:jc w:val="left"/>
              <w:rPr/>
            </w:pPr>
            <w:r>
              <w:rPr/>
              <w:t xml:space="preserve">  </w:t>
            </w:r>
          </w:p>
        </w:tc>
        <w:tc>
          <w:tcPr>
            <w:tcW w:w="148" w:type="dxa"/>
            <w:tcBorders/>
            <w:shd w:fill="CCEEFF" w:val="clear"/>
            <w:vAlign w:val="bottom"/>
          </w:tcPr>
          <w:p>
            <w:pPr>
              <w:pStyle w:val="TableContents"/>
              <w:spacing w:before="0" w:after="283"/>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1363" w:type="dxa"/>
            <w:tcBorders/>
            <w:shd w:fill="CCEEFF" w:val="clear"/>
            <w:vAlign w:val="bottom"/>
          </w:tcPr>
          <w:p>
            <w:pPr>
              <w:pStyle w:val="TableContents"/>
              <w:spacing w:before="0" w:after="283"/>
              <w:jc w:val="right"/>
              <w:rPr/>
            </w:pPr>
            <w:r>
              <w:rPr/>
              <w:t xml:space="preserve">320,000 </w:t>
            </w:r>
          </w:p>
        </w:tc>
        <w:tc>
          <w:tcPr>
            <w:tcW w:w="146" w:type="dxa"/>
            <w:tcBorders/>
            <w:shd w:fill="CCEE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1582" w:type="dxa"/>
            <w:tcBorders/>
            <w:shd w:fill="FFFFFF" w:val="clear"/>
            <w:vAlign w:val="bottom"/>
          </w:tcPr>
          <w:p>
            <w:pPr>
              <w:pStyle w:val="TableContents"/>
              <w:spacing w:before="0" w:after="283"/>
              <w:jc w:val="left"/>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jc w:val="left"/>
              <w:rPr/>
            </w:pPr>
            <w:r>
              <w:rPr/>
              <w:t>     </w:t>
            </w:r>
            <w:r>
              <w:rPr>
                <w:sz w:val="17"/>
              </w:rPr>
              <w:t xml:space="preserve">Total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19,548 </w:t>
            </w:r>
          </w:p>
        </w:tc>
        <w:tc>
          <w:tcPr>
            <w:tcW w:w="136" w:type="dxa"/>
            <w:tcBorders/>
            <w:shd w:fill="FFFFFF" w:val="clear"/>
            <w:vAlign w:val="bottom"/>
          </w:tcPr>
          <w:p>
            <w:pPr>
              <w:pStyle w:val="TableContents"/>
              <w:spacing w:before="0" w:after="283"/>
              <w:jc w:val="left"/>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jc w:val="left"/>
              <w:rPr/>
            </w:pPr>
            <w:r>
              <w:rPr/>
              <w:t xml:space="preserve">  </w:t>
            </w:r>
          </w:p>
        </w:tc>
        <w:tc>
          <w:tcPr>
            <w:tcW w:w="1363" w:type="dxa"/>
            <w:tcBorders/>
            <w:shd w:fill="FFFFFF" w:val="clear"/>
            <w:vAlign w:val="bottom"/>
          </w:tcPr>
          <w:p>
            <w:pPr>
              <w:pStyle w:val="TableContents"/>
              <w:spacing w:before="0" w:after="283"/>
              <w:jc w:val="right"/>
              <w:rPr/>
            </w:pPr>
            <w:r>
              <w:rPr/>
              <w:t xml:space="preserve">2,668,000 </w:t>
            </w:r>
          </w:p>
        </w:tc>
        <w:tc>
          <w:tcPr>
            <w:tcW w:w="146" w:type="dxa"/>
            <w:tcBorders/>
            <w:shd w:fill="FFFFFF" w:val="clear"/>
            <w:vAlign w:val="bottom"/>
          </w:tcPr>
          <w:p>
            <w:pPr>
              <w:pStyle w:val="TableContents"/>
              <w:spacing w:before="0" w:after="283"/>
              <w:jc w:val="left"/>
              <w:rPr/>
            </w:pPr>
            <w:r>
              <w:rPr/>
              <w:t xml:space="preserve">  </w:t>
            </w:r>
          </w:p>
        </w:tc>
      </w:tr>
      <w:tr>
        <w:trPr/>
        <w:tc>
          <w:tcPr>
            <w:tcW w:w="1582"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xml:space="preserve">  </w:t>
            </w:r>
          </w:p>
        </w:tc>
        <w:tc>
          <w:tcPr>
            <w:tcW w:w="3747"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633" w:type="dxa"/>
            <w:tcBorders/>
            <w:shd w:fill="FFFFFF" w:val="cle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1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6"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1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509"/>
        <w:gridCol w:w="102"/>
        <w:gridCol w:w="9594"/>
      </w:tblGrid>
      <w:tr>
        <w:trPr/>
        <w:tc>
          <w:tcPr>
            <w:tcW w:w="509"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cente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Represents average volumes for the entire year of 2006.</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For January through March 2006, our interest was 15%; we acquired the remaining interest in March 2006.</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Non-operated pipeline.</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Below is a detailed description of our more significant transportation segment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Major Transportation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All American Pipeline System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All American Pipeline is a common-carrier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126 miles to our station in Emidio, California (30-inch diameter pipe). Between Gaviota and our Emidio Station, the All American Pipeline interconnects with our San Joaquin Valley (or SJV) Gathering System, Line 2000 and Line 63, as well as other third party intrastate pipelines. The system is subject to tariff rates regulated by the FERC.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All American Pipeline currently transports OCS crude oil received at the onshore facilities of the Santa Ynez field at Las Flores and the onshore facilities of the Point Arguello field located at Gaviota. ExxonMobil, which owns all of the Santa Ynez production, and Plains Exploration and Production Company and other producers that together own approximately 70% of the Point Arguello production, have entered into transportation agreements committing to transport all of their production from these fields on the All American Pipeline. These agreements provide for a minimum tariff with annual escalations based on specific composite indices. The producers from the Point Arguello field that do not have contracts with us have no other existing means of transporting their production and, therefore, ship their volumes on the All American Pipeline at the filed tariffs. For 2006 and 2005, tariffs on the All American Pipeline averaged $2.07 per barrel and $1.87 per barrel, respectively. The agreements do not require these owners to transport a minimum volume. These agreements, which had an initial term expiring in August 2007, include an annual one year evergreen provision that requires one years advance notice to cancel.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With the acquisition of Line 2000 and Line 63, a significant portion of our transportation segment profit is derived from the pipeline transportation business associated with the Santa Ynez and Point Arguello fields and fields located in the San Joaquin Valley. We estimate that a 5,000 barrel per day decline in volumes shipped from the outer continental shelf fields would result in a decrease in annual transportation segment profit of approximately $6.1 million. A similar decline in volumes shipped from the San Joaquin Valley would result in an estimated $3.2 million decrease in annual transportation segment profit.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table below sets forth the historical volumes received from both of these fields for the past five years: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52"/>
        <w:gridCol w:w="185"/>
        <w:gridCol w:w="194"/>
        <w:gridCol w:w="408"/>
        <w:gridCol w:w="167"/>
        <w:gridCol w:w="252"/>
        <w:gridCol w:w="194"/>
        <w:gridCol w:w="408"/>
        <w:gridCol w:w="167"/>
        <w:gridCol w:w="252"/>
        <w:gridCol w:w="194"/>
        <w:gridCol w:w="408"/>
        <w:gridCol w:w="167"/>
        <w:gridCol w:w="252"/>
        <w:gridCol w:w="193"/>
        <w:gridCol w:w="408"/>
        <w:gridCol w:w="167"/>
        <w:gridCol w:w="252"/>
        <w:gridCol w:w="194"/>
        <w:gridCol w:w="408"/>
        <w:gridCol w:w="183"/>
      </w:tblGrid>
      <w:tr>
        <w:trPr/>
        <w:tc>
          <w:tcPr>
            <w:tcW w:w="5152"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408"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c>
          <w:tcPr>
            <w:tcW w:w="252"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408"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c>
          <w:tcPr>
            <w:tcW w:w="252"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408"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c>
          <w:tcPr>
            <w:tcW w:w="252"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jc w:val="right"/>
              <w:rPr/>
            </w:pPr>
            <w:r>
              <w:rPr/>
              <w:t> </w:t>
            </w:r>
          </w:p>
        </w:tc>
        <w:tc>
          <w:tcPr>
            <w:tcW w:w="408"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c>
          <w:tcPr>
            <w:tcW w:w="252"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408"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r>
      <w:tr>
        <w:trPr/>
        <w:tc>
          <w:tcPr>
            <w:tcW w:w="5152" w:type="dxa"/>
            <w:tcBorders/>
            <w:shd w:fill="FFFFFF" w:val="clear"/>
            <w:vAlign w:val="bottom"/>
          </w:tcPr>
          <w:p>
            <w:pPr>
              <w:pStyle w:val="TableContents"/>
              <w:spacing w:before="0" w:after="283"/>
              <w:jc w:val="center"/>
              <w:rPr/>
            </w:pPr>
            <w:r>
              <w:rPr/>
              <w:t xml:space="preserve">  </w:t>
            </w:r>
          </w:p>
        </w:tc>
        <w:tc>
          <w:tcPr>
            <w:tcW w:w="185" w:type="dxa"/>
            <w:tcBorders/>
            <w:shd w:fill="FFFFFF" w:val="clear"/>
            <w:vAlign w:val="bottom"/>
          </w:tcPr>
          <w:p>
            <w:pPr>
              <w:pStyle w:val="TableContents"/>
              <w:spacing w:before="0" w:after="283"/>
              <w:jc w:val="center"/>
              <w:rPr/>
            </w:pPr>
            <w:r>
              <w:rPr/>
              <w:t xml:space="preserve">  </w:t>
            </w:r>
          </w:p>
        </w:tc>
        <w:tc>
          <w:tcPr>
            <w:tcW w:w="4685"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5152" w:type="dxa"/>
            <w:tcBorders/>
            <w:shd w:fill="FFFFFF" w:val="clear"/>
            <w:vAlign w:val="bottom"/>
          </w:tcPr>
          <w:p>
            <w:pPr>
              <w:pStyle w:val="TableContents"/>
              <w:spacing w:before="0" w:after="283"/>
              <w:jc w:val="center"/>
              <w:rPr/>
            </w:pPr>
            <w:r>
              <w:rPr/>
              <w:t xml:space="preserve">  </w:t>
            </w:r>
          </w:p>
        </w:tc>
        <w:tc>
          <w:tcPr>
            <w:tcW w:w="185" w:type="dxa"/>
            <w:tcBorders/>
            <w:shd w:fill="FFFFFF" w:val="clear"/>
            <w:vAlign w:val="bottom"/>
          </w:tcPr>
          <w:p>
            <w:pPr>
              <w:pStyle w:val="TableContents"/>
              <w:spacing w:before="0" w:after="283"/>
              <w:jc w:val="center"/>
              <w:rPr/>
            </w:pPr>
            <w:r>
              <w:rPr/>
              <w:t xml:space="preserve">  </w:t>
            </w:r>
          </w:p>
        </w:tc>
        <w:tc>
          <w:tcPr>
            <w:tcW w:w="6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252" w:type="dxa"/>
            <w:tcBorders/>
            <w:shd w:fill="FFFFFF" w:val="clear"/>
            <w:vAlign w:val="bottom"/>
          </w:tcPr>
          <w:p>
            <w:pPr>
              <w:pStyle w:val="TableContents"/>
              <w:spacing w:before="0" w:after="283"/>
              <w:jc w:val="center"/>
              <w:rPr/>
            </w:pPr>
            <w:r>
              <w:rPr/>
              <w:t xml:space="preserve">  </w:t>
            </w:r>
          </w:p>
        </w:tc>
        <w:tc>
          <w:tcPr>
            <w:tcW w:w="6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252" w:type="dxa"/>
            <w:tcBorders/>
            <w:shd w:fill="FFFFFF" w:val="clear"/>
            <w:vAlign w:val="bottom"/>
          </w:tcPr>
          <w:p>
            <w:pPr>
              <w:pStyle w:val="TableContents"/>
              <w:spacing w:before="0" w:after="283"/>
              <w:jc w:val="center"/>
              <w:rPr/>
            </w:pPr>
            <w:r>
              <w:rPr/>
              <w:t xml:space="preserve">  </w:t>
            </w:r>
          </w:p>
        </w:tc>
        <w:tc>
          <w:tcPr>
            <w:tcW w:w="6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252" w:type="dxa"/>
            <w:tcBorders/>
            <w:shd w:fill="FFFFFF" w:val="clear"/>
            <w:vAlign w:val="bottom"/>
          </w:tcPr>
          <w:p>
            <w:pPr>
              <w:pStyle w:val="TableContents"/>
              <w:spacing w:before="0" w:after="283"/>
              <w:jc w:val="center"/>
              <w:rPr/>
            </w:pPr>
            <w:r>
              <w:rPr/>
              <w:t xml:space="preserve">  </w:t>
            </w:r>
          </w:p>
        </w:tc>
        <w:tc>
          <w:tcPr>
            <w:tcW w:w="60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252" w:type="dxa"/>
            <w:tcBorders/>
            <w:shd w:fill="FFFFFF" w:val="clear"/>
            <w:vAlign w:val="bottom"/>
          </w:tcPr>
          <w:p>
            <w:pPr>
              <w:pStyle w:val="TableContents"/>
              <w:spacing w:before="0" w:after="283"/>
              <w:jc w:val="center"/>
              <w:rPr/>
            </w:pPr>
            <w:r>
              <w:rPr/>
              <w:t xml:space="preserve">  </w:t>
            </w:r>
          </w:p>
        </w:tc>
        <w:tc>
          <w:tcPr>
            <w:tcW w:w="6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5152" w:type="dxa"/>
            <w:tcBorders/>
            <w:shd w:fill="FFFFFF" w:val="clear"/>
            <w:vAlign w:val="bottom"/>
          </w:tcPr>
          <w:p>
            <w:pPr>
              <w:pStyle w:val="TableContents"/>
              <w:spacing w:before="0" w:after="283"/>
              <w:jc w:val="center"/>
              <w:rPr/>
            </w:pPr>
            <w:r>
              <w:rPr/>
              <w:t xml:space="preserve">  </w:t>
            </w:r>
          </w:p>
        </w:tc>
        <w:tc>
          <w:tcPr>
            <w:tcW w:w="185" w:type="dxa"/>
            <w:tcBorders/>
            <w:shd w:fill="FFFFFF" w:val="clear"/>
            <w:vAlign w:val="bottom"/>
          </w:tcPr>
          <w:p>
            <w:pPr>
              <w:pStyle w:val="TableContents"/>
              <w:spacing w:before="0" w:after="283"/>
              <w:jc w:val="center"/>
              <w:rPr/>
            </w:pPr>
            <w:r>
              <w:rPr/>
              <w:t xml:space="preserve">  </w:t>
            </w:r>
          </w:p>
        </w:tc>
        <w:tc>
          <w:tcPr>
            <w:tcW w:w="4685" w:type="dxa"/>
            <w:gridSpan w:val="18"/>
            <w:tcBorders/>
            <w:shd w:fill="FFFFFF" w:val="clear"/>
            <w:vAlign w:val="bottom"/>
          </w:tcPr>
          <w:p>
            <w:pPr>
              <w:pStyle w:val="TableContents"/>
              <w:spacing w:before="0" w:after="283"/>
              <w:jc w:val="center"/>
              <w:rPr/>
            </w:pPr>
            <w:r>
              <w:rPr>
                <w:b/>
              </w:rPr>
              <w:t>(Barrels in thousands)</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5152" w:type="dxa"/>
            <w:tcBorders/>
            <w:shd w:fill="FFFFFF" w:val="clear"/>
            <w:vAlign w:val="center"/>
          </w:tcPr>
          <w:p>
            <w:pPr>
              <w:pStyle w:val="TableContents"/>
              <w:spacing w:before="0" w:after="283"/>
              <w:rPr/>
            </w:pPr>
            <w:r>
              <w:rPr/>
              <w:t xml:space="preserve">  </w:t>
            </w:r>
          </w:p>
        </w:tc>
        <w:tc>
          <w:tcPr>
            <w:tcW w:w="5053" w:type="dxa"/>
            <w:gridSpan w:val="20"/>
            <w:tcBorders/>
            <w:shd w:fill="FFFFFF" w:val="clear"/>
          </w:tcPr>
          <w:p>
            <w:pPr>
              <w:pStyle w:val="TableContents"/>
              <w:spacing w:before="0" w:after="283"/>
              <w:rPr>
                <w:sz w:val="4"/>
                <w:szCs w:val="4"/>
              </w:rPr>
            </w:pPr>
            <w:r>
              <w:rPr>
                <w:sz w:val="4"/>
                <w:szCs w:val="4"/>
              </w:rPr>
            </w:r>
          </w:p>
        </w:tc>
      </w:tr>
      <w:tr>
        <w:trPr/>
        <w:tc>
          <w:tcPr>
            <w:tcW w:w="5152" w:type="dxa"/>
            <w:tcBorders/>
            <w:shd w:fill="CCEEFF" w:val="clear"/>
            <w:vAlign w:val="bottom"/>
          </w:tcPr>
          <w:p>
            <w:pPr>
              <w:pStyle w:val="TableContents"/>
              <w:spacing w:before="0" w:after="0"/>
              <w:ind w:left="200" w:right="0" w:hanging="200"/>
              <w:jc w:val="left"/>
              <w:rPr>
                <w:sz w:val="17"/>
              </w:rPr>
            </w:pPr>
            <w:r>
              <w:rPr>
                <w:sz w:val="17"/>
              </w:rPr>
              <w:t xml:space="preserve">Average daily volumes received from: </w:t>
            </w:r>
          </w:p>
        </w:tc>
        <w:tc>
          <w:tcPr>
            <w:tcW w:w="185"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3"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r>
      <w:tr>
        <w:trPr/>
        <w:tc>
          <w:tcPr>
            <w:tcW w:w="5152" w:type="dxa"/>
            <w:tcBorders/>
            <w:shd w:fill="FFFFFF" w:val="clear"/>
            <w:vAlign w:val="bottom"/>
          </w:tcPr>
          <w:p>
            <w:pPr>
              <w:pStyle w:val="TableContents"/>
              <w:spacing w:before="0" w:after="0"/>
              <w:ind w:left="400" w:right="0" w:hanging="200"/>
              <w:jc w:val="left"/>
              <w:rPr>
                <w:sz w:val="17"/>
              </w:rPr>
            </w:pPr>
            <w:r>
              <w:rPr>
                <w:sz w:val="17"/>
              </w:rPr>
              <w:t xml:space="preserve">Point Arguello (at Gaviota) </w:t>
            </w:r>
          </w:p>
        </w:tc>
        <w:tc>
          <w:tcPr>
            <w:tcW w:w="18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9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10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10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13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16 </w:t>
            </w:r>
          </w:p>
        </w:tc>
        <w:tc>
          <w:tcPr>
            <w:tcW w:w="183" w:type="dxa"/>
            <w:tcBorders/>
            <w:shd w:fill="FFFFFF" w:val="clear"/>
            <w:vAlign w:val="bottom"/>
          </w:tcPr>
          <w:p>
            <w:pPr>
              <w:pStyle w:val="TableContents"/>
              <w:spacing w:before="0" w:after="283"/>
              <w:jc w:val="left"/>
              <w:rPr/>
            </w:pPr>
            <w:r>
              <w:rPr/>
              <w:t xml:space="preserve">  </w:t>
            </w:r>
          </w:p>
        </w:tc>
      </w:tr>
      <w:tr>
        <w:trPr/>
        <w:tc>
          <w:tcPr>
            <w:tcW w:w="5152" w:type="dxa"/>
            <w:tcBorders/>
            <w:shd w:fill="CCEEFF" w:val="clear"/>
            <w:vAlign w:val="bottom"/>
          </w:tcPr>
          <w:p>
            <w:pPr>
              <w:pStyle w:val="TableContents"/>
              <w:spacing w:before="0" w:after="0"/>
              <w:ind w:left="400" w:right="0" w:hanging="200"/>
              <w:jc w:val="left"/>
              <w:rPr>
                <w:sz w:val="17"/>
              </w:rPr>
            </w:pPr>
            <w:r>
              <w:rPr>
                <w:sz w:val="17"/>
              </w:rPr>
              <w:t xml:space="preserve">Santa Ynez (at Las Flores) </w:t>
            </w:r>
          </w:p>
        </w:tc>
        <w:tc>
          <w:tcPr>
            <w:tcW w:w="185"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40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41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44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3"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46 </w:t>
            </w:r>
          </w:p>
        </w:tc>
        <w:tc>
          <w:tcPr>
            <w:tcW w:w="167" w:type="dxa"/>
            <w:tcBorders/>
            <w:shd w:fill="CCEEFF" w:val="clear"/>
            <w:vAlign w:val="bottom"/>
          </w:tcPr>
          <w:p>
            <w:pPr>
              <w:pStyle w:val="TableContents"/>
              <w:spacing w:before="0" w:after="283"/>
              <w:jc w:val="left"/>
              <w:rPr/>
            </w:pPr>
            <w:r>
              <w:rPr/>
              <w:t xml:space="preserve">  </w:t>
            </w:r>
          </w:p>
        </w:tc>
        <w:tc>
          <w:tcPr>
            <w:tcW w:w="252"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408" w:type="dxa"/>
            <w:tcBorders/>
            <w:shd w:fill="CCEEFF" w:val="clear"/>
            <w:vAlign w:val="bottom"/>
          </w:tcPr>
          <w:p>
            <w:pPr>
              <w:pStyle w:val="TableContents"/>
              <w:spacing w:before="0" w:after="283"/>
              <w:jc w:val="right"/>
              <w:rPr/>
            </w:pPr>
            <w:r>
              <w:rPr/>
              <w:t xml:space="preserve">50 </w:t>
            </w:r>
          </w:p>
        </w:tc>
        <w:tc>
          <w:tcPr>
            <w:tcW w:w="183" w:type="dxa"/>
            <w:tcBorders/>
            <w:shd w:fill="CCEEFF" w:val="clear"/>
            <w:vAlign w:val="bottom"/>
          </w:tcPr>
          <w:p>
            <w:pPr>
              <w:pStyle w:val="TableContents"/>
              <w:spacing w:before="0" w:after="283"/>
              <w:jc w:val="left"/>
              <w:rPr/>
            </w:pPr>
            <w:r>
              <w:rPr/>
              <w:t xml:space="preserve">  </w:t>
            </w:r>
          </w:p>
        </w:tc>
      </w:tr>
      <w:tr>
        <w:trPr/>
        <w:tc>
          <w:tcPr>
            <w:tcW w:w="5152" w:type="dxa"/>
            <w:tcBorders/>
            <w:shd w:fill="FFFFFF" w:val="cle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1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5152"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85"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49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51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54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59 </w:t>
            </w:r>
          </w:p>
        </w:tc>
        <w:tc>
          <w:tcPr>
            <w:tcW w:w="167" w:type="dxa"/>
            <w:tcBorders/>
            <w:shd w:fill="FFFFFF" w:val="clear"/>
            <w:vAlign w:val="bottom"/>
          </w:tcPr>
          <w:p>
            <w:pPr>
              <w:pStyle w:val="TableContents"/>
              <w:spacing w:before="0" w:after="283"/>
              <w:jc w:val="left"/>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408" w:type="dxa"/>
            <w:tcBorders/>
            <w:shd w:fill="FFFFFF" w:val="clear"/>
            <w:vAlign w:val="bottom"/>
          </w:tcPr>
          <w:p>
            <w:pPr>
              <w:pStyle w:val="TableContents"/>
              <w:spacing w:before="0" w:after="283"/>
              <w:jc w:val="right"/>
              <w:rPr/>
            </w:pPr>
            <w:r>
              <w:rPr/>
              <w:t xml:space="preserve">66 </w:t>
            </w:r>
          </w:p>
        </w:tc>
        <w:tc>
          <w:tcPr>
            <w:tcW w:w="183" w:type="dxa"/>
            <w:tcBorders/>
            <w:shd w:fill="FFFFFF" w:val="clear"/>
            <w:vAlign w:val="bottom"/>
          </w:tcPr>
          <w:p>
            <w:pPr>
              <w:pStyle w:val="TableContents"/>
              <w:spacing w:before="0" w:after="283"/>
              <w:jc w:val="left"/>
              <w:rPr/>
            </w:pPr>
            <w:r>
              <w:rPr/>
              <w:t xml:space="preserve">  </w:t>
            </w:r>
          </w:p>
        </w:tc>
      </w:tr>
      <w:tr>
        <w:trPr/>
        <w:tc>
          <w:tcPr>
            <w:tcW w:w="5152" w:type="dxa"/>
            <w:tcBorders/>
            <w:shd w:fill="FFFFFF" w:val="cle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c>
          <w:tcPr>
            <w:tcW w:w="1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rPr/>
            </w:pPr>
            <w:r>
              <w:rPr/>
              <w:t xml:space="preserve">  </w:t>
            </w:r>
          </w:p>
        </w:tc>
        <w:tc>
          <w:tcPr>
            <w:tcW w:w="1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Basin Pipeline System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an approximate 87% undivided joint interest in and act as operator of the Basin Pipeline System. The Basin system is a primary route for transporting Permian Basin crude oil to Cushing, Oklahoma, for further delivery to Mid-Continent and Midwest refining centers. The Basin system is a 519-mile mainline, telescoping crude oil system with a capacity ranging from approximately 144,000 barrels per day to 400,000 barrels per day depending on the segment. System throughput (as measured by system deliveries) was approximately 332,000 barrels per day (net to our interest) during 2006. Within the current operating range, a 20,000 barrel per day decline in volumes shipped on the Basin system would result in a decrease in annual transportation segment profit of approximately $1.8 million.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Basin system consists of four primary movements of crude oil: (i) barrels that are shipped from Jal, New Mexico to the West Texas markets of Wink and Midland; (ii) barrels that are shipped from Midland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connecting carriers at Colorado City; (iii) barrels that are shipped from Midland and Colorado City to connecting carriers at either Wichita Falls or Cushing; and (iv) foreign and Gulf of Mexico barrels that are delivered into Basin at Wichita Falls and delivered to connecting carriers at Cushing. The system also includes approximately 5.5 million barrels (4.8 million barrels, net to our interest) of crude oil storage capacity located along the system. In 2004, we expanded an approximate 425-mile section of the system from Midland to Cushing. With the completion of this expansion, the capacity of this section has increased approximately 15%, from 350,000 barrels per day to approximately 400,000 barrels per day. The Basin system is subject to tariff rates regulated by the FERC.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Capline/Capwood Pipeline Systems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Capline Pipeline System, in which we own a 22% undivided joint interest, is a 633-mile, 40-inch mainline crude oil pipeline originating in St. James, Louisiana, and terminating in Patoka, Illinois. The Capline Pipeline System is one of the primary transportation routes for crude oil shipped into the Midwestern U.S., accessing over 2.7 million barrels of refining capacity in PADD II. Shell is the operator of this system. Capline has direct connections to a significant amount of crude production in the Gulf of Mexico. In addition, with its two active docks capable of handling 600,000-barrel tankers as well as access to the Louisiana Offshore Oil Port, it is a key transporter of sweet and light sour foreign crude to PADD II. With a total system operating capacity of 1.14 million barrels per day of crude oil, approximately 248,000 barrels per day are subject to our interest. During 2006, throughput on our interest averaged approximately 160,000 barrels per day. A 10,000 barrel per day decline in volumes shipped on the Capline system would result in a decrease in our annual transportation segment profit of approximately $1.3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Capwood Pipeline System, in which we own a 76% undivided joint interest, is a 58-mile, 20-inch mainline crude oil pipeline originating in Patoka, Illinois, and terminating in Wood River, Illinois. The Capwood Pipeline System has an operating capacity of 277,000 barrels per day of crude oil. Of that capacity, approximately 211,000 barrels per day are subject to our interest. The system has the ability to deliver crude oil at Wood River to several other PADD II refineries and pipelines. Movements on the Capwood system are driven by the volumes shipped on Capline as well as by volumes of Canadian crude that can be delivered to Patoka via the Mustang Pipeline. PAA assumed the operatorship of the Capwood system from Shell Pipeline Company LP at the time of purchase. During 2006 throughput net to our interest averaged approximately 99,000 barrels per day.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Line 2000</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and operate Line 2000, an intrastate common carrier crude oil pipeline that originates at our Emidio Pump Station and transports crude oil produced in the San Joaquin Valley and California outer continental shelf to refineries and terminal facilities in the Los Angeles Basin. Line 2000 is a 151-mile trunk pipeline with a throughput capacity of 130,000 barrels per day. For the full year of 2006, throughput on Line 2000 averaged approximately 73,000 barrels per day. </w:t>
      </w:r>
    </w:p>
    <w:p>
      <w:pPr>
        <w:pStyle w:val="TextBody"/>
        <w:spacing w:before="240" w:after="283"/>
        <w:rPr/>
      </w:pPr>
      <w:r>
        <w:rPr/>
        <w:t> </w:t>
      </w:r>
    </w:p>
    <w:p>
      <w:pPr>
        <w:pStyle w:val="TextBody"/>
        <w:spacing w:before="0" w:after="0"/>
        <w:jc w:val="left"/>
        <w:rPr>
          <w:rFonts w:ascii="Times New Roman;Times" w:hAnsi="Times New Roman;Times"/>
          <w:b/>
          <w:i/>
          <w:color w:val="000000"/>
          <w:sz w:val="17"/>
          <w:highlight w:val="white"/>
        </w:rPr>
      </w:pPr>
      <w:r>
        <w:rPr>
          <w:rFonts w:ascii="Times New Roman;Times" w:hAnsi="Times New Roman;Times"/>
          <w:b/>
          <w:i/>
          <w:color w:val="000000"/>
          <w:sz w:val="17"/>
          <w:highlight w:val="white"/>
        </w:rPr>
        <w:t xml:space="preserve">Line 63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Line 63 system is an intrastate common carrier crude oil pipeline system that transports crude oil produced in the San Joaquin Valley and California outer continental shelf to refineries and terminal facilities in the Los Angeles Basin and in Bakersfield. The Line 63 system consists of a 107-mile trunk pipeline, originating at our Kelley Pump Station in Kern County, California and terminating at our West Hynes Station in Long Beach, California. The Line 63 system includes 60 miles of distribution pipelines in the Los Angeles Basin and in the Bakersfield area, 156 miles of gathering pipelines in the San Joaquin Valley, and 22 storage tanks with approximately 1.2 million barrels of storage capacity. These storage assets, the majority of which are located in the San Joaquin Valley, are used primarily to facilitate the transportation of crude oil on the Line 63 system. Line 63 has a throughput capacity of approximately 105,000 barrels per day. For the full year of 2006, throughput on Line 63 averaged approximately 86,000 barrels per day.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Rangeland System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Rangeland system includes the Mid Alberta Pipeline and the Rangeland Pipeline. The Mid Alberta Pipeline is a 138-mile proprietary pipeline with a throughput capacity of approximately 50,000 barrels per day if transporting light crude oil. The Mid Alberta Pipeline originates in Edmonton, Alberta and terminates in Sundre, Alberta where it connects to the Rangeland Pipeline. The Rangeland Pipeline is a proprietary pipeline system that consists of approximately 800 miles of gathering and trunk pipelines and is capable of transporting crude oil, condensate and butane either north to Edmonton, Alberta via third-party pipeline connections or south to the U.S./Canadian border near Cutbank, Montana where it connects to our Western Corridor system. The trunk pipeline from Sundre, Alberta to the U.S./Canadian border consists of approximately 250 miles of trunk pipelines and has a current throughput capacity of approximately 85,000 barrels per day if transporting light crude oil. The trunk system from Sundre, Alberta north to Rimbey, Alberta is a bi-directional system that consists of three parallel trunk pipelines: a 56-mile pipeline for low sulfur crude oil, a 63-mile pipeline for high sulfur crude oil, and a 56-mile pipeline for condensate and butane. From Rimbey, third-party pipelines move product north to Edmonton. For the full year of 2006, 22,500 barrels per day of crude oil was transported on the segment of the pipeline from Sundre north to Edmonton and 43,500 barrels per day was transported on the pipeline from Sundre south to the United States.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Western Corridor System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Western Corridor system is an interstate and intrastate common carrier crude oil pipeline system that consists of 1,012 miles of pipelines extending from the U.S./Canadian border near Cutbank, Montana, where it receives deliveries from our Rangeland Pipeline and the Cenex Pipeline, and terminates at Guernsey, Wyoming with connections to our Salt Lake City Core system, the Frontier Pipeline and various third-party pipelines. The Western Corridor system consists of three contiguous trunk pipelines: Glacier Pipeline, Beartooth Pipeline and Big Horn Pipeline.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i/>
              </w:rPr>
              <w:t>Glacier Pipeline.</w:t>
            </w:r>
            <w:r>
              <w:rPr/>
              <w:t xml:space="preserve">  We own a 20.8% undivided interest in Glacier Pipeline, which provides us with approximately 25,000 barrels per day of throughput capacity. Glacier Pipeline consists of 614 miles of two parallel crude oil pipelines, a 277-mile, 12-inch trunk pipeline, a 288-mile, 8-inch and 10-inch trunk pipeline, and a 49-mile 12-inch loop line, all extending from the Canadian border and Cutbank, Montana to Billings, Montana. Shipments on Glacier Pipeline can be delivered either to refineries in Billings and Laurel, Montana or into our Beartooth pipeline. For the full year of 2006, our throughput on Glacier Pipeline was approximately 20,000 barrels per day. ConocoPhillips Pipe Line Company is the operator of the Glacier Pipeline.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i/>
              </w:rPr>
              <w:t>Beartooth Pipeline.</w:t>
            </w:r>
            <w:r>
              <w:rPr/>
              <w:t xml:space="preserve">  We own a 50% undivided interest in Beartooth Pipeline, which provides us with approximately 25,000 barrels per day of throughput capacity. Beartooth Pipeline is a 76-mile, 12-inch trunk pipeline from Billings, Montana to Elk Basin, Wyoming. Beartooth Pipeline was constructed to connect our Glacier Pipeline with our Big Horn Pipeline where all shipments are delivered. For the full year of 2006, our throughput on Beartooth Pipeline was approximately 15,000 barrels per day. We operate the Beartooth Pipeline.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i/>
              </w:rPr>
              <w:t>Big Horn Pipeline.</w:t>
            </w:r>
            <w:r>
              <w:rPr/>
              <w:t xml:space="preserve">  We own a 57.6% undivided interest in Big Horn Pipeline, which provides us with approximately 33,900 barrels per day of throughput capacity. Big Horn Pipeline consists of a 231-mile, 12-inch trunk pipeline from Elk Basin, Wyoming to Casper, Wyoming and a 105-mile, 12-inch trunk pipeline from Casper, Wyoming to Guernsey, Wyoming. Shipments on our Big Horn Pipeline can be delivered either to Wyoming refineries directly, into Frontier Pipeline at Casper, Wyoming or into the Salt Lake City Core system, the Suncor Pipeline, or Platte Pipeline at Guernsey, Wyoming. For the full year of 2006, our interest in throughput on Big Horn Pipeline was approximately 15,000 barrels per day. We operate the Big Horn Pipeline.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own various undivided interests in 22 storage tanks along the Western Corridor System that provide us with a total of approximately 1.3 million barrels of storage capacity.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Salt Lake City Core System</w:t>
      </w:r>
      <w:r>
        <w:rPr>
          <w:rFonts w:ascii="Arial;Helvetica" w:hAnsi="Arial;Helvetica"/>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and operate the Salt Lake City Core system, an interstate and intrastate common carrier crude oil pipeline system that transports crude oil produced in Canada and the U.S. Rocky Mountain region primarily to refiners in Salt Lake City. The Salt Lake City Core system consists of 960 miles of trunk pipelines with a combined throughput capacity of approximately 114,000 barrels per day to Salt Lake City, 209 miles of gathering pipelines, and 32 storage tanks with a total of approximately 1.4 million barrels of storage capacity. This system originates in Ft. Laramie, Wyoming, receives deliveries from the Western Corridor system at Guernsey, Wyoming and can deliver to Salt Lake City, Utah and Rangely, Colorado. For the full year of 2006, approximately 45,000 barrels per day were delivered to Salt Lake City directly through our pipelines and of this amount approximately 11,600 barrels per day were delivered indirectly through connections to a Chevron pipeline. We are constructing a 95-mile expansion of this system to Salt Lake City, which is scheduled to be completed in early 2008. When completed, the pipeline will have an estimated capacity of 120,000 barrels per day. The cost of this project is supported by 10-year transportation contracts that have been executed with four Salt Lake City refiners. Also, in February 2007, we signed a letter of intent to sell a 25% interest in this line to Holly Energy Partners, L.P. As part of this agreement, Holly Refining and Marketing will enter into a 10-year transportation agreement on terms consistent with the four previously committed refiners. Plains portion of the total project cost is estimated to be $75 million, of which approximately $55 million is scheduled to be spent in 2007.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Cheyenne Pipeline</w:t>
      </w:r>
      <w:r>
        <w:rPr>
          <w:rFonts w:ascii="Arial;Helvetica" w:hAnsi="Arial;Helvetica"/>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a transportation agreement, we are constructing a 16-inch crude oil pipeline, approximately 93 miles in length, from Fort Laramie to Cheyenne, Wyoming, in exchange for a ten-year firm commitment to ship 35,000 barrels per day on the new pipeline and lease approximately 300,000 barrels of storage capacity at Fort Laramie. The project also includes 10 miles of a 24-inch pipeline from Guernsey to Fort Laramie. The total project cost is estimated to be $59 million of which $34 million is the estimated remaining project cost to be incurred in 2007. The project is expected to be completed by the end of the second quarter of 2007. Initial capacity will be 55,000 barrels per day.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Rocky Mountain Products Pipeline System</w:t>
      </w:r>
      <w:r>
        <w:rPr>
          <w:rFonts w:ascii="Arial;Helvetica" w:hAnsi="Arial;Helvetica"/>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Rocky Mountain Products Pipeline System consists of a 554-mile refined products pipeline extending from Casper, Wyoming east to Rapid City, South Dakota and south to Colorado Springs, Colorado. The Rocky Mountain Products Pipeline originates near Casper, Wyoming, where it serves as a connecting point with Sinclairs Little America Refinery and the ConocoPhillips Seminole Pipeline, which transports product from Billings, Montana area refineries. The system continues to Douglas, Wyoming where it branches off to serve our Rapid City, South Dakota terminal approximately 190 miles away. This segment also receives product from Wyoming Refining Company via a third-party pipeline at a connection located near the border of Wyoming and South Dakota. From Douglas, Wyoming, the Rocky Mountain Products Pipeline continues south to our terminals at Cheyenne, Wyoming, where it receives refined products from a refinery via a third-party pipeline, and continues on to Denver, Colorado and Colorado Springs, Colorado. Our Denver terminal also receives refined products from Sinclair Pipeline. The various segments of the Rocky Mountain Products Pipeline have a combined throughput capacity of 85,000 barrels per day. For the full year of 2006, our throughput on the Rocky Mountain Products Pipeline System was approximately 61,000 barrels per day (average for the entire year). The Rocky Mountain Products Pipeline System includes products terminals at Rapid City, South Dakota, Cheyenne, Wyoming and Denver and Colorado Springs, Colorado with a combined storage capacity of 1.7 million barrels.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El Paso to Albuquerque System</w:t>
      </w:r>
      <w:r>
        <w:rPr>
          <w:rFonts w:ascii="Arial;Helvetica" w:hAnsi="Arial;Helvetica"/>
          <w:color w:val="000000"/>
          <w:sz w:val="17"/>
          <w:highlight w:val="white"/>
        </w:rPr>
        <w:t xml:space="preserve"> </w:t>
      </w:r>
    </w:p>
    <w:p>
      <w:pPr>
        <w:pStyle w:val="TextBody"/>
        <w:spacing w:before="6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El Paso to Albuquerque refined products pipeline system is one of three refined products pipeline systems located in Texas and New Mexico. The El Paso to Albuquerque Products Pipeline system is a 257-mile system originating in El Paso, Texas, and terminating in Albuquerque, New Mexico, with approximately 28,200 barrels per day of throughput capacity. The El Paso to Albuquerque system receives various types of refined product at its origination station from Western Refining and Navajo Refining, and delivers product to third party terminals in Belen and Albuquerque, New Mexico. For the full year of 2006, our throughput on the El Paso to Albuquerque system was approximately 28,000 barrels per day.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Facilities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facilities segment generally consists of fee-based activities associated with providing storage, terminalling and throughput services for crude oil, refined products and LPG, as well as LPG fractionation and isomerization services.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employed a variety of owned or leased long-term physical assets throughout the United States and Canada in this segment,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approximately 30 million barrels of active, above-ground terminalling and storage facilities;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approximately 1.3 million barrels of active, underground terminalling and storage facilities;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two fractionation plants and one isomerization unit with aggregate processing capacity of 26,400 barrels per day.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year-end 2006, the Partnership was in the process of constructing approximately 12.5 million barrels of additional above-ground terminalling and storage facilities, which we expect to place in service during 2007 and 2008.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facilities segment also includes our equity earnings from our investment in PAA/Vulcan. At December 31, 2006, PAA/Vulcan owned and operated approximately 25.7 billion cubic feet of underground storage capacity and was constructing an additional 24 billion cubic feet of underground storage capacity which is expected to be placed in service in stages over the next three years.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generate revenue through a combination of month-to-month and multi-year leases and processing arrangements. Revenues generated in this segment include (i) storage fees that are generated when we lease tank capacity and (ii) terminalling fees, or throughput fees, that are generated when we receive crude oil from one connecting pipeline and redeliver crude oil to another connecting carrier.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Following is a tabular presentation of our active facilities segment assets and those under construction in the United States and Canada, grouped by product type: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755"/>
        <w:gridCol w:w="102"/>
        <w:gridCol w:w="4797"/>
        <w:gridCol w:w="204"/>
        <w:gridCol w:w="2347"/>
      </w:tblGrid>
      <w:tr>
        <w:trPr/>
        <w:tc>
          <w:tcPr>
            <w:tcW w:w="2755"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4797"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2347" w:type="dxa"/>
            <w:tcBorders/>
            <w:shd w:fill="FFFFFF" w:val="clear"/>
            <w:vAlign w:val="bottom"/>
          </w:tcPr>
          <w:p>
            <w:pPr>
              <w:pStyle w:val="TableContents"/>
              <w:spacing w:before="0" w:after="283"/>
              <w:rPr/>
            </w:pPr>
            <w:r>
              <w:rPr/>
              <w:t> </w:t>
            </w:r>
          </w:p>
        </w:tc>
      </w:tr>
      <w:tr>
        <w:trPr/>
        <w:tc>
          <w:tcPr>
            <w:tcW w:w="2755" w:type="dxa"/>
            <w:tcBorders/>
            <w:shd w:fill="FFFFFF" w:val="clear"/>
            <w:vAlign w:val="bottom"/>
          </w:tcPr>
          <w:p>
            <w:pPr>
              <w:pStyle w:val="TableContents"/>
              <w:spacing w:before="0" w:after="0"/>
              <w:jc w:val="left"/>
              <w:rPr>
                <w:bdr w:val="single" w:sz="2" w:space="1" w:color="000000"/>
              </w:rPr>
            </w:pPr>
            <w:r>
              <w:rPr>
                <w:b/>
                <w:bdr w:val="single" w:sz="2" w:space="1" w:color="000000"/>
              </w:rPr>
              <w:t>Facility</w:t>
            </w:r>
            <w:r>
              <w:rPr>
                <w:bdr w:val="single" w:sz="2" w:space="1" w:color="000000"/>
              </w:rPr>
              <w:t xml:space="preserve"> </w:t>
            </w:r>
          </w:p>
        </w:tc>
        <w:tc>
          <w:tcPr>
            <w:tcW w:w="102" w:type="dxa"/>
            <w:tcBorders/>
            <w:shd w:fill="FFFFFF" w:val="clear"/>
            <w:vAlign w:val="bottom"/>
          </w:tcPr>
          <w:p>
            <w:pPr>
              <w:pStyle w:val="TableContents"/>
              <w:spacing w:before="0" w:after="283"/>
              <w:jc w:val="center"/>
              <w:rPr/>
            </w:pPr>
            <w:r>
              <w:rPr/>
              <w:t xml:space="preserve">  </w:t>
            </w:r>
          </w:p>
        </w:tc>
        <w:tc>
          <w:tcPr>
            <w:tcW w:w="4797" w:type="dxa"/>
            <w:tcBorders/>
            <w:shd w:fill="FFFFFF" w:val="clear"/>
            <w:vAlign w:val="bottom"/>
          </w:tcPr>
          <w:p>
            <w:pPr>
              <w:pStyle w:val="TableContents"/>
              <w:spacing w:before="0" w:after="0"/>
              <w:jc w:val="center"/>
              <w:rPr>
                <w:bdr w:val="single" w:sz="2" w:space="1" w:color="000000"/>
              </w:rPr>
            </w:pPr>
            <w:r>
              <w:rPr>
                <w:b/>
                <w:bdr w:val="single" w:sz="2" w:space="1" w:color="000000"/>
              </w:rPr>
              <w:t>Facility Description</w:t>
            </w:r>
            <w:r>
              <w:rPr>
                <w:bdr w:val="single" w:sz="2" w:space="1" w:color="000000"/>
              </w:rPr>
              <w:t xml:space="preserve"> </w:t>
            </w:r>
          </w:p>
        </w:tc>
        <w:tc>
          <w:tcPr>
            <w:tcW w:w="204" w:type="dxa"/>
            <w:tcBorders/>
            <w:shd w:fill="FFFFFF" w:val="clear"/>
            <w:vAlign w:val="bottom"/>
          </w:tcPr>
          <w:p>
            <w:pPr>
              <w:pStyle w:val="TableContents"/>
              <w:spacing w:before="0" w:after="283"/>
              <w:jc w:val="center"/>
              <w:rPr/>
            </w:pPr>
            <w:r>
              <w:rPr/>
              <w:t xml:space="preserve">  </w:t>
            </w:r>
          </w:p>
        </w:tc>
        <w:tc>
          <w:tcPr>
            <w:tcW w:w="2347" w:type="dxa"/>
            <w:tcBorders/>
            <w:shd w:fill="FFFFFF" w:val="clear"/>
            <w:vAlign w:val="bottom"/>
          </w:tcPr>
          <w:p>
            <w:pPr>
              <w:pStyle w:val="TableContents"/>
              <w:spacing w:before="0" w:after="0"/>
              <w:jc w:val="center"/>
              <w:rPr>
                <w:bdr w:val="single" w:sz="2" w:space="1" w:color="000000"/>
              </w:rPr>
            </w:pPr>
            <w:r>
              <w:rPr>
                <w:b/>
                <w:bdr w:val="single" w:sz="2" w:space="1" w:color="000000"/>
              </w:rPr>
              <w:t>Capacity</w:t>
            </w:r>
            <w:r>
              <w:rPr>
                <w:bdr w:val="single" w:sz="2" w:space="1" w:color="000000"/>
              </w:rPr>
              <w:t xml:space="preserve"> </w:t>
            </w:r>
          </w:p>
        </w:tc>
      </w:tr>
      <w:tr>
        <w:trPr/>
        <w:tc>
          <w:tcPr>
            <w:tcW w:w="2755" w:type="dxa"/>
            <w:tcBorders/>
            <w:shd w:fill="FFFFFF" w:val="clear"/>
            <w:vAlign w:val="center"/>
          </w:tcPr>
          <w:p>
            <w:pPr>
              <w:pStyle w:val="TableContents"/>
              <w:spacing w:before="0" w:after="283"/>
              <w:rPr/>
            </w:pPr>
            <w:r>
              <w:rPr/>
              <w:t xml:space="preserve">  </w:t>
            </w:r>
          </w:p>
        </w:tc>
        <w:tc>
          <w:tcPr>
            <w:tcW w:w="7450" w:type="dxa"/>
            <w:gridSpan w:val="4"/>
            <w:tcBorders/>
            <w:shd w:fill="FFFFFF" w:val="clear"/>
          </w:tcPr>
          <w:p>
            <w:pPr>
              <w:pStyle w:val="TableContents"/>
              <w:spacing w:before="0" w:after="283"/>
              <w:rPr>
                <w:sz w:val="4"/>
                <w:szCs w:val="4"/>
              </w:rPr>
            </w:pPr>
            <w:r>
              <w:rPr>
                <w:sz w:val="4"/>
                <w:szCs w:val="4"/>
              </w:rPr>
            </w:r>
          </w:p>
        </w:tc>
      </w:tr>
      <w:tr>
        <w:trPr/>
        <w:tc>
          <w:tcPr>
            <w:tcW w:w="2755" w:type="dxa"/>
            <w:tcBorders/>
            <w:shd w:fill="FFFFFF" w:val="clear"/>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pPr>
            <w:r>
              <w:rPr/>
              <w:t xml:space="preserve">  </w:t>
            </w:r>
          </w:p>
        </w:tc>
      </w:tr>
      <w:tr>
        <w:trPr/>
        <w:tc>
          <w:tcPr>
            <w:tcW w:w="2755" w:type="dxa"/>
            <w:tcBorders/>
            <w:shd w:fill="FFFFFF" w:val="clear"/>
          </w:tcPr>
          <w:p>
            <w:pPr>
              <w:pStyle w:val="TableContents"/>
              <w:spacing w:before="0" w:after="0"/>
              <w:ind w:left="160" w:right="0" w:hanging="160"/>
              <w:jc w:val="left"/>
              <w:rPr/>
            </w:pPr>
            <w:r>
              <w:rPr>
                <w:b/>
                <w:sz w:val="13"/>
              </w:rPr>
              <w:t>Crude oil and refined products</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pPr>
            <w:r>
              <w:rPr/>
              <w:t xml:space="preserve">  </w:t>
            </w:r>
          </w:p>
        </w:tc>
      </w:tr>
      <w:tr>
        <w:trPr/>
        <w:tc>
          <w:tcPr>
            <w:tcW w:w="2755" w:type="dxa"/>
            <w:tcBorders/>
            <w:shd w:fill="FFFFFF" w:val="clear"/>
          </w:tcPr>
          <w:p>
            <w:pPr>
              <w:pStyle w:val="TableContents"/>
              <w:spacing w:before="0" w:after="0"/>
              <w:ind w:left="340" w:right="0" w:hanging="180"/>
              <w:jc w:val="left"/>
              <w:rPr/>
            </w:pPr>
            <w:r>
              <w:rPr>
                <w:i/>
                <w:sz w:val="13"/>
              </w:rPr>
              <w:t>Cushing</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terminalling and storage facility at the Cushing Interchange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7.4 million barrels </w:t>
            </w:r>
          </w:p>
        </w:tc>
      </w:tr>
      <w:tr>
        <w:trPr/>
        <w:tc>
          <w:tcPr>
            <w:tcW w:w="2755" w:type="dxa"/>
            <w:tcBorders/>
            <w:shd w:fill="FFFFFF" w:val="clear"/>
          </w:tcPr>
          <w:p>
            <w:pPr>
              <w:pStyle w:val="TableContents"/>
              <w:spacing w:before="0" w:after="0"/>
              <w:ind w:left="340" w:right="0" w:hanging="180"/>
              <w:jc w:val="left"/>
              <w:rPr/>
            </w:pPr>
            <w:r>
              <w:rPr>
                <w:i/>
                <w:sz w:val="13"/>
              </w:rPr>
              <w:t>Eastern</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Refined products terminals in Philadelphia, Pennsylvania and Paulsboro, New Jersey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3.1 million barrels </w:t>
            </w:r>
          </w:p>
        </w:tc>
      </w:tr>
      <w:tr>
        <w:trPr/>
        <w:tc>
          <w:tcPr>
            <w:tcW w:w="2755" w:type="dxa"/>
            <w:tcBorders/>
            <w:shd w:fill="FFFFFF" w:val="clear"/>
          </w:tcPr>
          <w:p>
            <w:pPr>
              <w:pStyle w:val="TableContents"/>
              <w:spacing w:before="0" w:after="0"/>
              <w:ind w:left="340" w:right="0" w:hanging="180"/>
              <w:jc w:val="left"/>
              <w:rPr/>
            </w:pPr>
            <w:r>
              <w:rPr>
                <w:i/>
                <w:sz w:val="13"/>
              </w:rPr>
              <w:t>Kerrobert</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terminalling and storage facility located near Kerrobert, Saskatchewan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1.7 million barrels </w:t>
            </w:r>
          </w:p>
        </w:tc>
      </w:tr>
      <w:tr>
        <w:trPr/>
        <w:tc>
          <w:tcPr>
            <w:tcW w:w="2755" w:type="dxa"/>
            <w:tcBorders/>
            <w:shd w:fill="FFFFFF" w:val="clear"/>
          </w:tcPr>
          <w:p>
            <w:pPr>
              <w:pStyle w:val="TableContents"/>
              <w:spacing w:before="0" w:after="0"/>
              <w:ind w:left="340" w:right="0" w:hanging="180"/>
              <w:jc w:val="left"/>
              <w:rPr/>
            </w:pPr>
            <w:r>
              <w:rPr>
                <w:i/>
                <w:sz w:val="13"/>
              </w:rPr>
              <w:t>LA Basin</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and refined products storage and pipeline distribution system in Los Angeles Basin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9.0 million barrels </w:t>
            </w:r>
          </w:p>
        </w:tc>
      </w:tr>
      <w:tr>
        <w:trPr/>
        <w:tc>
          <w:tcPr>
            <w:tcW w:w="2755" w:type="dxa"/>
            <w:tcBorders/>
            <w:shd w:fill="FFFFFF" w:val="clear"/>
          </w:tcPr>
          <w:p>
            <w:pPr>
              <w:pStyle w:val="TableContents"/>
              <w:spacing w:before="0" w:after="0"/>
              <w:ind w:left="340" w:right="0" w:hanging="180"/>
              <w:jc w:val="left"/>
              <w:rPr/>
            </w:pPr>
            <w:r>
              <w:rPr>
                <w:i/>
                <w:sz w:val="13"/>
              </w:rPr>
              <w:t>Martinez and Richmond</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and refined products storage terminals in the San Francisco area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4.5 million barrels </w:t>
            </w:r>
          </w:p>
        </w:tc>
      </w:tr>
      <w:tr>
        <w:trPr/>
        <w:tc>
          <w:tcPr>
            <w:tcW w:w="2755" w:type="dxa"/>
            <w:tcBorders/>
            <w:shd w:fill="FFFFFF" w:val="clear"/>
          </w:tcPr>
          <w:p>
            <w:pPr>
              <w:pStyle w:val="TableContents"/>
              <w:spacing w:before="0" w:after="0"/>
              <w:ind w:left="340" w:right="0" w:hanging="180"/>
              <w:jc w:val="left"/>
              <w:rPr/>
            </w:pPr>
            <w:r>
              <w:rPr>
                <w:i/>
                <w:sz w:val="13"/>
              </w:rPr>
              <w:t>Mobile and Ten Mile</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marine and storage terminals in Mobile, Alabama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3.3 million barrels </w:t>
            </w:r>
          </w:p>
        </w:tc>
      </w:tr>
      <w:tr>
        <w:trPr/>
        <w:tc>
          <w:tcPr>
            <w:tcW w:w="2755" w:type="dxa"/>
            <w:tcBorders/>
            <w:shd w:fill="FFFFFF" w:val="clear"/>
          </w:tcPr>
          <w:p>
            <w:pPr>
              <w:pStyle w:val="TableContents"/>
              <w:spacing w:before="0" w:after="0"/>
              <w:ind w:left="340" w:right="0" w:hanging="180"/>
              <w:jc w:val="left"/>
              <w:rPr/>
            </w:pPr>
            <w:r>
              <w:rPr>
                <w:i/>
                <w:sz w:val="13"/>
              </w:rPr>
              <w:t>St. James</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Crude oil terminal in Louisiana (Phase I)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1.2 million barrels </w:t>
            </w:r>
          </w:p>
        </w:tc>
      </w:tr>
      <w:tr>
        <w:trPr/>
        <w:tc>
          <w:tcPr>
            <w:tcW w:w="2755" w:type="dxa"/>
            <w:tcBorders/>
            <w:shd w:fill="FFFFFF" w:val="clear"/>
          </w:tcPr>
          <w:p>
            <w:pPr>
              <w:pStyle w:val="TableContents"/>
              <w:spacing w:before="0" w:after="0"/>
              <w:ind w:left="160" w:right="0" w:hanging="160"/>
              <w:jc w:val="left"/>
              <w:rPr/>
            </w:pPr>
            <w:r>
              <w:rPr>
                <w:b/>
                <w:sz w:val="13"/>
              </w:rPr>
              <w:t>LPG</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pPr>
            <w:r>
              <w:rPr/>
              <w:t xml:space="preserve">  </w:t>
            </w:r>
          </w:p>
        </w:tc>
      </w:tr>
      <w:tr>
        <w:trPr/>
        <w:tc>
          <w:tcPr>
            <w:tcW w:w="2755" w:type="dxa"/>
            <w:tcBorders/>
            <w:shd w:fill="FFFFFF" w:val="clear"/>
          </w:tcPr>
          <w:p>
            <w:pPr>
              <w:pStyle w:val="TableContents"/>
              <w:spacing w:before="0" w:after="0"/>
              <w:ind w:left="340" w:right="0" w:hanging="180"/>
              <w:jc w:val="left"/>
              <w:rPr/>
            </w:pPr>
            <w:r>
              <w:rPr>
                <w:i/>
                <w:sz w:val="13"/>
              </w:rPr>
              <w:t>Alto</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Butane and propane salt cavern storage terminal in Michigan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1.3 million barrels </w:t>
            </w:r>
          </w:p>
        </w:tc>
      </w:tr>
      <w:tr>
        <w:trPr/>
        <w:tc>
          <w:tcPr>
            <w:tcW w:w="2755" w:type="dxa"/>
            <w:tcBorders/>
            <w:shd w:fill="FFFFFF" w:val="clear"/>
          </w:tcPr>
          <w:p>
            <w:pPr>
              <w:pStyle w:val="TableContents"/>
              <w:spacing w:before="0" w:after="0"/>
              <w:ind w:left="340" w:right="0" w:hanging="180"/>
              <w:jc w:val="left"/>
              <w:rPr/>
            </w:pPr>
            <w:r>
              <w:rPr>
                <w:i/>
                <w:sz w:val="13"/>
              </w:rPr>
              <w:t>Arlington and Washougal</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Transloading LPG terminals in Washington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Claremont</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Transloading LPG terminal in New Hampshire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Cordova</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Transloading LPG terminal in Illinois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Fort Madison</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Propane pipeline terminal in Iowa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High Prairie</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Fractionation facility in Alberta, producing butane, propane and stabilized condensate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Kincheloe</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Transloading LPG terminal in Michigan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340" w:right="0" w:hanging="180"/>
              <w:jc w:val="left"/>
              <w:rPr/>
            </w:pPr>
            <w:r>
              <w:rPr>
                <w:i/>
                <w:sz w:val="13"/>
              </w:rPr>
              <w:t>Schaefferstown</w:t>
            </w:r>
            <w:r>
              <w:rPr/>
              <w:t xml:space="preserve"> </w:t>
            </w:r>
          </w:p>
        </w:tc>
        <w:tc>
          <w:tcPr>
            <w:tcW w:w="102" w:type="dxa"/>
            <w:tcBorders/>
            <w:shd w:fill="FFFFFF" w:val="clear"/>
            <w:vAlign w:val="bottom"/>
          </w:tcPr>
          <w:p>
            <w:pPr>
              <w:pStyle w:val="TableContents"/>
              <w:spacing w:before="0" w:after="283"/>
              <w:rPr/>
            </w:pPr>
            <w:r>
              <w:rPr/>
              <w:t xml:space="preserve">  </w:t>
            </w:r>
          </w:p>
        </w:tc>
        <w:tc>
          <w:tcPr>
            <w:tcW w:w="4797" w:type="dxa"/>
            <w:tcBorders/>
            <w:shd w:fill="FFFFFF" w:val="clear"/>
            <w:vAlign w:val="bottom"/>
          </w:tcPr>
          <w:p>
            <w:pPr>
              <w:pStyle w:val="TableContents"/>
              <w:spacing w:before="0" w:after="283"/>
              <w:jc w:val="left"/>
              <w:rPr>
                <w:sz w:val="13"/>
              </w:rPr>
            </w:pPr>
            <w:r>
              <w:rPr>
                <w:sz w:val="13"/>
              </w:rPr>
              <w:t xml:space="preserve">Refrigerated storage terminal in Pennsylvania </w:t>
            </w:r>
          </w:p>
        </w:tc>
        <w:tc>
          <w:tcPr>
            <w:tcW w:w="204" w:type="dxa"/>
            <w:tcBorders/>
            <w:shd w:fill="FFFFFF" w:val="clear"/>
            <w:vAlign w:val="bottom"/>
          </w:tcPr>
          <w:p>
            <w:pPr>
              <w:pStyle w:val="TableContents"/>
              <w:spacing w:before="0" w:after="283"/>
              <w:rPr/>
            </w:pPr>
            <w:r>
              <w:rPr/>
              <w:t xml:space="preserve">  </w:t>
            </w:r>
          </w:p>
        </w:tc>
        <w:tc>
          <w:tcPr>
            <w:tcW w:w="2347" w:type="dxa"/>
            <w:tcBorders/>
            <w:shd w:fill="FFFFFF" w:val="clear"/>
          </w:tcPr>
          <w:p>
            <w:pPr>
              <w:pStyle w:val="TableContents"/>
              <w:spacing w:before="0" w:after="283"/>
              <w:jc w:val="center"/>
              <w:rPr>
                <w:sz w:val="13"/>
              </w:rPr>
            </w:pPr>
            <w:r>
              <w:rPr>
                <w:sz w:val="13"/>
              </w:rPr>
              <w:t xml:space="preserve">0.5 million barrels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755"/>
        <w:gridCol w:w="102"/>
        <w:gridCol w:w="4796"/>
        <w:gridCol w:w="204"/>
        <w:gridCol w:w="2348"/>
      </w:tblGrid>
      <w:tr>
        <w:trPr/>
        <w:tc>
          <w:tcPr>
            <w:tcW w:w="2755"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4796"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2348" w:type="dxa"/>
            <w:tcBorders/>
            <w:shd w:fill="FFFFFF" w:val="clear"/>
            <w:vAlign w:val="bottom"/>
          </w:tcPr>
          <w:p>
            <w:pPr>
              <w:pStyle w:val="TableContents"/>
              <w:spacing w:before="0" w:after="283"/>
              <w:rPr/>
            </w:pPr>
            <w:r>
              <w:rPr/>
              <w:t> </w:t>
            </w:r>
          </w:p>
        </w:tc>
      </w:tr>
      <w:tr>
        <w:trPr/>
        <w:tc>
          <w:tcPr>
            <w:tcW w:w="2755" w:type="dxa"/>
            <w:tcBorders/>
            <w:shd w:fill="FFFFFF" w:val="clear"/>
            <w:vAlign w:val="bottom"/>
          </w:tcPr>
          <w:p>
            <w:pPr>
              <w:pStyle w:val="TableContents"/>
              <w:spacing w:before="0" w:after="0"/>
              <w:jc w:val="left"/>
              <w:rPr>
                <w:bdr w:val="single" w:sz="2" w:space="1" w:color="000000"/>
              </w:rPr>
            </w:pPr>
            <w:r>
              <w:rPr>
                <w:b/>
                <w:bdr w:val="single" w:sz="2" w:space="1" w:color="000000"/>
              </w:rPr>
              <w:t>Facility</w:t>
            </w:r>
            <w:r>
              <w:rPr>
                <w:bdr w:val="single" w:sz="2" w:space="1" w:color="000000"/>
              </w:rPr>
              <w:t xml:space="preserve"> </w:t>
            </w:r>
          </w:p>
        </w:tc>
        <w:tc>
          <w:tcPr>
            <w:tcW w:w="102" w:type="dxa"/>
            <w:tcBorders/>
            <w:shd w:fill="FFFFFF" w:val="clear"/>
            <w:vAlign w:val="bottom"/>
          </w:tcPr>
          <w:p>
            <w:pPr>
              <w:pStyle w:val="TableContents"/>
              <w:spacing w:before="0" w:after="283"/>
              <w:jc w:val="center"/>
              <w:rPr/>
            </w:pPr>
            <w:r>
              <w:rPr/>
              <w:t xml:space="preserve">  </w:t>
            </w:r>
          </w:p>
        </w:tc>
        <w:tc>
          <w:tcPr>
            <w:tcW w:w="4796" w:type="dxa"/>
            <w:tcBorders/>
            <w:shd w:fill="FFFFFF" w:val="clear"/>
            <w:vAlign w:val="bottom"/>
          </w:tcPr>
          <w:p>
            <w:pPr>
              <w:pStyle w:val="TableContents"/>
              <w:spacing w:before="0" w:after="0"/>
              <w:jc w:val="center"/>
              <w:rPr>
                <w:bdr w:val="single" w:sz="2" w:space="1" w:color="000000"/>
              </w:rPr>
            </w:pPr>
            <w:r>
              <w:rPr>
                <w:b/>
                <w:bdr w:val="single" w:sz="2" w:space="1" w:color="000000"/>
              </w:rPr>
              <w:t>Facility Description</w:t>
            </w:r>
            <w:r>
              <w:rPr>
                <w:bdr w:val="single" w:sz="2" w:space="1" w:color="000000"/>
              </w:rPr>
              <w:t xml:space="preserve"> </w:t>
            </w:r>
          </w:p>
        </w:tc>
        <w:tc>
          <w:tcPr>
            <w:tcW w:w="204" w:type="dxa"/>
            <w:tcBorders/>
            <w:shd w:fill="FFFFFF" w:val="clear"/>
            <w:vAlign w:val="bottom"/>
          </w:tcPr>
          <w:p>
            <w:pPr>
              <w:pStyle w:val="TableContents"/>
              <w:spacing w:before="0" w:after="283"/>
              <w:jc w:val="center"/>
              <w:rPr/>
            </w:pPr>
            <w:r>
              <w:rPr/>
              <w:t xml:space="preserve">  </w:t>
            </w:r>
          </w:p>
        </w:tc>
        <w:tc>
          <w:tcPr>
            <w:tcW w:w="2348" w:type="dxa"/>
            <w:tcBorders/>
            <w:shd w:fill="FFFFFF" w:val="clear"/>
            <w:vAlign w:val="bottom"/>
          </w:tcPr>
          <w:p>
            <w:pPr>
              <w:pStyle w:val="TableContents"/>
              <w:spacing w:before="0" w:after="0"/>
              <w:jc w:val="center"/>
              <w:rPr>
                <w:bdr w:val="single" w:sz="2" w:space="1" w:color="000000"/>
              </w:rPr>
            </w:pPr>
            <w:r>
              <w:rPr>
                <w:b/>
                <w:bdr w:val="single" w:sz="2" w:space="1" w:color="000000"/>
              </w:rPr>
              <w:t>Capacity</w:t>
            </w:r>
            <w:r>
              <w:rPr>
                <w:bdr w:val="single" w:sz="2" w:space="1" w:color="000000"/>
              </w:rPr>
              <w:t xml:space="preserve"> </w:t>
            </w:r>
          </w:p>
        </w:tc>
      </w:tr>
      <w:tr>
        <w:trPr/>
        <w:tc>
          <w:tcPr>
            <w:tcW w:w="2755" w:type="dxa"/>
            <w:tcBorders/>
            <w:shd w:fill="FFFFFF" w:val="clear"/>
            <w:vAlign w:val="center"/>
          </w:tcPr>
          <w:p>
            <w:pPr>
              <w:pStyle w:val="TableContents"/>
              <w:spacing w:before="0" w:after="283"/>
              <w:rPr/>
            </w:pPr>
            <w:r>
              <w:rPr/>
              <w:t xml:space="preserve">  </w:t>
            </w:r>
          </w:p>
        </w:tc>
        <w:tc>
          <w:tcPr>
            <w:tcW w:w="7450" w:type="dxa"/>
            <w:gridSpan w:val="4"/>
            <w:tcBorders/>
            <w:shd w:fill="FFFFFF" w:val="clear"/>
          </w:tcPr>
          <w:p>
            <w:pPr>
              <w:pStyle w:val="TableContents"/>
              <w:spacing w:before="0" w:after="283"/>
              <w:rPr>
                <w:sz w:val="4"/>
                <w:szCs w:val="4"/>
              </w:rPr>
            </w:pPr>
            <w:r>
              <w:rPr>
                <w:sz w:val="4"/>
                <w:szCs w:val="4"/>
              </w:rPr>
            </w:r>
          </w:p>
        </w:tc>
      </w:tr>
      <w:tr>
        <w:trPr/>
        <w:tc>
          <w:tcPr>
            <w:tcW w:w="2755" w:type="dxa"/>
            <w:tcBorders/>
            <w:shd w:fill="FFFFFF" w:val="clear"/>
          </w:tcPr>
          <w:p>
            <w:pPr>
              <w:pStyle w:val="TableContents"/>
              <w:spacing w:before="0" w:after="0"/>
              <w:ind w:left="340" w:right="0" w:hanging="180"/>
              <w:jc w:val="left"/>
              <w:rPr/>
            </w:pPr>
            <w:r>
              <w:rPr>
                <w:i/>
                <w:sz w:val="13"/>
              </w:rPr>
              <w:t>Shafter</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Isomerization facility in California, producing isobutane, propane and stabilized condensate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0.2 million barrels </w:t>
            </w:r>
          </w:p>
        </w:tc>
      </w:tr>
      <w:tr>
        <w:trPr/>
        <w:tc>
          <w:tcPr>
            <w:tcW w:w="2755" w:type="dxa"/>
            <w:tcBorders/>
            <w:shd w:fill="FFFFFF" w:val="clear"/>
          </w:tcPr>
          <w:p>
            <w:pPr>
              <w:pStyle w:val="TableContents"/>
              <w:spacing w:before="0" w:after="0"/>
              <w:ind w:left="340" w:right="0" w:hanging="180"/>
              <w:jc w:val="left"/>
              <w:rPr/>
            </w:pPr>
            <w:r>
              <w:rPr>
                <w:i/>
                <w:sz w:val="13"/>
              </w:rPr>
              <w:t>Tulsa</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Propane pipeline terminal in Oklahoma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&lt; 0.1 million barrels </w:t>
            </w:r>
          </w:p>
        </w:tc>
      </w:tr>
      <w:tr>
        <w:trPr/>
        <w:tc>
          <w:tcPr>
            <w:tcW w:w="2755" w:type="dxa"/>
            <w:tcBorders/>
            <w:shd w:fill="FFFFFF" w:val="clear"/>
          </w:tcPr>
          <w:p>
            <w:pPr>
              <w:pStyle w:val="TableContents"/>
              <w:spacing w:before="0" w:after="0"/>
              <w:ind w:left="160" w:right="0" w:hanging="160"/>
              <w:jc w:val="left"/>
              <w:rPr/>
            </w:pPr>
            <w:r>
              <w:rPr>
                <w:b/>
                <w:sz w:val="13"/>
              </w:rPr>
              <w:t>Natural Gas</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pPr>
            <w:r>
              <w:rPr/>
              <w:t xml:space="preserve">  </w:t>
            </w:r>
          </w:p>
        </w:tc>
      </w:tr>
      <w:tr>
        <w:trPr/>
        <w:tc>
          <w:tcPr>
            <w:tcW w:w="2755" w:type="dxa"/>
            <w:tcBorders/>
            <w:shd w:fill="FFFFFF" w:val="clear"/>
          </w:tcPr>
          <w:p>
            <w:pPr>
              <w:pStyle w:val="TableContents"/>
              <w:spacing w:before="0" w:after="0"/>
              <w:ind w:left="340" w:right="0" w:hanging="180"/>
              <w:jc w:val="left"/>
              <w:rPr/>
            </w:pPr>
            <w:r>
              <w:rPr>
                <w:i/>
                <w:sz w:val="13"/>
              </w:rPr>
              <w:t>Bluewater/Kimball</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Natural gas storage facility in Michigan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pPr>
            <w:r>
              <w:rPr/>
              <w:t>     </w:t>
            </w:r>
            <w:r>
              <w:rPr>
                <w:sz w:val="13"/>
              </w:rPr>
              <w:t xml:space="preserve">25.7 Bcf (1) </w:t>
            </w:r>
          </w:p>
        </w:tc>
      </w:tr>
      <w:tr>
        <w:trPr/>
        <w:tc>
          <w:tcPr>
            <w:tcW w:w="2755" w:type="dxa"/>
            <w:tcBorders/>
            <w:shd w:fill="FFFFFF" w:val="clear"/>
          </w:tcPr>
          <w:p>
            <w:pPr>
              <w:pStyle w:val="TableContents"/>
              <w:spacing w:before="0" w:after="0"/>
              <w:ind w:left="160" w:right="0" w:hanging="160"/>
              <w:jc w:val="left"/>
              <w:rPr/>
            </w:pPr>
            <w:r>
              <w:rPr>
                <w:b/>
                <w:sz w:val="13"/>
              </w:rPr>
              <w:t>Under Construction</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pPr>
            <w:r>
              <w:rPr/>
              <w:t xml:space="preserve">  </w:t>
            </w:r>
          </w:p>
        </w:tc>
      </w:tr>
      <w:tr>
        <w:trPr/>
        <w:tc>
          <w:tcPr>
            <w:tcW w:w="2755" w:type="dxa"/>
            <w:tcBorders/>
            <w:shd w:fill="FFFFFF" w:val="clear"/>
          </w:tcPr>
          <w:p>
            <w:pPr>
              <w:pStyle w:val="TableContents"/>
              <w:spacing w:before="0" w:after="0"/>
              <w:ind w:left="340" w:right="0" w:hanging="180"/>
              <w:jc w:val="left"/>
              <w:rPr/>
            </w:pPr>
            <w:r>
              <w:rPr>
                <w:i/>
                <w:sz w:val="13"/>
              </w:rPr>
              <w:t>Martinez</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Expansion to crude oil and refined products terminal in California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0.9 million barrels </w:t>
            </w:r>
          </w:p>
        </w:tc>
      </w:tr>
      <w:tr>
        <w:trPr/>
        <w:tc>
          <w:tcPr>
            <w:tcW w:w="2755" w:type="dxa"/>
            <w:tcBorders/>
            <w:shd w:fill="FFFFFF" w:val="clear"/>
          </w:tcPr>
          <w:p>
            <w:pPr>
              <w:pStyle w:val="TableContents"/>
              <w:spacing w:before="0" w:after="0"/>
              <w:ind w:left="340" w:right="0" w:hanging="180"/>
              <w:jc w:val="left"/>
              <w:rPr/>
            </w:pPr>
            <w:r>
              <w:rPr>
                <w:i/>
                <w:sz w:val="13"/>
              </w:rPr>
              <w:t>Mobile and Ten Mile</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Expansion to crude oil terminal in Alabama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0.6 million barrels </w:t>
            </w:r>
          </w:p>
        </w:tc>
      </w:tr>
      <w:tr>
        <w:trPr/>
        <w:tc>
          <w:tcPr>
            <w:tcW w:w="2755" w:type="dxa"/>
            <w:tcBorders/>
            <w:shd w:fill="FFFFFF" w:val="clear"/>
          </w:tcPr>
          <w:p>
            <w:pPr>
              <w:pStyle w:val="TableContents"/>
              <w:spacing w:before="0" w:after="0"/>
              <w:ind w:left="340" w:right="0" w:hanging="180"/>
              <w:jc w:val="left"/>
              <w:rPr/>
            </w:pPr>
            <w:r>
              <w:rPr>
                <w:i/>
                <w:sz w:val="13"/>
              </w:rPr>
              <w:t>Patoka</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Crude oil storage and terminal facility in Patoka, Illinois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2.6 million barrels </w:t>
            </w:r>
          </w:p>
        </w:tc>
      </w:tr>
      <w:tr>
        <w:trPr/>
        <w:tc>
          <w:tcPr>
            <w:tcW w:w="2755" w:type="dxa"/>
            <w:tcBorders/>
            <w:shd w:fill="FFFFFF" w:val="clear"/>
          </w:tcPr>
          <w:p>
            <w:pPr>
              <w:pStyle w:val="TableContents"/>
              <w:spacing w:before="0" w:after="0"/>
              <w:ind w:left="340" w:right="0" w:hanging="180"/>
              <w:jc w:val="left"/>
              <w:rPr/>
            </w:pPr>
            <w:r>
              <w:rPr>
                <w:i/>
                <w:sz w:val="13"/>
              </w:rPr>
              <w:t>Pier 400</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Deepwater petroleum import terminal in the Port of Los Angeles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Under Development </w:t>
            </w:r>
          </w:p>
        </w:tc>
      </w:tr>
      <w:tr>
        <w:trPr/>
        <w:tc>
          <w:tcPr>
            <w:tcW w:w="2755" w:type="dxa"/>
            <w:tcBorders/>
            <w:shd w:fill="FFFFFF" w:val="clear"/>
          </w:tcPr>
          <w:p>
            <w:pPr>
              <w:pStyle w:val="TableContents"/>
              <w:spacing w:before="0" w:after="0"/>
              <w:ind w:left="340" w:right="0" w:hanging="180"/>
              <w:jc w:val="left"/>
              <w:rPr/>
            </w:pPr>
            <w:r>
              <w:rPr>
                <w:i/>
                <w:sz w:val="13"/>
              </w:rPr>
              <w:t>Pine Prairie</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Natural gas storage facility in Louisiana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24 Bcf (1) </w:t>
            </w:r>
          </w:p>
        </w:tc>
      </w:tr>
      <w:tr>
        <w:trPr/>
        <w:tc>
          <w:tcPr>
            <w:tcW w:w="2755" w:type="dxa"/>
            <w:tcBorders/>
            <w:shd w:fill="FFFFFF" w:val="clear"/>
          </w:tcPr>
          <w:p>
            <w:pPr>
              <w:pStyle w:val="TableContents"/>
              <w:spacing w:before="0" w:after="0"/>
              <w:ind w:left="340" w:right="0" w:hanging="180"/>
              <w:jc w:val="left"/>
              <w:rPr/>
            </w:pPr>
            <w:r>
              <w:rPr>
                <w:i/>
                <w:sz w:val="13"/>
              </w:rPr>
              <w:t>Cushing</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Expansion to crude oil terminalling and storage facility at the Cushing Interchange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3.4 million barrels </w:t>
            </w:r>
          </w:p>
        </w:tc>
      </w:tr>
      <w:tr>
        <w:trPr/>
        <w:tc>
          <w:tcPr>
            <w:tcW w:w="2755" w:type="dxa"/>
            <w:tcBorders/>
            <w:shd w:fill="FFFFFF" w:val="clear"/>
          </w:tcPr>
          <w:p>
            <w:pPr>
              <w:pStyle w:val="TableContents"/>
              <w:spacing w:before="0" w:after="0"/>
              <w:ind w:left="340" w:right="0" w:hanging="180"/>
              <w:jc w:val="left"/>
              <w:rPr/>
            </w:pPr>
            <w:r>
              <w:rPr>
                <w:i/>
                <w:sz w:val="13"/>
              </w:rPr>
              <w:t>St. James</w:t>
            </w:r>
            <w:r>
              <w:rPr/>
              <w:t xml:space="preserve"> </w:t>
            </w:r>
          </w:p>
        </w:tc>
        <w:tc>
          <w:tcPr>
            <w:tcW w:w="102" w:type="dxa"/>
            <w:tcBorders/>
            <w:shd w:fill="FFFFFF" w:val="clear"/>
            <w:vAlign w:val="bottom"/>
          </w:tcPr>
          <w:p>
            <w:pPr>
              <w:pStyle w:val="TableContents"/>
              <w:spacing w:before="0" w:after="283"/>
              <w:rPr/>
            </w:pPr>
            <w:r>
              <w:rPr/>
              <w:t xml:space="preserve">  </w:t>
            </w:r>
          </w:p>
        </w:tc>
        <w:tc>
          <w:tcPr>
            <w:tcW w:w="4796" w:type="dxa"/>
            <w:tcBorders/>
            <w:shd w:fill="FFFFFF" w:val="clear"/>
            <w:vAlign w:val="bottom"/>
          </w:tcPr>
          <w:p>
            <w:pPr>
              <w:pStyle w:val="TableContents"/>
              <w:spacing w:before="0" w:after="283"/>
              <w:jc w:val="left"/>
              <w:rPr>
                <w:sz w:val="13"/>
              </w:rPr>
            </w:pPr>
            <w:r>
              <w:rPr>
                <w:sz w:val="13"/>
              </w:rPr>
              <w:t xml:space="preserve">Expansion to crude oil terminal in Louisiana (Phase I and II) </w:t>
            </w:r>
          </w:p>
        </w:tc>
        <w:tc>
          <w:tcPr>
            <w:tcW w:w="204" w:type="dxa"/>
            <w:tcBorders/>
            <w:shd w:fill="FFFFFF" w:val="clear"/>
            <w:vAlign w:val="bottom"/>
          </w:tcPr>
          <w:p>
            <w:pPr>
              <w:pStyle w:val="TableContents"/>
              <w:spacing w:before="0" w:after="283"/>
              <w:rPr/>
            </w:pPr>
            <w:r>
              <w:rPr/>
              <w:t xml:space="preserve">  </w:t>
            </w:r>
          </w:p>
        </w:tc>
        <w:tc>
          <w:tcPr>
            <w:tcW w:w="2348" w:type="dxa"/>
            <w:tcBorders/>
            <w:shd w:fill="FFFFFF" w:val="clear"/>
          </w:tcPr>
          <w:p>
            <w:pPr>
              <w:pStyle w:val="TableContents"/>
              <w:spacing w:before="0" w:after="283"/>
              <w:jc w:val="center"/>
              <w:rPr>
                <w:sz w:val="13"/>
              </w:rPr>
            </w:pPr>
            <w:r>
              <w:rPr>
                <w:sz w:val="13"/>
              </w:rPr>
              <w:t xml:space="preserve">5.0 million barrels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Our interest in these facilities is 50% of the capacity stated above</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Below is a detailed description of our more significant facilities segment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Major Facilities Assets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Cushing Terminal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Cushing Terminal is located at the Cushing Interchange,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facility was designed to handle multiple grades of crude oil while minimizing the interface and enable deliveries to connecting carriers at their maximum rate. The facility also incorporates numerous environmental and operations safeguards that distinguish it from all other facilities at the Cushing Interchange.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1999, we have completed five separate expansion phases, which increased the capacity of the Cushing Terminal to a total of approximately 7.4 million barrels. The Cushing Terminal now consists of fourteen 100,000-barrel tanks, four 150,000-barrel tanks and twenty 270,000-barrel tanks, all of which are used to store and terminal crude oil. Our tankage ranges in age from one year to approximately 13 years with an average age of six years. In contrast, we estimate that the average age of the remaining tanks in Cushing owned by third parties is in excess of 40 years.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2006, we announced our Phase VI expansion of our Cushing Terminal facility. Under the Phase VI expansion, we will construct approximately 3.4 million barrels of additional tankage. The Phase VI project will expand the total capacity of the facility to 10.8 million barrels and, including manifold modifications, is expected to cost approximately $48 million of which $27 million is the estimated remaining project cost to be incurred in 2007. We estimate that the new tankage will become operational during the fourth quarter of 2007. The expansion is supported by multi-year lease agreements.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Eastern Terminals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three refined product terminals in the Philadelphia, Pennsylvania area: a 0.9 million barrel terminal in North Philadelphia, a 0.6 million barrel terminal in South Philadelphia and a 1.6 million barrel terminal in Paulsboro, New Jersey. Our Philadelphia area terminals have 40 storage tanks with combined storage capacity of 3.1 million barrels. The terminals have 20 truck loading lanes, two barge docks and a ship dock. The Philadelphia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area terminals provide services and products to all of the refiners in the Philadelphia harbor. The North Philadelphia and Paulsboro terminals have dock facilities that can load approximately 10,000 to 12,000 barrels per hour of refined products and black oils. The Philadelphia area terminals also receive products from connecting pipelines and offer truck loading services, barge cleaning and tug fuel services.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our Philadelphia area terminals, we have completed an ethanol expansion project which enabled us to increase our ethanol handling and blending capabilities as well as increase our marine receipt capabilities. We plan to expand our Paulsboro facility by approximately 1.0 million barrels consisting of eight tanks ranging from 50,000 barrels to 150,000 barrels. This expansion is in the permitting stage and is scheduled to be completed in 2008 at an estimated cost of $31 million, of which approximately $20 million is scheduled to be spent in 2007.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Kerrobert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a crude oil and condensate storage and terminalling facility located near Kerrobert, Saskatchewan with a storage capacity of approximately 1.7 million barrels. The facility is connected to our Manito and Cactus Lake pipeline systems. In 2006, we increased the storage capacity at our Kerrobert facility by 900,000 barrels of tankage, bringing the total storage capacity to 1.7 million barrels. The cost of the expansion is estimated to be approximately $47 million, of which approximately $14 million is the estimated remaining project cost to be incurred in 2007.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Los Angeles Area Storage and Distribution System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four crude oil and refined product storage facilities in the Los Angeles area with a total of 9.0 million barrels of storage capacity and a distribution pipeline system of approximately 70 miles of pipeline in the Los Angeles Basin. The storage facility includes 34 storage tanks. Approximately 7.0 million barrels of the storage capacity are in active commercial service, 0.5 million barrels are used primarily for throughput to other storage tanks and do not generate revenue independently, approximately 1.2 million barrels are idle but could be reconditioned and brought into service and approximately 0.3 million barrels are in displacement oil service. We refurbished and placed in service 0.3 million barrels of black oil storage capacity in the third quarter of 2006 and expect to complete refurbishing an additional 0.3 million barrels of black oil storage in the first quarter of 2007. We are also making infrastructure changes to increase pumping capacity and improve operating efficiencies, which we expect to complete in 2007. We use the Los Angeles area storage and distribution system to service the storage and distribution needs of the refining, pipeline and marine terminal industries in the Los Angeles Basin. In addition, the Los Angeles area system has 17 storage tanks with a total of approximately 0.4 million barrels of storage capacity that are out of service. We are in the process of completing refurbishments and infrastructure changes at this facility. The Los Angeles area systems pipeline distribution assets connect its storage assets with major refineries, our Line 2000 pipeline, and third-party pipelines and marine terminals in the Los Angeles Basin. The system is capable of loading and off-loading marine shipments at a rate of 25,000 barrels per hour and transporting the product directly to or from certain refineries, other pipelines or its storage facilities. In addition, we can deliver crude oil and feedstocks from our storage facilities to the refineries served by this system at rates of up to 6,000 barrels per hour.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Martinez and Richmond Terminals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two terminals in the San Francisco, California area: a 3.9 million barrel terminal at Martinez (which provides refined product and crude oil service) and a 0.6 million barrel terminal at Richmond (which provides refined product service). Our San Francisco area terminals currently have 49 storage tanks with 4.5 million barrels of combined storage capacity that are connected to area refineries through a network of owned and third-party pipelines that carry crude oil and refined products to and from area refineries. The terminals have dock facilities that can load between approximately 4,000 and 10,000 barrels per hour of refined products. There is also a rail spur at the Richmond terminal that is able to receive products by train.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recently added 450,000 barrels of storage capacity at the Martinez terminal and we are constructing an additional 850,000 barrels of storage capacity for completion in 2007 at a remaining estimated project cost of approximately $27 million.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Mobile and Ten Mile Terminal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marine terminal in Mobile, Alabama (the Mobile Terminal) that consists of eighteen tanks ranging in size from 10,000 barrels to 225,000 barrels, with current useable capacity of 1.5 million barrels. Approximately 1.8 million barrels of additional storage capacity is available at our nearby Ten Mile Facility through a 36 pipeline connecting the two facilities. In 2006, we started construction of a 600,000 barrel tank at the Ten Mile Facility. The cost for this tank is expected to be approximately $6.4 million of which $5.8 million is the estimated remaining project cost to be incurred in 2007. The new tank is expected to be in service in the second quarter of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Mobile Terminal is equipped with a ship/tanker dock, barge dock, truck-unloading facilities and various third 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St. James Terminal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2005, we began construction of a 3.5 million barrel crude oil terminal at the St. James crude oil interchange in Louisiana, which is one of the three most liquid crude oil interchanges in the United States. In the first phase of construction, we plan to build seven tanks ranging from 210,000 barrels to 670,000 barrels with an aggregate shell capacity of approximately 3.5 million barrels. At December 31, 2006, 1.2 million barrels of capacity were in service. The remaining capacity of Phase I is expected to be operational during the first quarter of 2007. The estimated total cost of Phase I is estimated to be approximately $105 million, of which $17.3 million is the estimated remaining project cost to be incurred in 2007. The facility will also include a manifold and header system that will allow for receipts and deliveries with connecting pipelines at their maximum operating capacity.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Phase II project, we will construct approximately 2.7 million barrels of additional tankage at the facility. The Phase II project will expand the total capacity of the facility to 6.2 million barrels and is expected to cost approximately $64 million of which $43 million is the estimated project cost to be incurred in 2007. We estimate that the Phase II tankage will become operational during the first quarter of 2008.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Shafter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Shafter facility (acquired through the Andrews acquisition) provides isomerization and fractionation services to producers and customers of natural gas liquids (NGLs) throughout the Western United States. The primary assets consist of 200,000 barrels of NGL storage, a processing facility with butane isomerization capacity of 14,000 barrels per day and NGL fractionation capacity of 9,600 barrels per day, and office facilities in California.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Patoka Terminal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2006, we announced that we will build a 2.6 million barrel crude oil storage and terminal facility at the Patoka interchange in Patoka, Illinois. We anticipate that the new facility will become operational during the second half of 2008 for a total cost of approximately $77 million, including land costs. We expect to incur approximately half of the cost in 2007 and the remainder in 2008. Patoka is a growing regional hub with access to domestic and foreign crude oil volumes moving north on the Capline system as well as Canadian barrels moving south. This project will have the ability to be expanded should market conditions warrant.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Pier 400</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 the process of developing a deepwater petroleum import terminal at Pier 400 and Terminal Island in the Port of Los Angeles to handle marine receipts of crude oil and refinery feedstocks. As currently envisioned, the project would include a deep water berth, high capacity transfer infrastructure and storage tanks, with a pipeline distribution system that will connect to various customers.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entered into agreements with ConocoPhillips and two subsidiaries of Valero Energy Corporation that provide long-term customer commitments to off-load a total of 140,000 bpd of crude oil at the Pier 400 dock. The ConocoPhillips and Valero agreements are subject to satisfaction of various conditions, such as the achievement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various progress milestones, financing, continued economic viability, and completion of other ancillary agreements related to the project. We are negotiating similar long-term off-loading agreements with other potential customers.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failed to meet certain project milestone dates set forth in our Valero agreements, and we are likely to miss other project milestones that are approaching under these agreements. Valero has not given any indication that it will seek to terminate such agreements. We expect that ongoing negotiations with Valero to extend the milestone dates will be successful and that the Valero agreements will remain in effect.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January 2007, we completed an updated cost estimate for the project. We are estimating that Pier 400, when completed, will cost approximately $360 million, which is subject to change depending on various factors, including: (i) the final scope of the project and the requirements imposed through the permitting process and (ii) changes in construction costs. This cost estimate assumes the construction of 4.0 million barrels of storage. We are in the process of securing the environmental and other permits that will be required for the Pier 400 project from a variety of governmental agencies, including the Board of Harbor Commissioners, the South Coast Air Quality Management District, various agencies of the City of Los Angeles, the Los Angeles City Council and the U.S. Army Corps of Engineers. We expect to have the necessary permits in the first quarter of 2008. Final construction of the Pier 400 project is subject to the completion of a land lease (that will include a dock construction agreement) with the Port of Los Angeles, receipt of environmental and other approvals, securing additional customer commitments, updating engineering and project cost estimates, ongoing feasibility evaluation, and financing. Subject to timely receipt of approvals, we expect construction of the Pier 400 terminal may be completed and the facility placed in service in 2009 or 2010.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LPG Storage Facilities and Terminals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own the following LPG storage facilities and terminals: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Storage facilities with the capability of storing approximately 1.7 million barrels of product;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Pipeline terminals consisting of (i) a 130-mile pipeline and terminal that is capable of storing 17,000 barrels of propane, and (ii) a facility that can store 7,000 barrels of propane where product is shipped out via truck;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Transloading facilities where product is delivered by rail car and shipped out via truck, with approximately 24,000 barrels of operational storage capacity.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these facilities will further support the expansion of our LPG business in Canada and the U.S. as we combine the facilities existing fee-based storage business with our wholesale propane marketing expertise. In addition, there may be opportunities to expand these facilities as LPG markets continue to develop in the region.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Natural Gas Storage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strategically located natural gas storage facilities with multi-cycle injection and withdrawal capabilities and access to critical transportation infrastructure will play an increasingly important role in balancing the markets and ensuring reliable delivery of natural gas to the customer during peak demand periods. We believe that our expertise in hydrocarbon storage, our strategically located assets, our financial strength and our commercial experience will enable us to play a meaningful role in meeting the challenges and capitalizing on the opportunities associated with the evolution of the U.S. natural gas storage markets.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Bluewater.</w:t>
      </w:r>
      <w:r>
        <w:rPr>
          <w:rFonts w:ascii="Times New Roman;Times" w:hAnsi="Times New Roman;Times"/>
          <w:color w:val="000000"/>
          <w:sz w:val="17"/>
          <w:highlight w:val="white"/>
        </w:rPr>
        <w:t xml:space="preserve">  The Bluewater gas storage facility, which is located in Michigan, is a depleted reservoir facility with an approximate 23 Bcf of capacity and is also strategically positioned. In April 2006, PAA/Vulcan acquired the Kimball gas storage facility and connected this 2.7 Bcf facility to the Bluewater facility. Natural gas storage facilities in the northern tier of the U.S. are traditionally used to meet seasonal demand and are typically cycled once or twice during a given year. Natural gas is injected during the summer months in order to provide for adequate deliverability during the peak demand winter months. Michigan is a very active market for natural gas storage as it meets nearly 75% of its peak winter demand from storage withdrawals. The Bluewater facility has direct interconnects to four major pipelines and has indirect access to another four pipelines as well as to Dawn, a major natural gas market hub in Canada.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Pine Prairie.</w:t>
      </w:r>
      <w:r>
        <w:rPr>
          <w:rFonts w:ascii="Times New Roman;Times" w:hAnsi="Times New Roman;Times"/>
          <w:color w:val="000000"/>
          <w:sz w:val="17"/>
          <w:highlight w:val="white"/>
        </w:rPr>
        <w:t xml:space="preserve">  The Pine Prairie facility is expected to become partially operational in 2007 and fully operational in 2009, and we believe it is well positioned to benefit from evolving market dynamics. The facility is located near Gulf Coast supply sources and near the existing Lake Charles LNG terminal, which is the largest LNG import facility in the United States. When completed, the Pine Prairie facility is expected to be a 24 Bcf salt cavern storage facility designed for high deliverability operating characteristics and multi-cycle capabilities. The initial phase of the facility will consist of three storage caverns with working capacity of eight Bcf per cavern and an extensive header system. Drilling operations on two of the three cavern wells is complete and drilling operations on the third cavern well commenced in late December 2006. Leaching operations on the first cavern well began in November 2006, construction of the gas handling and compression facilities began in December 2006 and construction on the pipeline interconnects began during January 2007. The site is located approximately 50 miles from the Henry Hub, the delivery point for NYMEX natural gas futures contracts, and is currently intended to interconnect with seven major pipelines serving the Midwest and the East Coast. Three additional pipelines are also located in the vicinity and offer the potential for future interconnects. We believe the facilitys operating characteristics and strategic location position Pine Prairie to support the commercial functions of power generators, pipelines, utilities, energy merchants and LNG re-gasification terminal operators and provide potential customers with superior flexibility in managing their price and volumetric risk and balancing their natural gas requirements. In January 2007, an additional 240 acres of land were purchased adjacent to the Pine Prairie project to support future expansion activities.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Marketing</w:t>
      </w:r>
      <w:r>
        <w:rPr>
          <w:rFonts w:ascii="Arial;Helvetica" w:hAnsi="Arial;Helvetica"/>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marketing segment operations generally consist of the following merchant activities: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purchase of U.S. and Canadian crude oil at the wellhead and the bulk purchase of crude oil at pipeline and terminal facilities, as well as the purchase of foreign cargoes at their load port and various other locations in transit;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storage of inventory during contango market conditions;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purchase of refined products and LPG from producers, refiners and other marketers;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resale or exchange of crude oil, refined products and LPG at various points along the distribution chain to refiners or other resellers to maximize profits;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arranging for the transportation of crude oil, refined products and LPG on trucks, barges, railcars, pipelines and ocean-going vessels to our terminals and third-party terminals.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marketing activities are designed to produce a stable baseline of results in a variety of market conditions, while at the same time providing upside exposure to opportunities inherent in volatile market conditions. These activities utilize storage facilities at major interchange and terminalling locations and various hedging strategies to reduce the negative impact of market volatility and provide counter-cyclical balance. 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substantial working inventories and working capital associated with its merchant activities, the marketing segment also employs significant volumes of crude oil and LPG as linefill or minimum inventory requirements under service arrangements with transportation carriers and terminalling providers. The marketing segment also employs trucks, trailers, barges, railcars and leased storage.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the marketing segment owned crude oil and LPG classified as long-term assets and a variety of owned or leased long-term physical assets throughout the United States and Canada,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7.9 million barrels of crude oil and LPG linefill in pipelines owned by the Partnership;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1.5 million barrels of crude oil and LPG linefill in pipelines owned by third parties;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500 trucks and 600 trailers;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1,300 railcars.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its operations, the marketing segment secures transportation and facilities services from the Partnerships other two segments as well as third-party service providers under month-to-month and multi-year arrangements. Inter-segment transportation service rates are based on posted tariffs for pipeline transportation services. Facilities segment services are also obtained at rates consistent with rates charged to third parties for similar services; however, certain terminalling and storage rates are discounted to our marketing segment to reflect the fact that these services may be canceled on short notice to enable the facilities segment to provide services to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purchase crude oil and LPG from multiple producers and believe that we generally have established long-term, broad-based relationships with the crude oil and LPG producers in our areas of operations. Marketing activities involve relatively large volumes of transactions, often with lower margins than transportation and facilities operations. Marketing activities for LPG typically consist of smaller volumes per transaction relative to crude oil.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the average daily volume of our lease gathering, LPG sales and waterborne foreign crude imported for the past five years: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80"/>
        <w:gridCol w:w="179"/>
        <w:gridCol w:w="166"/>
        <w:gridCol w:w="440"/>
        <w:gridCol w:w="166"/>
        <w:gridCol w:w="243"/>
        <w:gridCol w:w="166"/>
        <w:gridCol w:w="440"/>
        <w:gridCol w:w="166"/>
        <w:gridCol w:w="243"/>
        <w:gridCol w:w="166"/>
        <w:gridCol w:w="440"/>
        <w:gridCol w:w="166"/>
        <w:gridCol w:w="243"/>
        <w:gridCol w:w="166"/>
        <w:gridCol w:w="440"/>
        <w:gridCol w:w="166"/>
        <w:gridCol w:w="243"/>
        <w:gridCol w:w="166"/>
        <w:gridCol w:w="439"/>
        <w:gridCol w:w="181"/>
      </w:tblGrid>
      <w:tr>
        <w:trPr/>
        <w:tc>
          <w:tcPr>
            <w:tcW w:w="518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right"/>
              <w:rPr/>
            </w:pPr>
            <w:r>
              <w:rPr/>
              <w:t> </w:t>
            </w:r>
          </w:p>
        </w:tc>
        <w:tc>
          <w:tcPr>
            <w:tcW w:w="440"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243"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right"/>
              <w:rPr/>
            </w:pPr>
            <w:r>
              <w:rPr/>
              <w:t> </w:t>
            </w:r>
          </w:p>
        </w:tc>
        <w:tc>
          <w:tcPr>
            <w:tcW w:w="440"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243"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right"/>
              <w:rPr/>
            </w:pPr>
            <w:r>
              <w:rPr/>
              <w:t> </w:t>
            </w:r>
          </w:p>
        </w:tc>
        <w:tc>
          <w:tcPr>
            <w:tcW w:w="440"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243"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right"/>
              <w:rPr/>
            </w:pPr>
            <w:r>
              <w:rPr/>
              <w:t> </w:t>
            </w:r>
          </w:p>
        </w:tc>
        <w:tc>
          <w:tcPr>
            <w:tcW w:w="440"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243"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jc w:val="right"/>
              <w:rPr/>
            </w:pPr>
            <w:r>
              <w:rPr/>
              <w:t> </w:t>
            </w:r>
          </w:p>
        </w:tc>
        <w:tc>
          <w:tcPr>
            <w:tcW w:w="439"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r>
      <w:tr>
        <w:trPr/>
        <w:tc>
          <w:tcPr>
            <w:tcW w:w="5180" w:type="dxa"/>
            <w:tcBorders/>
            <w:shd w:fill="FFFFFF" w:val="clear"/>
            <w:vAlign w:val="bottom"/>
          </w:tcPr>
          <w:p>
            <w:pPr>
              <w:pStyle w:val="TableContents"/>
              <w:spacing w:before="0" w:after="283"/>
              <w:jc w:val="center"/>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4665"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5180" w:type="dxa"/>
            <w:tcBorders/>
            <w:shd w:fill="FFFFFF" w:val="clear"/>
            <w:vAlign w:val="bottom"/>
          </w:tcPr>
          <w:p>
            <w:pPr>
              <w:pStyle w:val="TableContents"/>
              <w:spacing w:before="0" w:after="283"/>
              <w:jc w:val="center"/>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60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60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60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60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6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5180" w:type="dxa"/>
            <w:tcBorders/>
            <w:shd w:fill="FFFFFF" w:val="clear"/>
            <w:vAlign w:val="bottom"/>
          </w:tcPr>
          <w:p>
            <w:pPr>
              <w:pStyle w:val="TableContents"/>
              <w:spacing w:before="0" w:after="283"/>
              <w:jc w:val="center"/>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4665" w:type="dxa"/>
            <w:gridSpan w:val="18"/>
            <w:tcBorders/>
            <w:shd w:fill="FFFFFF" w:val="clear"/>
            <w:vAlign w:val="bottom"/>
          </w:tcPr>
          <w:p>
            <w:pPr>
              <w:pStyle w:val="TableContents"/>
              <w:spacing w:before="0" w:after="283"/>
              <w:jc w:val="center"/>
              <w:rPr/>
            </w:pPr>
            <w:r>
              <w:rPr>
                <w:b/>
              </w:rPr>
              <w:t>(Barrels in thousands)</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5180" w:type="dxa"/>
            <w:tcBorders/>
            <w:shd w:fill="FFFFFF" w:val="clear"/>
            <w:vAlign w:val="center"/>
          </w:tcPr>
          <w:p>
            <w:pPr>
              <w:pStyle w:val="TableContents"/>
              <w:spacing w:before="0" w:after="283"/>
              <w:rPr/>
            </w:pPr>
            <w:r>
              <w:rPr/>
              <w:t xml:space="preserve">  </w:t>
            </w:r>
          </w:p>
        </w:tc>
        <w:tc>
          <w:tcPr>
            <w:tcW w:w="5025" w:type="dxa"/>
            <w:gridSpan w:val="20"/>
            <w:tcBorders/>
            <w:shd w:fill="FFFFFF" w:val="clear"/>
          </w:tcPr>
          <w:p>
            <w:pPr>
              <w:pStyle w:val="TableContents"/>
              <w:spacing w:before="0" w:after="283"/>
              <w:rPr>
                <w:sz w:val="4"/>
                <w:szCs w:val="4"/>
              </w:rPr>
            </w:pPr>
            <w:r>
              <w:rPr>
                <w:sz w:val="4"/>
                <w:szCs w:val="4"/>
              </w:rPr>
            </w:r>
          </w:p>
        </w:tc>
      </w:tr>
      <w:tr>
        <w:trPr/>
        <w:tc>
          <w:tcPr>
            <w:tcW w:w="5180" w:type="dxa"/>
            <w:tcBorders/>
            <w:shd w:fill="CCEEFF" w:val="clear"/>
            <w:vAlign w:val="bottom"/>
          </w:tcPr>
          <w:p>
            <w:pPr>
              <w:pStyle w:val="TableContents"/>
              <w:spacing w:before="0" w:after="0"/>
              <w:ind w:left="200" w:right="0" w:hanging="200"/>
              <w:jc w:val="left"/>
              <w:rPr>
                <w:sz w:val="17"/>
              </w:rPr>
            </w:pPr>
            <w:r>
              <w:rPr>
                <w:sz w:val="17"/>
              </w:rPr>
              <w:t xml:space="preserve">Crude oil lease gathering </w:t>
            </w:r>
          </w:p>
        </w:tc>
        <w:tc>
          <w:tcPr>
            <w:tcW w:w="179"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650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610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589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437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39" w:type="dxa"/>
            <w:tcBorders/>
            <w:shd w:fill="CCEEFF" w:val="clear"/>
            <w:vAlign w:val="bottom"/>
          </w:tcPr>
          <w:p>
            <w:pPr>
              <w:pStyle w:val="TableContents"/>
              <w:spacing w:before="0" w:after="283"/>
              <w:jc w:val="right"/>
              <w:rPr/>
            </w:pPr>
            <w:r>
              <w:rPr/>
              <w:t xml:space="preserve">410 </w:t>
            </w:r>
          </w:p>
        </w:tc>
        <w:tc>
          <w:tcPr>
            <w:tcW w:w="181" w:type="dxa"/>
            <w:tcBorders/>
            <w:shd w:fill="CCEEFF" w:val="clear"/>
            <w:vAlign w:val="bottom"/>
          </w:tcPr>
          <w:p>
            <w:pPr>
              <w:pStyle w:val="TableContents"/>
              <w:spacing w:before="0" w:after="283"/>
              <w:jc w:val="left"/>
              <w:rPr/>
            </w:pPr>
            <w:r>
              <w:rPr/>
              <w:t xml:space="preserve">  </w:t>
            </w:r>
          </w:p>
        </w:tc>
      </w:tr>
      <w:tr>
        <w:trPr/>
        <w:tc>
          <w:tcPr>
            <w:tcW w:w="5180" w:type="dxa"/>
            <w:tcBorders/>
            <w:shd w:fill="FFFFFF" w:val="clear"/>
            <w:vAlign w:val="bottom"/>
          </w:tcPr>
          <w:p>
            <w:pPr>
              <w:pStyle w:val="TableContents"/>
              <w:spacing w:before="0" w:after="0"/>
              <w:ind w:left="200" w:right="0" w:hanging="200"/>
              <w:jc w:val="left"/>
              <w:rPr>
                <w:sz w:val="17"/>
              </w:rPr>
            </w:pPr>
            <w:r>
              <w:rPr>
                <w:sz w:val="17"/>
              </w:rPr>
              <w:t xml:space="preserve">LPG sales </w:t>
            </w:r>
          </w:p>
        </w:tc>
        <w:tc>
          <w:tcPr>
            <w:tcW w:w="179"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70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56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48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38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39" w:type="dxa"/>
            <w:tcBorders/>
            <w:shd w:fill="FFFFFF" w:val="clear"/>
            <w:vAlign w:val="bottom"/>
          </w:tcPr>
          <w:p>
            <w:pPr>
              <w:pStyle w:val="TableContents"/>
              <w:spacing w:before="0" w:after="283"/>
              <w:jc w:val="right"/>
              <w:rPr/>
            </w:pPr>
            <w:r>
              <w:rPr/>
              <w:t xml:space="preserve">35 </w:t>
            </w:r>
          </w:p>
        </w:tc>
        <w:tc>
          <w:tcPr>
            <w:tcW w:w="181" w:type="dxa"/>
            <w:tcBorders/>
            <w:shd w:fill="FFFFFF" w:val="clear"/>
            <w:vAlign w:val="bottom"/>
          </w:tcPr>
          <w:p>
            <w:pPr>
              <w:pStyle w:val="TableContents"/>
              <w:spacing w:before="0" w:after="283"/>
              <w:jc w:val="left"/>
              <w:rPr/>
            </w:pPr>
            <w:r>
              <w:rPr/>
              <w:t xml:space="preserve">  </w:t>
            </w:r>
          </w:p>
        </w:tc>
      </w:tr>
      <w:tr>
        <w:trPr/>
        <w:tc>
          <w:tcPr>
            <w:tcW w:w="5180" w:type="dxa"/>
            <w:tcBorders/>
            <w:shd w:fill="CCEEFF" w:val="clear"/>
            <w:vAlign w:val="bottom"/>
          </w:tcPr>
          <w:p>
            <w:pPr>
              <w:pStyle w:val="TableContents"/>
              <w:spacing w:before="0" w:after="0"/>
              <w:ind w:left="200" w:right="0" w:hanging="200"/>
              <w:jc w:val="left"/>
              <w:rPr>
                <w:sz w:val="17"/>
              </w:rPr>
            </w:pPr>
            <w:r>
              <w:rPr>
                <w:sz w:val="17"/>
              </w:rPr>
              <w:t xml:space="preserve">Waterborne foreign crude imported </w:t>
            </w:r>
          </w:p>
        </w:tc>
        <w:tc>
          <w:tcPr>
            <w:tcW w:w="179"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63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59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12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40"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166" w:type="dxa"/>
            <w:tcBorders/>
            <w:shd w:fill="CCEEFF" w:val="clear"/>
            <w:vAlign w:val="bottom"/>
          </w:tcPr>
          <w:p>
            <w:pPr>
              <w:pStyle w:val="TableContents"/>
              <w:spacing w:before="0" w:after="283"/>
              <w:jc w:val="left"/>
              <w:rPr/>
            </w:pPr>
            <w:r>
              <w:rPr/>
              <w:t xml:space="preserve">  </w:t>
            </w:r>
          </w:p>
        </w:tc>
        <w:tc>
          <w:tcPr>
            <w:tcW w:w="439"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r>
      <w:tr>
        <w:trPr/>
        <w:tc>
          <w:tcPr>
            <w:tcW w:w="5180"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1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5180" w:type="dxa"/>
            <w:tcBorders/>
            <w:shd w:fill="FFFFFF" w:val="clear"/>
            <w:vAlign w:val="bottom"/>
          </w:tcPr>
          <w:p>
            <w:pPr>
              <w:pStyle w:val="TableContents"/>
              <w:spacing w:before="0" w:after="0"/>
              <w:ind w:left="400" w:right="0" w:hanging="200"/>
              <w:jc w:val="left"/>
              <w:rPr>
                <w:sz w:val="17"/>
              </w:rPr>
            </w:pPr>
            <w:r>
              <w:rPr>
                <w:sz w:val="17"/>
              </w:rPr>
              <w:t xml:space="preserve">Total volumes per day </w:t>
            </w:r>
          </w:p>
        </w:tc>
        <w:tc>
          <w:tcPr>
            <w:tcW w:w="179"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783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725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649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40" w:type="dxa"/>
            <w:tcBorders/>
            <w:shd w:fill="FFFFFF" w:val="clear"/>
            <w:vAlign w:val="bottom"/>
          </w:tcPr>
          <w:p>
            <w:pPr>
              <w:pStyle w:val="TableContents"/>
              <w:spacing w:before="0" w:after="283"/>
              <w:jc w:val="right"/>
              <w:rPr/>
            </w:pPr>
            <w:r>
              <w:rPr/>
              <w:t xml:space="preserve">475 </w:t>
            </w:r>
          </w:p>
        </w:tc>
        <w:tc>
          <w:tcPr>
            <w:tcW w:w="166"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jc w:val="left"/>
              <w:rPr/>
            </w:pPr>
            <w:r>
              <w:rPr/>
              <w:t xml:space="preserve">  </w:t>
            </w:r>
          </w:p>
        </w:tc>
        <w:tc>
          <w:tcPr>
            <w:tcW w:w="439" w:type="dxa"/>
            <w:tcBorders/>
            <w:shd w:fill="FFFFFF" w:val="clear"/>
            <w:vAlign w:val="bottom"/>
          </w:tcPr>
          <w:p>
            <w:pPr>
              <w:pStyle w:val="TableContents"/>
              <w:spacing w:before="0" w:after="283"/>
              <w:jc w:val="right"/>
              <w:rPr/>
            </w:pPr>
            <w:r>
              <w:rPr/>
              <w:t xml:space="preserve">445 </w:t>
            </w:r>
          </w:p>
        </w:tc>
        <w:tc>
          <w:tcPr>
            <w:tcW w:w="181" w:type="dxa"/>
            <w:tcBorders/>
            <w:shd w:fill="FFFFFF" w:val="clear"/>
            <w:vAlign w:val="bottom"/>
          </w:tcPr>
          <w:p>
            <w:pPr>
              <w:pStyle w:val="TableContents"/>
              <w:spacing w:before="0" w:after="283"/>
              <w:jc w:val="left"/>
              <w:rPr/>
            </w:pPr>
            <w:r>
              <w:rPr/>
              <w:t xml:space="preserve">  </w:t>
            </w:r>
          </w:p>
        </w:tc>
      </w:tr>
      <w:tr>
        <w:trPr/>
        <w:tc>
          <w:tcPr>
            <w:tcW w:w="5180"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1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1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Crude Oil and LPG Purchases.</w:t>
      </w:r>
      <w:r>
        <w:rPr>
          <w:rFonts w:ascii="Times New Roman;Times" w:hAnsi="Times New Roman;Times"/>
          <w:color w:val="000000"/>
          <w:sz w:val="17"/>
          <w:highlight w:val="white"/>
        </w:rPr>
        <w:t xml:space="preserve">  We purchase crude oil in North America from producers under contracts, the majority of which range in term from a thirty-day evergreen to three-year term. We utilize our truck fleet and gathering pipelines as well as third party pipelines, trucks and barges to transport the crude oil to market. In addition, we purchase foreign crude oil. Under these contracts we may purchase crude oil upon delivery in the U.S. or we may purchase crude oil in foreign locations and transport crude oil on third-party tankers.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purchase LPG from producers, refiners, and other LPG marketing companies under contracts that range from immediate delivery to one year in term. We utilize leased railcars and third party tank truck or pipelines to transport LPG.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purchasing crude oil from producers, we purchase both domestic and foreign crude oil in bulk at major pipeline terminal locations and barge facilities. We also purchase LPG in bulk at major pipeline terminal points and storage facilities from major oil companies, large independent producers or other LPG marketing companies. We purchase crude oil and LPG in bulk when we believe additional opportunities exist to realize margins further downstream in the crude oil or LPG distribution chain. The opportunities to earn additional margins vary over time with changing market conditions. Accordingly, the margins associated with our bulk purchases will fluctuate from period to period.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Crude Oil and LPG Sales.</w:t>
      </w:r>
      <w:r>
        <w:rPr>
          <w:rFonts w:ascii="Times New Roman;Times" w:hAnsi="Times New Roman;Times"/>
          <w:color w:val="000000"/>
          <w:sz w:val="17"/>
          <w:highlight w:val="white"/>
        </w:rPr>
        <w:t xml:space="preserve">  The marketing of crude oil and LPG is complex and requires current detailed knowledge of crude oil and LPG sources and end markets and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LPG to the appropriate customer.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sell our crude oil to major integrated oil companies, independent refiners and other resellers in various types of sale and exchange transactions. The majority of these contracts are at market prices and have terms ranging from one month to three years. We sell LPG primarily to retailers and refiners, and limited volumes to other marketers. We establish a margin for crude oil and LPG we purchase by sales for physical delivery to third party users, or by entering into a future delivery obligation with respect to futures contracts on the NYMEX, IntercontinentalExchange (ICE) or over-the-counter. Through these transactions, we seek to maintain 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position that is substantially balanced between crude oil and LPG purchases and sales and future delivery obligations. From time to time, we enter into various types of sale and exchange transactions including fixed price delivery contracts, floating price collar arrangements, financial swaps and crude oil and LPG-related futures contracts as hedging devices.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Crude Oil and LPG Exchanges.</w:t>
      </w:r>
      <w:r>
        <w:rPr>
          <w:rFonts w:ascii="Times New Roman;Times" w:hAnsi="Times New Roman;Times"/>
          <w:color w:val="000000"/>
          <w:sz w:val="17"/>
          <w:highlight w:val="white"/>
        </w:rPr>
        <w:t xml:space="preserve">  We pursue exchange opportunities to enhance margins throughout the gathering and marketing process. When opportunities arise to increase our margin or to acquire a grade, type or volume of crude oil or LPG that more closely matches our physical delivery requirement, location or the preferences of our customers, we exchange physical crude oil or LPG, as appropriate, with third parties. These exchanges are effected through contracts called exchange or buy/sell agreements. Through an exchange agreement, we agree to buy crude oil or LPG that differs in terms of geographic location, grade of crude oil or type of LPG, or physical delivery schedule from crude oil or LPG we have available for sale. Generally, we enter into exchanges to acquire crude oil or LPG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Credit.</w:t>
      </w:r>
      <w:r>
        <w:rPr>
          <w:rFonts w:ascii="Times New Roman;Times" w:hAnsi="Times New Roman;Times"/>
          <w:color w:val="000000"/>
          <w:sz w:val="17"/>
          <w:highlight w:val="white"/>
        </w:rPr>
        <w:t xml:space="preserve">  Our merchant activities involve the purchase of crude oil and LPG for resale and require significant extensions of credit by our suppliers of crude oil and LPG. In order to assure our ability to perform our obligations under crude oil purchase agreements, various credit arrangements are negotiated with our suppliers. These arrangements include open lines of credit directly with us and, to a lesser extent, standby letters of credit issued under our senior unsecured revolving credit facility.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When we sell crude oil and LPG, we must determine the amount, if any, of the line of credit to be extended to any given customer. We manage our exposure to credit risk through credit analysis, credit approvals, credit limits and monitoring procedures. If we determine that a customer should receive a credit line, we must then decide on the amount of credit that should be extended.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also settle within 30 days from invoice for the provision of services.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have credit risk with respect to our sales of LPG; however, because our sales are typically in relatively small amounts to individual customers, we do not believe that we have material concentration of credit risk. Typically, we enter into annual contracts to sell LPG on a forward basis, as well as sell LPG on a current basis to local distributors and retailers. In certain cases our customers prepay for their purchases, in amounts ranging from approximately $2 per barrel to 100% of their contracted amounts. Generally, sales of LPG are settled within 30 days of the date of invoice.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Crude Oil Volatility; Counter-Cyclical Balance; Risk Management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Crude oil commodity prices have historically been very volatile and cyclical. For example, NYMEX WTI crude oil benchmark prices have ranged from a high of over $78 per barrel (July 2006) to a low of $10 per barrel (March 1986) over the last 20 years. Segment profit from our facilities activities is dependent on throughput volume, capacity leased to third parties, capacity that we use for our own activities, and the level of other fees generated at our terminalling and storage facilities. Segment profit from our marketing activities is dependent on our ability to sell crude oil and LPG at prices in excess of our aggregate cost. Although margins may be affected during transitional periods, our crude oil marketing operations are not directly affected by the absolute level of crude oil prices, but are affected by overall levels of supply and demand for crude oil and relative fluctuations in market related indices.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periods when supply exceeds the demand for crude oil in the near term, the market for crude oil is often in contango, meaning that the price of crude oil for future deliveries is higher than current prices. A contango market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has a generally negative impact on our lease gathering margins, but is favorable to our commercial strategies that are associated with storage tankage leased from the facilities segment or from third parties. Those who control storage at major trading locations (such as the Cushing Interchange) can simultaneously purchase production at current prices for storage and sell at higher prices for future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When there is a higher demand than supply of crude oil in the near term, the market is backwardated, meaning that the price of crude oil for future deliveries is lower than current prices. A backwardated market has a positive impact on our lease gathering margins because crude oil gatherers can capture a premium for prompt deliveries. In this environment, there is little incentive to store crude oil as current prices are above future delivery prices.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periods between a backwardated market and a contango market are referred to as transition periods.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affect on our aggregate segment profit. A prolonged transition from a backwardated market to a contango market, or vice versa (essentially a market that is neither in pronounced backwardation nor contango), represents the most difficult environment for our marketing segment. When the market is in contango, we will use our tankage to improve our lease gathering margins by storing crude oil we have purchased for delivery in future months that are selling at a higher price. In a backwardated market, we use less storage capacity but increased lease gathering margins provide an offset to this reduced cash flow. We believe that the combination of our lease gathering activities and the commercial strategies used with our tankage provides a counter-cyclical balance that has a stabilizing effect on our operations and cash flow. In addition, we supplement the counter-cyclical balance of our asset base with derivative hedging activities in an effort to maintain a base level of margin irrespective of crude oil market conditions and, in certain circumstances, to realize incremental margin during volatile market conditions. References to counter-cyclical balance elsewhere in this report are referring to this relationship between our facilities activities and our marketing activities in transitioning crude oil markets.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use of the financial markets for crude oil has increased by producers, refiners, utilities and trading entities, risk management strategies, including those involving price hedges using NYMEX and ICE futures contracts and derivatives, have become increasingly important in creating and maintaining margins. In order to hedge margins involving our physical assets and manage risks associated with our various commodity purchase and sale obligations (mainly relating to crude oil) and, in certain circumstances, to realize incremental margin during volatile market conditions, we use derivative instruments, including regulated futures and options transactions,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NYMEX, ICE and over-the-counter positions and physical volumes, grades, locations and delivery schedules to ensure that our hedging activities are implemented in accordance with such policies. We have a risk management function that has direct responsibility and authority for our risk policies, our trading controls and procedures and certain other aspects of corporate risk management. Our risk management function also approves all new risk management strategies through a formal process. With the exception of the controlled trading program discussed below, our approved strategies are intended to mitigate enterprise level risks that are inherent in our core businesses of crude oil gathering and marketing and storage.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policy is generally to purchase only product for which we have a market, and to structure our sales contracts so that price fluctuations do not materially affect the segment profit we receive. Except for the controlled crude oil trading program discussed below, we do not acquire and hold physical inventory, futures contracts or other derivative products for the purpose of speculating on commodity price changes as these activities could expose us to significant losses.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we seek to maintain a position that is substantially balanced within our crude oil lease purchase and LPG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our core business, we engage in a controlled trading program for up to an aggregate of 500,000 barrels of crude oil. This controlled trading activity is monitored independently by our risk management function and must take place within predefined limits and authorizations. Such amounts exclude unhedged working inventory volumes that remain relatively constant and are subject to lower of cost or market adjustments.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intent of our risk-management strategies is to hedge our margin, not all of our derivatives qualify for hedge accounting. This could be the result of a derivative that is an effective element of our risk management strategy that may not be sufficiently effective to qualify for hedge accounting or a derivative that is disallowed hedge accounting treatment under SFAS 133 due to the uncertainty of physical delivery. Additionally, certain elements of our risk management strategies such as the time value of options do not qualify for hedge accounting under SFAS 133 whether effective or not. In such instances, changes in the fair values of derivatives that do not qualify or are excluded from hedge accounting will receive mark-to-market treatment in current earnings, and result in greater potential for earnings volatility.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Geographic Data; Financial Information about Segments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See Note 15 to our Consolidated Financial Statements.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Customers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Marathon Petroleum Company, LLC (Marathon) accounted for 14%, 11% and 10% of our revenues for each of the three years in the period ended December 31, 2006. Valero Marketing &amp; Supply Company (Valero) accounted for 10% of our revenues for the year ended December 31, 2006. BP Oil Supply accounted for 14% and 10% of our revenues for the years ended December 31, 2005 and 2004, respectively. No other customers accounted for 10% or more of our revenues during any of the three years. The majority of revenues from Marathon, Valero and BP Oil Supply pertain to our marketing operations. We believe that the loss of these customers would have only a short-term impact on our operating results. There can be no assurance, however, that we would be able to identify and access a replacement market at comparable margins.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Competition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 party owned pipelines or owners with joint venture pipelines with excess capacity in the vicinity of our operations, we will be exposed to significant competition based on the incremental cost of moving an incremental barrel of crude oil.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face competition in our marketing services and facilities services. Our competitors include other crude oil pipeline companies,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Regulation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are subject to extensive laws and regulations. We are subject to regulatory oversight by numerous federal, state, provincial and local departments and agencies, many of which are authorized by statute to issue and have issued laws and regulations binding on the oil pipeline industry, related businesses and individual participants. The failure to comply with such laws and regulations can result in substantial penalties. The regulatory burden on our operations increases our cost of doing business and, consequently, affects our profitability. However, except for certain exemptions that apply to smaller companies, we do not believe that we are affected in a significantly different manner by these laws and regulations than are our competitors. Following is a discussion of certain laws and regulations affecting us. However, you should not rely on such discussion as an exhaustive review of all regulatory considerations affecting our operations.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Pipeline and Storage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substantial portion of our petroleum pipelines and storage tanks in the United States are subject to regulation by the U.S. Department of Transportations (DOT) Pipeline and Hazardous Materials Safety Administration with respect to the design, installation, testing, construction, operation, replacement and management of pipeline and tank facilities. Comparable regulation exists in some states in which we conduct intrastate common carrier or private pipeline operations. Regulation in Canada is under the National Energy Board (NEB) and provincial agencies. In addition, we must permit access to and copying of records, and must make certain reports available and provide information as required by the Secretary of Transportation. U.S. Federal pipeline safety rules also require pipeline operators to develop and maintain a written qualification program for individuals performing covered tasks on pipeline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2001, the DOT adopted the initial pipeline integrity management rule, which required operators of jurisdictional pipelines transporting hazardous liquids to develop and follow an integrity management program that provides for continual assessment of the integrity of all pipeline segments that could affect so-called high consequence areas, including high population areas, areas that are sources of drinking water, ecological resource areas that are unusually sensitive to environmental damage from a pipeline release, and commercially navigable waterways. In December 2003, the DOT issued a final rule requiring natural gas pipeline operators to develop similar integrity management programs for gas transmission pipelines located in high consequence areas. Segments of our pipelines transporting hazardous liquids and/or natural gas in high consequence areas are subject to these DOT rules and therefore obligate us to evaluate pipeline conditions by means of periodic internal inspection, pressure testing, or other equally effective assessment means, and to correct identified anomalies. If, as a result of our evaluation process, we determine that there is a need to provide further protection to high consequence areas, then we will be required to implement additional spill prevention, mitigation and risk control measures for our pipelines. The DOT rules also require us to evaluate and, as necessary, improve our management and analysis processes for integrating available integrity related data relating to our pipeline segments and to remediate potential problems found as a result of the required assessment and evaluation process. Costs associated with this program were approximately $8.2 million in 2006, $4.7 million in 2005 and approximately $5 million in 2004. Based on currently available information, our preliminary estimate for 2007 is approximately $10.5 million. The relative increase in program cost over the last few years is primarily attributable to pipeline segments acquired in recent years (including the Pacific and Link assets), which are subject to the rules. Certain of these costs are recurring in nature and thus will impact future periods. We will continue to refine our estimates as information from our assessments is collected. Although we believe that our pipeline operations are in substantial compliance with currently applicable regulatory requirements, we cannot predict the potential costs associated with additional, future regulation.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2006, the DOT published a Notice of Proposed Rulemaking (NPRM) that proposed to regulate certain hazardous liquid gathering and low stress pipeline systems that are not currently subject to regulation. On December 6, 2006, the Congress passed, and on December 29, 2006 President Bush signed into law, H.R. 5782, the Pipeline Inspection, Protection, Enforcement and Safety Act of 2006 (2006 Pipeline Safety Act), which reauthorizes and amends the DOTs pipeline safety programs. Included in the 2006 Pipeline Safety Act is a provision eliminating the regulatory exemption for hazardous liquid pipelines operated at low stress, which was one of the focal points of the September 2006 NPRM. The Act requires DOT to issue regulations by December 31, 2007 for those hazardous liquid low stress pipelines now subject to regulation pursuant to the 2006 Pipeline Safety Act. Regulations issued by December 31, 2007 with respect to hazardous liquid low stress pipelines as well as any future regulation of hazardous liquid gathering lines could include requirements for the establishment of additional pipeline integrity management programs for these newly regulated pipelines. We do not currently know what, if any, impact these developments will have on our operating expenses and, thus, cannot provide any assurances that future costs related to these programs will not be material.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performing DOT-mandated pipeline integrity evaluations, during 2006, we expanded an internal review process started in 2005 in which we are reviewing various aspects of our pipeline and gathering systems that are not subject to the DOT pipeline integrity management rule. The purpose of this process is to review the surrounding environment, condition and operating history of these pipelines and gathering assets to determine if such assets warrant additional investment or replacement. Accordingly, we could be required (as a result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 DOT regulation) or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in those states in which we operate.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DOT has adopted API 653 as the standard for the inspection, repair, alteration and reconstruction of existing crude oil storage tanks subject to DOT jurisdiction (approximately 79% of our 60 million barrels are subject to DOT jurisdiction). API 653 requires regularly scheduled inspection and repair of tanks remaining in service. Full compliance is required in 2009. Costs associated with this program were approximately $6.8 million, $4.4 million and $3 million in 2006, 2005 and 2004, respectively. Based on currently available information, we anticipate we will spend an approximate average of $15.7 million per year from 2007 through 2009 in connection with API 653 compliance activities. In some cases, we may take storage tanks out of service if we believe the cost of upgrades will exceed the value of the storage tanks or construct replacement tankage at a more optimal location. We will continue to refine our estimates as information from our assessments is collected.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instituted security measures and procedures, in accordance with DOT guidelines, to enhance the protection of certain of our facilities from terrorist attack. We cannot provide any assurance that these security measures would fully protect our facilities from a concentrated attack. See  Operational Hazards and Insurance.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Canada, the NEB and provincial agencies such as the Alberta Energy and Utilities Board and Saskatchewan Industry and Resources regulate the construction, alteration, inspection and repair of crude oil storage tanks. We expect to incur costs under laws and regulations related to pipeline and storage tank integrity, such as operator competency programs, regulatory upgrades to our operating and maintenance systems and environmental upgrades of buried sump tanks. We spent approximately $4.5 million in 2006, $4.9 million in 2005 and $4.1 million in 2004 on compliance activities. Our preliminary estimate for 2007 is approximately $6.9 million. Certain of these costs are recurring in nature and thus will impact future periods. We will continue to refine our estimates as information from our assessments is collected. Although we believe that our pipeline operations are in substantial compliance with currently applicable regulatory requirements, we cannot predict the potential costs associated with additional, future regulation.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Asset acquisitions are an integral part of our business strategy. As we acquire additional assets, we may be required to incur additional costs in order to ensure that the acquired assets comply with the regulatory standards in the U.S. and Canada.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Transportation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 Interstate Regulation.</w:t>
      </w:r>
      <w:r>
        <w:rPr>
          <w:rFonts w:ascii="Times New Roman;Times" w:hAnsi="Times New Roman;Times"/>
          <w:color w:val="000000"/>
          <w:sz w:val="17"/>
          <w:highlight w:val="white"/>
        </w:rPr>
        <w:t xml:space="preserve">  Our interstate common carrier pipeline operations are subject to rate regulation by the FERC under the Interstate Commerce Act. The Interstate Commerce Act requires that tariff rates for petroleum pipelines, which include both crude oil pipelines and refined products pipelines, be just and reasonable and non-discriminatory.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State Regulation.</w:t>
      </w:r>
      <w:r>
        <w:rPr>
          <w:rFonts w:ascii="Times New Roman;Times" w:hAnsi="Times New Roman;Times"/>
          <w:color w:val="000000"/>
          <w:sz w:val="17"/>
          <w:highlight w:val="white"/>
        </w:rPr>
        <w:t xml:space="preserve">  Our intrastate pipeline transportation activities are subject to various state laws and regulations, as well as orders of state regulatory bodies, including the California Public Utility Commission, which prohibits certain of our subsidiaries from acting as guarantors of our senior notes and credit facilities. See Note 12 to our Consolidated Financial Statements.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Canadian Regulation.</w:t>
      </w:r>
      <w:r>
        <w:rPr>
          <w:rFonts w:ascii="Times New Roman;Times" w:hAnsi="Times New Roman;Times"/>
          <w:color w:val="000000"/>
          <w:sz w:val="17"/>
          <w:highlight w:val="white"/>
        </w:rPr>
        <w:t xml:space="preserve">  Our Canadian pipeline assets are subject to regulation by the NEB and by provincial authorities, such as the Alberta Energy and Utilities Board. With 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relevant regulatory authority determines that the applicable terms and conditions of service are not just and reasonable, the regulatory authority can impose conditions it considers appropriate.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Energy Policy Act of 1992 and Subsequent Developments.</w:t>
      </w:r>
      <w:r>
        <w:rPr>
          <w:rFonts w:ascii="Times New Roman;Times" w:hAnsi="Times New Roman;Times"/>
          <w:color w:val="000000"/>
          <w:sz w:val="17"/>
          <w:highlight w:val="white"/>
        </w:rPr>
        <w:t xml:space="preserve">  In October 1992, Congress passed the Energy Policy Act of 1992 (EPAct), which among other things, required the FERC to issue rules establishing a simplified and generally applicable ratemaking methodology for petroleum pipelines and to streamline procedures in petroleum pipeline proceedings. The FERC responded to this mandate by issuing several orders, including Order No. 561. Beginning January 1, 1995, Order No. 561 enables petroleum pipelines to change their rates within prescribed ceiling levels that are tied to an inflation index. Specifically, the indexing methodology allows a pipeline to increase its rates annually by a percentage equal to the change in the producer price index for finished goods (PPI-FG) plus 1.3% to the new ceiling level. Rate increases made pursuant to the indexing methodology are subject to protest, but such protests must show that the portion of the rate increase resulting from application of the index is substantially in excess of the pipelines increase in costs. If the PPI-FG falls and the indexing methodology results in a reduced ceiling level that is lower than a pipelines filed rate, Order No. 561 requires the pipeline to reduce its rate to comply with the lower ceiling unless doing so would reduce a rate grandfathered by EPAct (see below) below the grandfathered level. A pipeline must, as a general rule, utilize the indexing methodology to change its rates. The FERC, however, retained cost-of-service ratemaking, market based rates, and settlement as alternatives to the indexing approach, which alternatives may be used in certain specified circumstances. The FERCs indexing methodology is subject to review every five years; the current methodology is expected to remain in place through June 30, 2011. If the FERC continues its policy of using the PPI-FG plus 1.3%, changes in that index might not fully reflect actual increases in the costs associated with the pipelines subject to indexing, thus hampering our ability to recover cost increases.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EPAct deemed petroleum pipeline rates in effect for the 365-day period ending on the date of enactment of EPAct that had not been subject to complaint, protest or investigation during that 365-day period to be just and reasonable under the Interstate Commerce Act.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July 20, 2004, the United States Court of Appeals for the District of Columbia Circuit (D.C. Circuit) issued its opinion in </w:t>
      </w:r>
      <w:r>
        <w:rPr>
          <w:rFonts w:ascii="Times New Roman;Times" w:hAnsi="Times New Roman;Times"/>
          <w:i/>
          <w:color w:val="000000"/>
          <w:sz w:val="17"/>
          <w:highlight w:val="white"/>
        </w:rPr>
        <w:t>BP West Coast Products, LLC v. FERC</w:t>
      </w:r>
      <w:r>
        <w:rPr>
          <w:rFonts w:ascii="Times New Roman;Times" w:hAnsi="Times New Roman;Times"/>
          <w:color w:val="000000"/>
          <w:sz w:val="17"/>
          <w:highlight w:val="white"/>
        </w:rPr>
        <w:t xml:space="preserve">, which upheld FERCs determination that certain rates of an interstate petroleum products pipeline, SFPP, L.P. (SFPP), were grandfathered rates under EPAct and that SFPPs shippers had not demonstrated substantially changed circumstances that would justify modification of those rates. The court also vacated the portion of the FERCs decision applying the </w:t>
      </w:r>
      <w:r>
        <w:rPr>
          <w:rFonts w:ascii="Times New Roman;Times" w:hAnsi="Times New Roman;Times"/>
          <w:i/>
          <w:color w:val="000000"/>
          <w:sz w:val="17"/>
          <w:highlight w:val="white"/>
        </w:rPr>
        <w:t xml:space="preserve">Lakehead </w:t>
      </w:r>
      <w:r>
        <w:rPr>
          <w:rFonts w:ascii="Times New Roman;Times" w:hAnsi="Times New Roman;Times"/>
          <w:color w:val="000000"/>
          <w:sz w:val="17"/>
          <w:highlight w:val="white"/>
        </w:rPr>
        <w:t xml:space="preserve">policy, under which the FERC allowed a regulated entity organized as a master limited partnership (or MLP) to include in its cost-of-service an income tax allowance to the extent that entitys unitholders were corporations subject to income tax. On May 4, 2005, the FERC adopted a policy statement in Docket No. PL05-5 (Policy Statement), stating that it would permit entities owning public utility assets, including oil pipelines, to include an income tax allowance in such utilities cost-of-service rates to reflect the actual or potential income tax liability attributable to their public utility income, regardless of the form of ownership. Pursuant to the Policy Statement, a tax pass-through entity seeking such an income tax allowance would have to establish that its partners or members have an actual or potential income tax obligation on the entitys public utility income. Whether a pipelines owners have such actual or potential income tax liability will be reviewed by the FERC on a case-by-case basis. Although the new policy is generally favorable for pipelines that are organized as pass-through entities, such as MLPs, it still entails rate risk due to the case-by-case review requirement. The new tax allowance policy has been appealed to the D.C. Circuit. As a result, the ultimate outcome of these proceedings is not certain and could result in changes to the FERCs treatment of income tax allowances in cost of service. FERC continues to refine its tax allowance policy in case-by-case reviews; how the policy statement on income tax allowances is applied in practice to pipelines owned by MLPs, and whether it is ultimately upheld or modified on judicial review, could affect the rates of FERC regulated pipelines.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the criteria for establishing substantially changed circumstances under EPAct, among other issues, are currently under review by the D.C. Circuit. Oral argument was held on December 12, 2006, but the court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has not yet issued an opinion. We have no way of knowing what effect, if any, action by the FERC and/or the D.C. Circuit on this issue and others might have on our rates should they be challenged.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Our Pipelines.</w:t>
      </w:r>
      <w:r>
        <w:rPr>
          <w:rFonts w:ascii="Times New Roman;Times" w:hAnsi="Times New Roman;Times"/>
          <w:color w:val="000000"/>
          <w:sz w:val="17"/>
          <w:highlight w:val="white"/>
        </w:rPr>
        <w:t xml:space="preserve">  The FERC generally has not investigated rates on its own initiative when those rates have not been the subject of a protest or complaint by a shipper. Substantially all of our segment profit in our transportation segment is produced by rates that are either grandfathered or set by agreement with one or more shippers.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Trucking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driver operations, maintaining log books, truck manifest preparations, the placement of safety placards on the trucks and trailer vehicles, drug and alcohol testing, safety of operation and equipment, and many other aspects of truck operations. We are also subject to the Occupational Safety and Health Act, as amended (OSHA), with respect to our trucking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and driver training and certification, facility inspection, reporting and safety.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Cross Border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our Canadian acquisitions and cross border activities, including importation of crude oil into the United States,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license,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Natural Gas Storage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Interstate Regulation.</w:t>
      </w:r>
      <w:r>
        <w:rPr>
          <w:rFonts w:ascii="Times New Roman;Times" w:hAnsi="Times New Roman;Times"/>
          <w:color w:val="000000"/>
          <w:sz w:val="17"/>
          <w:highlight w:val="white"/>
        </w:rPr>
        <w:t xml:space="preserve">  The interstate storage facilities in which we have an investment are or will be subject to rate regulation by the FERC under the Natural Gas Act. The Natural Gas Act requires that tariff rates for gas storage facilities be just and reasonable and non-discriminatory. The FERC has authority to regulate rates and charges for natural gas transported and stored for U.S. interstate commerce or sold by a natural gas company via interstate commerce for resale. The FERC has granted market-based rate authority under its existing regulations to PAA/Vulcans Pine Prairie Energy Center, which is under construction in Louisiana, and to its Bluewater gas storage facility.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FERC also has authority over the construction and operation of U.S. transportation and storage facilities and related facilities used in the transportation, storage and sale of natural gas in interstate commerce, including the extension, enlargement or abandonment of such facilities. Absent an exemption granted by the FERC, FERCs Standard of Conduct regulations restricted access to U.S. interstate natural gas storage customer data by marketing and other energy affiliates, and placed certain conditions on services provided by the U.S. storage facility operators to their affiliated gas marketing entities. Pine Prairie Energy Center elected to adhere to the Standards of Conduct regulations. However, the Standards of Conduct did not apply to natural gas storage providers authorized to charge market-based rates that are not interconnected with the jurisdictional facilities of any affiliated interstate natural gas pipeline, have no exclusive franchise area, no captive ratepayers, and no market power. The FERC has found that PAA/Vulcans Pine Prairie Energy Center and its Bluewater facility qualified for this exemption from the Standards of Conduct.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17, 2006, the D.C. Circuit vacated the Standards of Conduct regulations with respect to natural gas pipelines, and remanded the matter to FERC. On January 9, 2007, FERC issued an interim Standards of Conduct rule that reimposed certain of the Standards of Conduct regulations on interstate natural gas transmission providers while narrowing the regulations in a manner that FERC believes is in compliance with the D.C. Circuits remand. The interim rule continues to exempt natural gas storage providers like PAA/Vulcans Pine Prairie Energy Center and its Bluewater facility. On January 18, 2007, the FERC issued a Notice of Proposed Rulemaking for new Standards of Conduct regulations. Under the proposed rule, the Standards of Conduct would continue to exempt natural gas storage providers like PAA/Vulcans Pine Prairie Energy Center and its Bluewater facility. We are unable to predict what Standards of Conduct regulations FERC will ultimately adopt, or whether those regulations will withstand judicial review.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August 8, 2005, Congress enacted the Energy Policy Act of 2005 (EPAct 2005). Among other matters, EPAct 2005 amends the Natural Gas Act to add an antimanipulation provision that makes it unlawful for any entity to engage in prohibited behavior in contravention of rules and regulations to be prescribed by FERC. On January 19, 2006, the FERC issued Order No. 670, a rule implementing the antimanipulation provision of EPAct 2005. The rules make it unlawful in connection with the purchase or sale of natural gas or transportation services subject to the jurisdiction of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new antimanipulation rule does not apply to activities that relate only to intrastate or other non-jurisdictional sales or gathering, but does apply to activities of gas pipelines and storage companies that provide interstate services as well as otherwise non-jurisdictional entities to the extent the activities are conducted in connection with gas sales, purchases or transportation subject to FERC jurisdiction. EPAct 2005 also amends the Natural Gas Act and the Natural Gas Policy Act to give FERC authority to impose civil penalties for violations of the Natural Gas Act up to $1,000,000 per day per violation for violations occurring after August 8, 2005. In connection with this enhanced civil penalty authority, FERC issued a policy statement on enforcement to provide guidance regarding the enforcement of the statutes, orders, rules and regulations it administers, including factors to be considered in determining the appropriate enforcement action to be taken. The antimanipulation rule and enhanced civil penalty authority reflect an expansion of FERCs Natural Gas Act enforcement authority. Additional proposals and proceedings that might affect the natural gas industry are pending before Congress, FERC and the courts. The natural gas industry historically has been heavily regulated. Accordingly, we cannot assure you that the less stringent and pro-competition regulatory approach recently pursued by FERC and Congress will continue.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State Regulation.</w:t>
      </w:r>
      <w:r>
        <w:rPr>
          <w:rFonts w:ascii="Times New Roman;Times" w:hAnsi="Times New Roman;Times"/>
          <w:color w:val="000000"/>
          <w:sz w:val="17"/>
          <w:highlight w:val="white"/>
        </w:rPr>
        <w:t xml:space="preserve">  The intrastate storage facilities in which we have an investment are also subject to regulation by the Michigan State Public Service Commission. Specifically, the Michigan State Public Service Commission has authority to regulate our storage facilities in Michigan with respect to safety and environmental matters.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Environmental, Health and Safety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General</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and even the issuance of injunctions that may restrict or prohibit our operations. Environmental laws and regulations are subject to change resulting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neighboring landowners and other third parties for personal injury and natural resource and property damage.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Water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U.S. Oil Pollution Act (OPA) subjects owners of facilities to strict, joint and potentially unlimited liability for containment and removal costs, natural resource damages, and certain other consequences of an oil spill, where such spill is into navigable waters, along shorelines or in the exclusive economic zone of the U.S. The OPA establishes a liability limit of $209 million for onshore facilities. However, a party cannot take advantage of this liability limit if the spill is caused by gross negligence or willful misconduct, resulted from a violation of a federal safety, construction, or operating regulation, or if there is a failure to report a spill or cooperate in the cleanup.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state and Canadian requirements.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U.S. Clean Water Act and state and Canadian federal and provincial laws impose restrictions and strict controls regarding the discharge of pollutants into navigable waters of the United States and Canada, as well as state and provincial waters. See Note 11 to our Consolidated Financial Statements. Permits or approvals must be obtained to discharge pollutants into these waters. The Clean Water Act imposes substantial potential liability for the removal and remediation of pollutants. Although we can give no assurances, we believe that compliance with existing permits and compliance with foreseeable new permit or approval requirements will not have a material adverse effect on our financial condition or results of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Some states and all provinces maintain groundwater protection programs that require permits for discharges or operations that may impact groundwater conditions. We believe that we are in substantial compliance with any such applicable state and provincial requirements.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costs described above we could also be required to spend substantial sums to ensure the integrity of and upgrade our pipeline systems as a result of oil releases, and in some cases, we may take pipelines out of service if we believe the cost of upgrades will exceed the value of the pipelines. We cannot provide any assurance as to the ultimate amount or timing of future pipeline integrity expenditures for environmental compliance.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Air Emissions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are subject to the U.S. Clean Air Act and comparable state and provincial laws. Under these laws, permits may be required before construction can commence on a new source of potentially significant air emissions and operating permits may be required for sources already constructed. We may be required to incur certain capital and operating expenditures in the next several years for installing air pollution control equipment and otherwise complying with more stringent state and regional air emissions control plans in connection with obtaining or maintaining permits and approvals for sources of air emissions. Although we believe that our operations are in substantial compliance with these laws in those areas in which we operate, we can provide no assurance that future compliance obligations will not have a material adverse effect on our financial condition or results of operations.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 in response to recent studies suggesting that emissions of carbon dioxide and certain other gases may be contributing to warming of the Earths atmosphere, many foreign nations, including Canada, have agreed to limit emissions of these gases, generally referred to as greenhouse gases, pursuant to the United Nations Framework Convention on Climate Change, also known as the Kyoto Protocol. The Kyoto Protocol requires Canada to reduce its emissions of greenhouse gases to 6% below 1990 levels by 2012. As a result, it is possible that already stringent air emissions regulations applicable to our operations in Canada will be replaced with even stricter requirements prior to 2012. Although the United States is not participating in the Kyoto Protocol, the current session of Congress is considering climate change-related legislation, with multiple bills having already been introduced in the Senate that propose to restrict greenhouse gas emissions. Also, several states have adopted legislation, regulations and/or regulatory initiatives to reduce emissions of greenhouse gases. For instance, California recently adopted the California Global Warming Solutions Act of 2006, which requires the California Air Resources Board to achieve a 25% reduction in emissions of greenhouse gases from sources in California by 2020. Additionally, on November 29, 2006, the U.S. Supreme Court heard arguments on a case appealed from the U.S. Circuit Court of Appeals for the District of Columbia, </w:t>
      </w:r>
      <w:r>
        <w:rPr>
          <w:rFonts w:ascii="Times New Roman;Times" w:hAnsi="Times New Roman;Times"/>
          <w:i/>
          <w:color w:val="000000"/>
          <w:sz w:val="17"/>
          <w:highlight w:val="white"/>
        </w:rPr>
        <w:t>Massachusetts, et al. v. EPA</w:t>
      </w:r>
      <w:r>
        <w:rPr>
          <w:rFonts w:ascii="Times New Roman;Times" w:hAnsi="Times New Roman;Times"/>
          <w:color w:val="000000"/>
          <w:sz w:val="17"/>
          <w:highlight w:val="white"/>
        </w:rPr>
        <w:t xml:space="preserve">, in which the appellate court held that the EPA had discretion under the federal Clean Air Act to refuse to regulate carbon dioxide emission from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mobile sources. Passage of climate control legislation by Congress or a Supreme Court reversal of the appellate decision could result in federal regulation of carbon dioxide emissions and other greenhouse gases. Any federal, provincial or state restrictions on emissions of greenhouse gases that may be imposed in areas of the United States in which we conduct business or in Canada prior to 2012 could adversely affect our operations and demand for our products.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Solid Waste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generate wastes, including hazardous wastes, that are subject to the requirements of the federal Resource Conservation and Recovery Act (RCRA) and state and provincial laws. We are not required to comply with a substantial portion of the RCRA requirements because our operations generate primarily oil and gas wastes, which currently are excluded from consideration as RCRA hazardous wastes. However, it is possible that in the future oil and gas wastes may be included as RCRA hazardous wastes, in which event our wastes as well as the wastes of our competitors in the oil and gas industry will be subject to more rigorous and costly disposal requirements, resulting in additional capital expenditures or operating expenses for us and the industry in general.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Hazardous Substances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Canadian and provincial laws also impose liabilities for releases of certain substances into the environment. Under CERCLA,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in which event we may be held jointly and severally liable under CERCLA for all or part of the costs required to clean up sites at which such hazardous substances have been released into the environment.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OSHA</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subject to the requirements of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 OSHA has also been given jurisdiction over enforcement of legislation designed to protect employees who provide evidence in fraud cases from retaliation by their employer.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Endangered Species Act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federal Endangered Species Act (ESA) restricts activities that may affect endangered species or their habitats. Although certain of our facilities are in areas that may be designated as habitat for endangered species, we believe that we are in substantial compliance with the ESA. However, the discovery of previously unidentified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endangered species could cause us to incur additional costs or operational restrictions or bans in the affected area, which costs, restrictions, or bans could have a material adverse effect on our financial condition or results of operations. Legislation in Canada for the protection of species at risk and their habitat (the Species at Risk Act) applies to our Canadian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Hazardous Materials Transportation Requirements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federal and analogous state DOT regulations affecting pipeline safety require pipeline operators to implement measures designed to reduce the environmental impact of oil discharge from onshore oil pipelines. These regulations require operators to maintain comprehensive spill response plans, including extensive spill response training for pipeline personnel. In addition, DOT regulations contain detailed specifications for pipeline operation and maintenance. We believe our operations are in substantial compliance with such regulations. See  Regulation  Pipeline and Storage Regulation.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Environmental Remediation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currently own or lease properties where hazardous liquids, including hydrocarbons, are being or have been handled. These properties and the hazardous liquids or associated generated wastes disposed thereon may be subject to CERCLA, RCRA and state and Canadian federal and provincial laws and regulations. Under such laws and regulations,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instance, in connection with the purchase of assets from Link in 2004, we identified a number of environmental liabilities for which we received a purchase price reduction from Link and recorded a total environmental reserve of $20 million. A substantial portion of these environmental liabilities are associated with the former Texas New Mexico (TNM) pipeline assets. On the effective date of the acquisition, we and TNM entered into a cost-sharing agreement whereby, on a tiered basis, we agreed to bear $11 million of the first $20 million of pre-May 1999 environmental issues. We also agreed to bear the first $25,000 per site for new sites which were not identified at the time we entered into the agreement (capped at 100 sites). TNM agreed to pay all costs in excess of $20 million (excluding the deductible for new sites). TNMs obligations are guaranteed by Shell Oil Products (SOP). As of December 31, 2006, we had incurred approximately $7 million of remediation costs associated with these sites; SOPs share is approximately $1.5 million.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SOP made a claim against the policy; however, we do not believe that the claim substantially reduced our coverage under the policy.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our 1999 acquisition of Scurlock Permian LLC from MAP, we were indemnified by MAP for any environmental liabilities attributable to Scurlocks business or properties that occurred prior to the date of the closing of the acquisition. Other than with respect to liabilities associated with two Superfund sites at which it is alleged that Scurlock deposited waste oils, this indemnity has expired or was terminated by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our merger with Pacific, we have assumed liability for a number of ongoing remediation sites, associated with releases from pipeline or storage operations. These sites had been managed by Pacific prior to the merger, and in general there is no insurance or indemnification to cover ongoing costs to address these sites (with the exception of the Pyramid Lake crude oil release, which is discussed in Item 3. Legal Proceedings). We have evaluated each of the sites requiring remediation, through review of technical and regulatory documents, discussions with Pacific, and our experience at investigating and remediating releases from pipeline and storage operations. We have developed reserve estimates for the Pacific sites based on this evaluation, including determination of current and long-term reserve amounts, which total approximately $21.8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assets we have acquired or will acquire in the future may have environmental remediation liabilities for which we are not indemnified.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Environmental.</w:t>
      </w:r>
      <w:r>
        <w:rPr>
          <w:rFonts w:ascii="Times New Roman;Times" w:hAnsi="Times New Roman;Times"/>
          <w:color w:val="000000"/>
          <w:sz w:val="17"/>
          <w:highlight w:val="white"/>
        </w:rPr>
        <w:t xml:space="preserve">  We have in the past experienced and in the future likely will experience releases of crude oil or petroleum products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experienced such an increase in connection with the Pacific acquisition, which added approximately 5,000 miles of pipeline to our operations, and in connection with the Link acquisition,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Item 3. Legal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December 31, 2006, our reserve for environmental liabilities totaled approximately $39.1 million (approximately $21.8 million of this reserve is related to liabilities assumed as part of the Pacific merger, and $10.4 million is related to liabilities assumed as part of the Link acquisition). Approximately $19.5 million of our environmental reserve is classified as current and $19.6 million is classified as long-term. At December 31, 2006, we have recorded receivables totaling approximately $11.6 million for amounts recoverable under insurance and from third parties under indemnification agreements.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no assurances can be made that any costs incurred in excess of this reserve or outside of the indemnifications would not have a material adverse effect on our financial condition, results of operations, or cash flows.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Operational Hazards and Insurance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1,300%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Some of this may be attributable to the events of September 11, 2001, which adversely impacted the availability and costs of certain types of coverage. Certain aspects of these conditions were further exacerbated by the hurricanes along the Gulf Coast during 2005, which also had an adverse effect on the availability and cost of coverage. As a result, we have elected to self-insure more activities against certain of these operating hazards and expect this trend will continue in the future. Due to the events of September 11, 2001, insurers have excluded acts of terrorism and sabotage from our insurance policies. On certain of our key assets, we have elected to purchase a separate insurance policy for acts of terrorism and sabotage.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 concentrated attack. Any future terrorist attacks on our facilities, those of our customers and, in some cases, those of our competitors, could have a material adverse effect on our business, whether insured or not.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Title to Properties and Rights-of-Way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we have satisfactory title to all of our assets. Although title to such properties is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our predecessor, or subsequently granted by us, we believe that none of these burdens will materially detract from the value of such properties or from our interest therein or will materially interfere with their use in the operation of our business.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that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leases. In certain states and under certain circumstances, we have the right of eminent domain to acquire rights-of-way and lands necessary for our common carrier pipelines.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We believe that we have obtained such third party consents, permits and authorizations as are sufficient for the transfer to us of the assets necessary for us to operate our business in all material respects as described in this report. With respect to any consents, permits or authorizations that have not yet been obtained, we believe that such consents, permits or authorizations will be obtained within a reasonable period, or that the failure to obtain such consents, permits or authorizations will have no material adverse effect on the operation of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Employees and Labor Relations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carry out our operations, our general partner or its affiliates (including PMC (Nova Scotia) Company) employed approximately 2,900 employees at December 31, 2006. None of the employees of our general partner were subject to a collective bargaining agreement, except for nine employees at our Paulsboro, New Jersey terminal, who are members of USW District 10-286 (Steel Workers), with whom we have a collective bargaining agreement that will end on October 1, 2009. Our general partner considers its employee relations to be good.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Summary of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tax consequences of ownership of common units depends in part on the owners individual tax circumstances. However, the following is a brief summary of material tax considerations of owning and disposing of common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Partnership Status; Cash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treated for federal income tax purposes as a partnership based upon our meeting certain requirements imposed by the Internal Revenue Code (the Code), which we must meet each year. The owners of common units are considered partners in the Partnership so long as they do not loan their common units to others to cover short sales or otherwise dispose of those units. Accordingly, we pay no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credits and dividend payments.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Partnership Allocations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general, our income and loss is allocated to the general partner and the unitholders for each taxable year in accordance with their respective percentage interests in the Partnership (including, with respect to the general partner, its incentive distribution right),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At any time incentive distributions are made to the general partner, gross income will be allocated to the recipient to the extent of those distributions.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Basis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unitholders initial tax basis for a common unit is generally the amount paid for the common unit and the unitholders share of our nonrecourse liabilities. A unitholders basis is generally increased by the unitholders share of our income and by any increases in the unitholders share of our nonrecourse liabilities. That basis will be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decreased, but not below zero, by the unitholders share of our losses and distributions (including deemed distributions due to a decrease in the unitholders share of our nonrecourse liabilities).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Deductibility of Partnership Losses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case of taxpayers subject to the passive loss rules (generally, individuals and closely held corporations), any partnership losses are only available to offset future income generated by us and cannot be used to offset income from other activities, including passive activities or investments. Any losses unused by virtue of the passive loss rules may be fully deducted if the unitholder disposes of all of the unitholders common units in a taxable transaction with an unrelated party.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Section 754 Election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made the election provided for by Section 754 of the Code, which will generally result in a unitholder being allocated income and deductions calculated by reference to the portion of the unitholders purchase price attributable to each asset of the Partnership.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Disposition of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Foreign, State, Local and Other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unitholders will likely be subject to other taxes, such as foreign, state and local income taxes, unincorporated business taxes, and estate, inheritance or intangible taxes that are imposed by the various jurisdictions in which a unitholder resides or in which we conduct business or own property. We own property and conduct business in Canada as well as in most states in the United States. A unitholder will therefore be required to file Canadian federal income tax returns and to pay Canadian federal and provincial income taxes in respect of our Canadian source income earned through partnership entities. A unitholder may also be required to file state income tax returns and to pay taxes in various states. 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It is the responsibility of each prospective unitholder to investigate the legal and tax consequences, under the laws of pertinent states and localities, including the Canadian provinces and Canada, of the unitholders investment in us. Further, it is the responsibility of each unitholder to file all U.S. federal, Canadian, state, provincial and local tax returns that may be required of the unitholder.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Ownership of Common Units by Tax-Exempt Organizations and Certain Other Investors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investment in common units by tax-exempt organizations (including IRAs and other retirement plans) and foreign persons raises issues unique to such persons. Virtually all of our income allocated to a unitholder that is a tax-exempt organization is unrelated business taxable income and, thus, is taxable to such a unitholder. A unitholder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who is a nonresident alien, foreign corporation or other foreign person is regarded as being engaged in a trade or business in the United States as a result of ownership of a common unit and, thus, is required to file federal income tax returns and to pay tax on the unitholders share of our taxable income. Finally, distributions to foreign unitholders are subject to federal income tax withholding.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Available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make available, free of charge on our Internet website (http://www.paalp.com),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w:t>
      </w:r>
    </w:p>
    <w:p>
      <w:pPr>
        <w:pStyle w:val="TextBody"/>
        <w:spacing w:before="240" w:after="283"/>
        <w:rPr/>
      </w:pPr>
      <w:bookmarkStart w:id="5" w:name="103"/>
      <w:bookmarkEnd w:id="5"/>
      <w:r>
        <w:rPr/>
        <w:t> </w:t>
      </w:r>
    </w:p>
    <w:tbl>
      <w:tblPr>
        <w:tblW w:w="5000" w:type="pct"/>
        <w:jc w:val="left"/>
        <w:tblInd w:w="0" w:type="dxa"/>
        <w:shd w:fill="FFFFFF" w:val="clear"/>
        <w:tblCellMar>
          <w:top w:w="0" w:type="dxa"/>
          <w:left w:w="0" w:type="dxa"/>
          <w:bottom w:w="0" w:type="dxa"/>
          <w:right w:w="0" w:type="dxa"/>
        </w:tblCellMar>
      </w:tblPr>
      <w:tblGrid>
        <w:gridCol w:w="1066"/>
        <w:gridCol w:w="9139"/>
      </w:tblGrid>
      <w:tr>
        <w:trPr/>
        <w:tc>
          <w:tcPr>
            <w:tcW w:w="1066" w:type="dxa"/>
            <w:tcBorders/>
            <w:shd w:fill="FFFFFF" w:val="clear"/>
            <w:vAlign w:val="center"/>
          </w:tcPr>
          <w:p>
            <w:pPr>
              <w:pStyle w:val="TableContents"/>
              <w:spacing w:before="0" w:after="283"/>
              <w:rPr>
                <w:sz w:val="4"/>
                <w:szCs w:val="4"/>
              </w:rPr>
            </w:pPr>
            <w:r>
              <w:rPr>
                <w:sz w:val="4"/>
                <w:szCs w:val="4"/>
              </w:rPr>
            </w:r>
          </w:p>
        </w:tc>
        <w:tc>
          <w:tcPr>
            <w:tcW w:w="9139" w:type="dxa"/>
            <w:tcBorders/>
            <w:shd w:fill="FFFFFF" w:val="clear"/>
            <w:vAlign w:val="center"/>
          </w:tcPr>
          <w:p>
            <w:pPr>
              <w:pStyle w:val="TableContents"/>
              <w:spacing w:before="0" w:after="283"/>
              <w:rPr>
                <w:sz w:val="4"/>
                <w:szCs w:val="4"/>
              </w:rPr>
            </w:pPr>
            <w:r>
              <w:rPr>
                <w:sz w:val="4"/>
                <w:szCs w:val="4"/>
              </w:rPr>
            </w:r>
          </w:p>
        </w:tc>
      </w:tr>
      <w:tr>
        <w:trPr/>
        <w:tc>
          <w:tcPr>
            <w:tcW w:w="1066" w:type="dxa"/>
            <w:tcBorders/>
            <w:shd w:fill="FFFFFF" w:val="clear"/>
          </w:tcPr>
          <w:p>
            <w:pPr>
              <w:pStyle w:val="TableContents"/>
              <w:spacing w:before="0" w:after="283"/>
              <w:rPr/>
            </w:pPr>
            <w:r>
              <w:rPr>
                <w:rFonts w:ascii="Times New Roman;Times" w:hAnsi="Times New Roman;Times"/>
                <w:b/>
              </w:rPr>
              <w:t>Item 1A.  </w:t>
            </w:r>
            <w:r>
              <w:rPr/>
              <w:t xml:space="preserve"> </w:t>
            </w:r>
          </w:p>
        </w:tc>
        <w:tc>
          <w:tcPr>
            <w:tcW w:w="9139" w:type="dxa"/>
            <w:tcBorders/>
            <w:shd w:fill="FFFFFF" w:val="clear"/>
          </w:tcPr>
          <w:p>
            <w:pPr>
              <w:pStyle w:val="TableContents"/>
              <w:spacing w:before="0" w:after="283"/>
              <w:rPr/>
            </w:pPr>
            <w:r>
              <w:rPr>
                <w:rFonts w:ascii="Times New Roman;Times" w:hAnsi="Times New Roman;Times"/>
                <w:b/>
                <w:i/>
              </w:rPr>
              <w:t>Risk Factors</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trading policies cannot eliminate all price risks. In addition, any non-compliance with our trading policies could result in significant financial losses.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it is our policy that we establish a margin for crude oil we purchase by selling crude oil for physical delivery to third party users, such as independent refiners or major oil companies, or by entering into a future delivery obligation under futures contracts on the NYMEX, ICE and over-the-counter. Through these transactions, we seek to maintain a position that is substantially balanced between purchases on the one hand, and sales or future delivery obligations on the other hand. Our policy is generally not to acquire and hold physical inventory, futures contracts or derivative products for the purpose of speculating on commodity price changes. These policies and practices cannot, however, eliminate all price risks. For example, any event that disrupts our anticipated physical supply of crude oil could expose us to risk of loss resulting from price changes. We are also exposed to basis risk when crude oil is purchased against one pricing index and sold against a different index. Moreover, we are exposed to some risks that are not hedged, including price risks on certain of our inventory, such as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nature of our business and assets exposes us to significant compliance costs and liabilities. Our asset base has more than tripled within the last three years. We have experienced a corresponding increase in the relative number of releases of crude oil to the environment. Substantial expenditures may be required to maintain the integrity of aged and aging pipelines and terminals at acceptable levels.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involving the storage, treatment, processing, and transportation of liquid hydrocarbons, including crude oil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interpretation by the relevant governmental agency. Any such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change or interpretation adverse to us could have a material adverse effect on our operations, revenues and profitability.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Today we own approximately three times the miles of pipeline we owned three years ago. As we have expanded our pipeline assets, we have observed a corresponding increase in the number of releases of crude oil 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During 2006, we entered the refined products pipeline and terminalling businesses through the acquisition of three products pipeline systems in West Texas and New Mexico and through the acquisition of Pacific, which had refined product assets in California, the U.S. Rockies and Pennsylvania. These businesses are also subject to significant compliance costs and liabilities. In addition, because of their increased volatility and tendency to migrate farther and faster than crude oil, releases of refined products into the environment can have more significant impact than crude oil and require significantly higher expenditures to respond and remediate. The incurrence of such expenses not covered by insurance, indemnity or reserves could materially adversely affect our results of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currently spend substantial amounts to comply with DOT-mandated pipeline integrity rules. The 2006 Pipeline Safety Act, enacted in December 2006, requires the DOT to issue regulations for certain pipelines that were not previously subject to regulation. These regulations could include requirements for the establishment of additional pipeline integrity management programs for these newly regulated pipelines. We do not currently know what, if any, impact this will have on our operating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performing DOT-mandated pipeline integrity evaluations, during 2006, we expanded an internal review process started in 2005 pursuant to which we review various aspects of our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we could be required (as a result of additional DOT regulation) or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Loss of credit rating or the ability to receive open credit could negatively affect our ability to use the counter-cyclical aspects of our asset base or to capitalize on a volatile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not be able to fully implement or capitalize upon planned growth projects.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number of organic growth projects that require the expenditure of significant amounts of capital, including the Pier 400 project, the Salt Lake City expansion, the Cheyenne pipeline project, the Pine Prairie joint venture and the St. James, Cushing and Patoka terminal projects. Many of these projects involve numerous regulatory, environmental, weather-related, political and legal uncertainties that will be beyond our control. As these projects are undertaken, required approvals may not be obtained, may be delayed or may be obtained with conditions that materially alter the expected return associated with the underlying projects. Moreover, revenues associated with these organic growth projects will not increase immediately upon the expenditures of funds with respect to a particular project and these projects may be completed behind schedule or in excess of budgeted cost. Because of continuing increased demand for materials, equipment and services, there could be shortages and cost increases associated with construction projects. We may construct pipelines, facilities or other assets in anticipation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of market demand that dissipates or market growth that never materializes. As a result of these uncertainties, the anticipated benefits associated with our capital projects may not be achieved.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level of our profitability is dependent upon an adequate supply of crude oil from fields located offshore and onshore California. A shut-in of this production due to economic limitations or a significant event could adversely affect our profitability. In addition, these offshore fields have experienced substantial production declines since 1995.</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significant portion of our segment profit is derived from pipeline transportation margins associated with the Santa Ynez and Point Arguello fields located offshore California and the onshore fields in the San Joaquin Valley. We expect that there will continue to be natural production declines from each of these fields as the underlying reservoirs are depleted. We estimate that a 5,000 barrel per day decline in volumes shipped from these fields would result in a decrease in annual transportation segment profit of approximately $6.1 million. A similar decline in volumes shipped from the San Joaquin Valley would result in an estimated $3.2 million decrease in annual transportation segment profit. In addition, any significant production disruption from the outer continental shelf fields and the San Joaquin Valley due to production problems, transportation problems or other reasons could have a material adverse effect on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profitability depends on the volume of crude oil, refined product and LPG shipped, purchased and gathered.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Third party shippers generally do not have long-term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$1.8 million. In addition, we estimate that an average 10,000 barrel per day variance on the Capline Pipeline System, equivalent to an approximate 8% volume variance on that system, would change annualized segment profit by approximately $1.3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maintain the volumes of crude oil we purchase in connection with our operations,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 We estimate that a 15,000 barrel per day decrease in barrels gathered by us would have an approximate $2.7 million per year negative impact on segment profit. This impact assumes a reasonable margin throughout various market conditions. Actual margins vary based on the location of the crude oil, the strength or weakness of the market and the grade or quality of crude oil. We estimate that a $0.01 variance in the average segment profit per barrel would have an approximate $4.2 million annual effect on segment profit.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Fluctuations in demand can negatively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ability to capture differentials created by demand fluctuations, this ability is dependent on location and grade of crude oil, and thus is unpredictable.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we do not make acquisitions on economically acceptable terms our future growth may be limited.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ability to grow depends in part on our ability to make acquisitions that result in an increase in adjusted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In particular, competition for midstream assets and businesses has intensified substantially and as a consequence such assets and businesses have become more costly. As a result, we may not be able to complete the number or size of acquisitions that we have targeted internally or to continue to grow as quickly as we have historically.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requires access to new capital. Tightened capital markets or other factors that increase our cost of capital could impair our ability to grow through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affect our cost of capital as well as our ability to execute our acquisition strategy.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acquisition strategy involves risks that may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acquisition involves potential risks,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performance from the acquired assets and businesses that is below the forecasts we used in evaluating the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significant increase in our indebtedness and working capital requirements;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inability to timely and effectively integrate the operations of recently acquired businesses or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incurrence of substantial unforeseen environmental and other liabilities arising out of the acquired businesses or assets, including liabilities arising from the operation of the acquired businesses or assets prior to our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risks associated with operating in lines of business that are distinct and separate from our historical operations;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customer or key employee loss from the acquired businesses;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diversion of managements attention from other business concerns.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pipeline assets are subject to federal, state and provincial regulation. Rate regulation or a successful challenge to the rates we charge on our domestic interstate pipeline system may reduce the amount of cash we generate.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domestic interstate common carrier pipelines are subject to regulation by the FERC under the Interstate Commerce Act. The Interstate Commerce Act requires that tariff rates for petroleum pipelines be just and reasonable and non-discriminatory. We are also subject to the Pipeline Safety Regulations of the DOT. Our intrastate pipeline transportation activities are subject to various state laws and regulations as well as orders of regulatory bodies.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The EPAct further protects any rate meeting this requirement from complaint unless the complainant can show that a substantial change occurred after the enactment of EPAct in the economic circumstances of the oil pipeline which were the basis for the rate or in the nature of the services provided which were a basis for the rate. This grandfathering protection does not apply, under certain specified circumstances, when the person filing the complaint was under a contractual prohibition against the filing of a complaint.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our domestic interstate common carrier pipelines subject to FERC regulation under the Interstate Commerce Act, shippers may protest our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our ability to set rates based on our true costs or may delay the use of rates that reflect increased costs.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potential for a challenge to the status of our grandfathered rates under EPAct (by showing a substantial change in circumstances) or a challenge to our indexed rates creates the risk that the FERC might find some of our rates to be in excess of a just and reasonable level  that is, a level justified by our cost of service. In such an event, the FERC could order us to reduce any such rates and could require the payment of reparations to complaining shippers for up to two years prior to the complaint.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Canadian pipelines are subject to regulation by the NEB or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Some of our operations cross the U.S./Canada border and are subject to cross border regulation.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cross border activities with our Canadian subsidiaries subject us to regulatory matters, including import and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face competition in our transportation, facilities and marketing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With respect to our natural gas storage operations, we compete with other storage providers, including local distribution companies (LDCs), utilities and affiliates of LDCs and utilities. Certain major pipeline companies have existing storage facilities connected to their systems that compete with certain of our facilities. Third-party construction of new capacity could have an adverse impact on our competitive position.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are exposed to the credit risk of our customers in the ordinary course of our marketing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can be no assurance that we have adequately assessed the creditworthiness of our existing or future counterparties or that there will not be an unanticipated deterioration in their creditworthiness, which could have an adverse impact on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in the future encounter increased costs related to, and lack of availability of, insurance.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Over the last several years, as the scale and scope of our business activities has expanded, the breadth and depth of available insurance markets has contracted. Some of this may be attributable to the events of September 11, 2001 and the effects of hurricanes along the Gulf Coast during 2005, which adversely impacted the availability and costs of certain types of coverage. We can give no assurance that we will be able to maintain adequate insurance in the future at rates we consider reasonable. The occurrence of a significant event not fully insured could materially and adversely affect our operations and financial condition.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Marine transportation of crude oil and refined product has inherent operating risks.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gathering and marketing operations include purchasing crude oil that is carried on third-party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instances in which cargoes are purchased FOB (title transfers when the oil is loaded onto a vessel chartered by the purchaser) the contract to purchase is typically made prior to the vessel being chartered. In such circumstances we take the risk of higher than anticipated charter costs. We are also exposed to increased transit time and unanticipated demurrage charges, which involve extra payment to the owner of a vessel for delays in offloading, circumstances that we may not control.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Maritime claimants could arrest the vessels carrying our cargoes.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are dependent on use of a third-party marine dock for delivery of waterborne crude oil into our storage and distribution facilities in the Los Angeles basin.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portion of our storage and distribution business conducted in the Los Angeles basin (acquired in connection with the Pacific acquisition) is dependent on our ability to receive waterborne crude oil, a major portion of which is presently being received through dock facilities operated by Shell Oil Products in the Port of Long Beach. We are currently a hold-over tenant with respect to such facilities. If we are unable to renew the agreement that allows us to utilize these dock facilities, and if other alternative dock access cannot be arranged, the volumes of crude oil that we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presently receive from our customers in the Los Angeles basin may be reduced, which could result in a reduction of facilities segment revenue and cash flow.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terms of our indebtedness may limit our ability to borrow additional funds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our total outstanding long-term debt was approximately $2.6 billion. Various limitations in certain of our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currency exchange rates could adversely affect our operating results.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conduct operations in Canada, we are exposed to currency fluctuations and exchange rate risks that may adversely affect our results of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Terrorist attacks aimed at our facilities could adversely affect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the September 11, 2001 terrorist attacks, the U.S. government has issued warnings that energy assets, specifically the nations pipeline infrastructure, may be future targets of terrorist organizations. These developments will subject our operations to increased risks. Any future terrorist attack that may target our facilities, those of our customers and, in some cases, those of other pipelines, could have a material adverse effect on our business.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An impairment of goodwill could reduce our earnings.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recorded a significant amount of goodwill upon completion of our merger with Pacific, but our preliminary estimate is subject to change pending the completion of an independent appraisal. Goodwill is recorded when the purchase price of a business exceeds the fair market value of the acquired tangible and separately measurable intangible net assets. U.S. generally accepted accounting principles, or GAAP, requires us to test goodwill for impairment on an annual basis or when events or circumstances occur indicating that goodwill might be impaired. If we were to determine that any of our remaining balance of goodwill was impaired, we would be required to take an immediate charge to earnings with a corresponding reduction of partners equity and increase in balance sheet leverage as measured by debt to total capitalization.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natural gas storage facilities are new and have limited operating history.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we believe that our operating natural gas storage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 gas consistent with contractual quality specifications, we could incur significant costs to maintain compliance with our contracts.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limited history of operating natural gas storage facilities and transporting, storing and marketing refined products.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many aspects of the natural gas storage and refined products industries are similar to our crude oil operations, our current management has little experience in operating natural gas storage facilities or in the refined products business. There are significant risks and costs inherent in our efforts to engage in these operations, including the risk that our new lines of business may not be profitable and that we might not be able to operate them or implement our operating policies and strategies successfully.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devotion of capital, management time and other resources to natural gas storage and refined products operations could adversely affect our existing business. Entering into the natural gas storage and refined products industries may require substantial changes, including acquisition costs, capital development expenditures, adding skilled management and employees and realigning our current organization to reflect these new lines of business.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Entering into the natural gas storage industry will require an investment in personnel and assets and the assumption of risks that may be greater than we have previously assumed.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Federal, state or local regulatory measures could adversely affect our natural gas storage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natural gas storage operations are subject to federal, state and local regulation. Specifically, our natural gas storage facilities and related assets are subject to regulation by the FERC, the Michigan Public Service Commission and various Louisiana state agencies. Our facilities essentially have market-based rate authority from such agencies. Any loss of market-based rate authority could have an adverse impact on our revenues associated with providing storage services. In addition, failure to comply with applicable regulations under the Natural Gas Act, and certain other state laws could result in the imposition of administrative, civil and criminal remedies.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gas storage business depends on third party pipelines to transport natural gas.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depend on third 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could affect the utilization and value of our storage services. Significant changes in the rates charged by the pipeline or the rates charged by other pipelines with which the interconnected pipelines compete could also have a material adverse effect on our storage revenues.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not be able to retain existing natural gas storage customers or acquire new customers, which would reduce our revenues and limit our future profitability.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Joint venture structures can create operational difficulties.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natural gas storage operations are conducted through PAA/Vulcan, a joint venture between us and a subsidiary of Vulcan Capital. We are also engaged in a joint venture arrangement with Settoon Towing.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with any joint venture arrangement, differences in views among the joint venture participants may result in delayed decisions or in failures to agree on major matters, potentially adversely affecting the business and operations of the joint ventures and in turn our business and operations.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Inherent in an Investment in Plains All American Pipeline, 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Cost reimbursements due to our general partner may be substantial and will reduce our cash available for distribution to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distributions are not guaranteed and may fluctuate with our performance and the establishment of financial reserves.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distributions on the common units are dependent on the amount of cash we generate, distributions may fluctuate based on our performance. The actual amount of cash that is available to be distributed each quarter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Unitholders may not be able to remove our general partner even if they wish to do so.</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662/3%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the following provisions of our partnership agreement may discourage a person or group from attempting to remove our general partner or otherwise change our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limitations upon the ability of unitholders to call meetings or to acquire information about our operations, as well as other limitations upon the unitholders ability to influence the manner or direction of management.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these provisions, the price at which the common units will trade may be lower because of the absence or reduction of a takeover premium in the trading price.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may issue additional common units without unitholder approval, which would dilute a unitholders existing ownership interests.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an existing unitholders proportionate ownership interest in the Partnership will decrease;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amount of cash available for distribution on each unit may decrease;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relative voting strength of each previously outstanding unit may be diminished;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the market price of the common units may decline.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general partner has a limited call right that may require unitholders to sell their units at an undesirable time or price.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Unitholders may not have limited liability if a court finds that unitholder actions constitute control of our business.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Conflicts of interest could arise among our general partner and us or the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conflicts may include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71"/>
        <w:gridCol w:w="9533"/>
      </w:tblGrid>
      <w:tr>
        <w:trPr/>
        <w:tc>
          <w:tcPr>
            <w:tcW w:w="4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we do not have any employees and we rely solely on employees of the general partner or, in the case of Plains Marketing Canada, employees of PMC (Nova Scotia) Company;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under our partnership agreement, we reimburse the general partner for the costs of managing and for operating the partnership;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amount of cash expenditures, borrowings and reserves in any quarter may affect available cash to pay quarterly distributions to unitholders;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general partner would not breach our partnership agreement by exercising its call rights to purchase limited partnership interests or by assigning its call rights to one of its affiliates or to us.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control of our general partner may be transferred to a third party without unitholder consent. A change of control may result in defaults under certain of our debt instruments and the triggering of payment obligations under compensation arrangements.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from transferring its general partnership interest in our general partner to a third party. The new owner of our general partner would then be in a position to replace the board of directors and officers with its own choices and to control their decisions and actions.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a change of control would constitute an event of default under the indentures governing certain issues of our senior notes and under our revolving credit agreement. An event of default under certain of our indentures could require us to make an offer to purchase the senior notes issued thereunder at a purchase price equal to 101% of the aggregate principal amount, plus accrued and unpaid interest, if any, to the date of purchase. During the continuance of an event of default under our revolving credit agreement,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an Investment in Our Debt Securities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right to receive payments on our outstanding debt securities and subsidiary guarantees is unsecured and will be effectively subordinated to our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debt securities are effectively subordinated to claims of our secured creditors and the guarantees are effectively subordinated to the claims of our secured creditors as well as the secured creditors of our subsidiary guarantors. Although substantially all of our operating subsidiaries, other than minor subsidiaries and those regulated by the CPUC, have guaranteed such debt securities, the guarantees are subject to release under certain circumstances, and we may have subsidiaries that are not guarantors. In that case, the debt securities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leverage may limit our ability to borrow additional funds, comply with the terms of our indebtedness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is significant in relation to our partners capital. At December 31, 2006, our total outstanding long-term debt and short-term debt under our revolving credit facility was approximately $3.6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court may use fraudulent conveyance considerations to avoid or subordinate the subsidiary guarantees.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Various applicable fraudulent conveyance laws have been enacted for the protection of creditors. A court may use fraudulent conveyance laws to subordinate or avoid the subsidiary guarantees of our debt securities issued by any of our subsidiary guarantors. It is also possible that under certain circumstances a court could hold that the direct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obligations of a subsidiary guaranteeing our debt securities could be superior to the obligations under that guarantee.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court could avoid or subordinate the guarantee of our debt securities by any of our subsidiaries in favor of that subsidiarys other debts or liabilities to the extent that the court determined either of the following were true at the time the subsidiary issued the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that subsidiary incurred the guarantee with the intent to hinder, delay or defraud any of its present or future creditors or that subsidiary contemplated insolvency with a design to favor one or more creditors to the total or partial exclusion of others;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that subsidiary did not receive fair consideration or reasonable equivalent value for issuing the guarantee and, at the time it issued the guarantee, that subsidiary: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611"/>
        <w:gridCol w:w="306"/>
        <w:gridCol w:w="9288"/>
      </w:tblGrid>
      <w:tr>
        <w:trPr/>
        <w:tc>
          <w:tcPr>
            <w:tcW w:w="61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288"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was insolvent or rendered insolvent by reason of the issuance of the guarantee; </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was engaged or about to engage in a business or transaction for which the remaining assets of that subsidiary constituted unreasonably small capital; or </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intended to incur, or believed that it would incur, debts beyond its ability to pay such debts as they matured.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Among other things, a legal challenge of a subsidiarys guarantee of our debt securities on fraudulent conveyance grounds may focus on the benefits, if any, realized by that subsidiary as a result of our issuance of our debt securities. To the extent a subsidiarys guarantee of our debt securities is avoided as a result of fraudulent conveyance or held unenforceable for any other reason, the holders of our debt securities would cease to have any claim in respect of that guarantee.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ability to transfer our debt securities may be limited by the absence of a trading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our debt securities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Tax Risks to Common Unitholders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tax treatment depends on our status as a partnership for U.S. and Canadian federal income tax purposes, as well as our not being subject to a material amount of entity-level taxation by individual states. If the IRS were to treat us as a corporation or if we become subject to a material amount of entity-level taxation for state tax purposes, it would substantially reduce the amount of cash available to pay distributions and our debt obligations.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treated as a corporation for U.S. federal income tax purposes, we would pay federal income tax on our income at the corporate tax rate, which is currently a maximum of 35%, and would likely pay state income tax at varying rates. Because a tax would be imposed upon us as a corporation, the cash available for distributions or to pay our debt obligations would be substantially reduced.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treated as a corporation for federal income tax purposes or otherwise subject us to entity-level taxation. In addition, because of widespread state budget deficits and other reasons, several states are evaluating ways to subject partnerships to entity-level taxation through the imposition of state income, franchise or other forms of taxation. For example, we will be subject to a new entity level tax on the portion of our income that is generated in Texas beginning in our tax year ending in 2007. Specifically, the Texas margin tax will be imposed at a maximum effective rate of 0.7% of our gross income apportioned to Texas. Imposition of such a tax upon us as an entity by Texas or any other state will reduce the cash available for distributions or to pay our debt obligations.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Proposed changes in Canadian tax law could subject our Canadian subsidiaries to entity-level tax, which would reduce the amount of cash available to pay distributions and our debt obligations.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response to the perceived proliferation of income trusts in Canada, the Canadian government has issued proposed regulations that impose entity-level taxes on certain types of flow-through entities. At this point, final regulations have not been issued and it is not clear what impact the final regulations will have on our Canadian subsidiaries. Any entity-level taxation of our Canadian subsidiaries would reduce the cash available for distributions or to pay our debt obligations.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The sale or exchange of 50% or more of our capital and profits interests during any twelve-month period will result in our termination as a partnership for federal income tax purposes.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considered to have terminated for federal income tax purposes if there is a sale or exchange of 50% or more of the total interests in our capital and profits within a twelve-month period. Our termination would, among other things, result in the closing of our taxable year for all of our unitholders and could result in a deferral of depreciation deductions allowable in computing our taxable income.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the IRS contests the federal income tax positions we take, the market for our common units may be adversely impacted and the cost of any IRS contest will reduce our cash available for distribution or debt service.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requested a ruling from the IRS with respect to any matter affecting us. The IRS may adopt positions that differ from the conclusions of our counsel or from the positions we take. It may be necessary to resort to administrative or court proceedings to sustain some or all of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because the costs will reduce our cash available for distribution or debt service.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unitholders may be required to pay taxes even if they do not receive any cash distributions from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do not receive any cash distributions from us. Unitholders may not receive cash distributions from us equal to their share of our taxable income or even equal to the actual tax liability that results from their share of our taxable income.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Tax gain or loss on disposition of common units could be different than expected.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our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 Should the IRS successfully contest some positions we take,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Tax-exempt entities and foreign persons face unique tax issues from owning our common units that may result in adverse tax consequences to them.</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Investment in common units by tax-exempt entities, such as individual retirement accounts (IRAs), and non-U.S. persons raises issues unique to them. For example, virtually all of our income allocated to organizations that are exempt from federal income tax, including individual retirement accounts and other retirement plans, will be unrelated business taxable income and will be taxable to them. Distributions to non-U.S. persons will be reduced by withholding taxes at the highest applicable effective tax rate, and non-U.S. persons will be required to file United States federal tax returns and pay tax on their share of our taxable income.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treat each purchaser of common units as having the same tax benefits without regard to the actual units purchased. The IRS may challenge this treatment, which could adversely affect the value of the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cannot match transferors and transferees of common units and because of other reasons, we have adopted depreciation and amortization positions that do not conform with all aspects of the Treasury Regulations. A successful IRS challenge to those positions could adversely affect the amount of tax benefits available to our unitholders. It also could affect the timing of these tax benefits or the amount of gain from a unitholders sale of common units and could have a negative impact on the value of the common units or result in audit adjustments to a unitholders tax return.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unitholders will likely be subject to foreign, state and local taxes and tax return filing requirements in jurisdictions where they do not live as a result of an investment in our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federal income taxes, our unitholders will likely be subject to other taxes, including foreign taxes, state and local taxes, unincorporated business taxes and estate, inheritance or intangible taxes that are imposed by the various jurisdictions in which we conduct business or own property and in which they do not reside. We own property and conduct business in Canada and in most states in the United States. Unitholders will be required to file Canadian federal income tax returns and to pay Canadian federal and provincial income taxes in respect of our Canadian source income earned through partnership entities. A unitholder may also be required to file state and local income tax returns and pay state and local income taxes in many or all of the jurisdictions in which we conduct business or own property. Further, unitholders may be subject to penalties for failure to comply with those requirements. It is our unitholders responsibility to file all United States federal, state, local and foreign tax returns. </w:t>
      </w:r>
    </w:p>
    <w:p>
      <w:pPr>
        <w:pStyle w:val="TextBody"/>
        <w:spacing w:before="240" w:after="283"/>
        <w:rPr/>
      </w:pPr>
      <w:bookmarkStart w:id="6" w:name="104"/>
      <w:bookmarkEnd w:id="6"/>
      <w:r>
        <w:rPr/>
        <w:t> </w:t>
      </w:r>
    </w:p>
    <w:tbl>
      <w:tblPr>
        <w:tblW w:w="5000" w:type="pct"/>
        <w:jc w:val="left"/>
        <w:tblInd w:w="0" w:type="dxa"/>
        <w:shd w:fill="FFFFFF" w:val="clear"/>
        <w:tblCellMar>
          <w:top w:w="0" w:type="dxa"/>
          <w:left w:w="0" w:type="dxa"/>
          <w:bottom w:w="0" w:type="dxa"/>
          <w:right w:w="0" w:type="dxa"/>
        </w:tblCellMar>
      </w:tblPr>
      <w:tblGrid>
        <w:gridCol w:w="1011"/>
        <w:gridCol w:w="9194"/>
      </w:tblGrid>
      <w:tr>
        <w:trPr/>
        <w:tc>
          <w:tcPr>
            <w:tcW w:w="1011" w:type="dxa"/>
            <w:tcBorders/>
            <w:shd w:fill="FFFFFF" w:val="clear"/>
            <w:vAlign w:val="center"/>
          </w:tcPr>
          <w:p>
            <w:pPr>
              <w:pStyle w:val="TableContents"/>
              <w:spacing w:before="0" w:after="283"/>
              <w:rPr>
                <w:sz w:val="4"/>
                <w:szCs w:val="4"/>
              </w:rPr>
            </w:pPr>
            <w:r>
              <w:rPr>
                <w:sz w:val="4"/>
                <w:szCs w:val="4"/>
              </w:rPr>
            </w:r>
          </w:p>
        </w:tc>
        <w:tc>
          <w:tcPr>
            <w:tcW w:w="9194" w:type="dxa"/>
            <w:tcBorders/>
            <w:shd w:fill="FFFFFF" w:val="clear"/>
            <w:vAlign w:val="center"/>
          </w:tcPr>
          <w:p>
            <w:pPr>
              <w:pStyle w:val="TableContents"/>
              <w:spacing w:before="0" w:after="283"/>
              <w:rPr>
                <w:sz w:val="4"/>
                <w:szCs w:val="4"/>
              </w:rPr>
            </w:pPr>
            <w:r>
              <w:rPr>
                <w:sz w:val="4"/>
                <w:szCs w:val="4"/>
              </w:rPr>
            </w:r>
          </w:p>
        </w:tc>
      </w:tr>
      <w:tr>
        <w:trPr/>
        <w:tc>
          <w:tcPr>
            <w:tcW w:w="1011" w:type="dxa"/>
            <w:tcBorders/>
            <w:shd w:fill="FFFFFF" w:val="clear"/>
          </w:tcPr>
          <w:p>
            <w:pPr>
              <w:pStyle w:val="TableContents"/>
              <w:spacing w:before="0" w:after="283"/>
              <w:rPr/>
            </w:pPr>
            <w:r>
              <w:rPr>
                <w:rFonts w:ascii="Times New Roman;Times" w:hAnsi="Times New Roman;Times"/>
                <w:b/>
              </w:rPr>
              <w:t>Item 1B.  </w:t>
            </w:r>
            <w:r>
              <w:rPr/>
              <w:t xml:space="preserve"> </w:t>
            </w:r>
          </w:p>
        </w:tc>
        <w:tc>
          <w:tcPr>
            <w:tcW w:w="9194" w:type="dxa"/>
            <w:tcBorders/>
            <w:shd w:fill="FFFFFF" w:val="clear"/>
          </w:tcPr>
          <w:p>
            <w:pPr>
              <w:pStyle w:val="TableContents"/>
              <w:spacing w:before="0" w:after="283"/>
              <w:rPr/>
            </w:pPr>
            <w:r>
              <w:rPr>
                <w:rFonts w:ascii="Times New Roman;Times" w:hAnsi="Times New Roman;Times"/>
                <w:b/>
                <w:i/>
              </w:rPr>
              <w:t>Unresolved Staff Comments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w:t>
      </w:r>
    </w:p>
    <w:p>
      <w:pPr>
        <w:pStyle w:val="TextBody"/>
        <w:spacing w:before="240" w:after="283"/>
        <w:rPr/>
      </w:pPr>
      <w:bookmarkStart w:id="7" w:name="105"/>
      <w:bookmarkEnd w:id="7"/>
      <w:r>
        <w:rPr/>
        <w:t> </w:t>
      </w:r>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3.  </w:t>
            </w:r>
            <w:r>
              <w:rPr/>
              <w:t xml:space="preserve"> </w:t>
            </w:r>
          </w:p>
        </w:tc>
        <w:tc>
          <w:tcPr>
            <w:tcW w:w="9390" w:type="dxa"/>
            <w:tcBorders/>
            <w:shd w:fill="FFFFFF" w:val="clear"/>
          </w:tcPr>
          <w:p>
            <w:pPr>
              <w:pStyle w:val="TableContents"/>
              <w:spacing w:before="0" w:after="283"/>
              <w:rPr/>
            </w:pPr>
            <w:r>
              <w:rPr>
                <w:rFonts w:ascii="Times New Roman;Times" w:hAnsi="Times New Roman;Times"/>
                <w:b/>
                <w:i/>
              </w:rPr>
              <w:t>Legal Proceedings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Pipeline Releases.</w:t>
      </w:r>
      <w:r>
        <w:rPr>
          <w:rFonts w:ascii="Times New Roman;Times" w:hAnsi="Times New Roman;Times"/>
          <w:color w:val="000000"/>
          <w:sz w:val="17"/>
          <w:highlight w:val="white"/>
        </w:rPr>
        <w:t xml:space="preserve">  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$3.0 million to $3.5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the DOJ; however, we have no indication from EPA or the DOJ of what penalties might be sought. As a result, we are unable to estimate the range of a reasonably possible loss contingency in excess of our accrual.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15, 2006, we completed the Pacific acquisition. The following is a summary of the more significant matters that relate to Pacific, its assets or operations.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The People of the State of California v. Pacific Pipeline System, LLC (PPS).</w:t>
      </w:r>
      <w:r>
        <w:rPr>
          <w:rFonts w:ascii="Times New Roman;Times" w:hAnsi="Times New Roman;Times"/>
          <w:color w:val="000000"/>
          <w:sz w:val="17"/>
          <w:highlight w:val="white"/>
        </w:rPr>
        <w:t xml:space="preserve">  In March 2005, a release of approximately 3,400 barrels of crude oil occurred on Line 63, subsequently acquired by us in the Pacific merger.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release occurred when Line 63 was severed as a result of a landslide caused by heavy rainfall in the Pyramid Lake area of Los Angeles County. As of December 31, 2006, $26 million of remediation costs had been incurred. We estimate additional remediation costs of approximately $1 to $2 million, substantially all of which we expect to incur before June 2007. We anticipate that the majority of costs associated with this release will be covered under a pre-existing PPS pollution liability insurance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March 2006, PPS, a subsidiary acquired in the Pacific merger, was served with a four 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that can be assessed is estimated to be approximately $1,100,000, in the aggregate. This amount is subject to a downward adjustment with respect to actual volumes of recovered crude oil, and the State of California has the discretion to further reduce the fine after considering other mitigating factors. Because of the uncertainty associated with these factors, the final amount of the fine that will be assessed for the strict liability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the natural resource damages amount. We believe that certain of the alleged violations are without merit and intend to defend against them, and that mitigating factors should apply.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2006 we were informed that the EPA may be intending to refer this matter to the DOJ for the initiation of proceedings to assess civil penalties against PPS. The DOJ has accepted the referral. We understand that the maximum permissible penalty that the EPA could assess under relevant statutes would be approximately $3.7 million. We believe that several mitigating circumstances and factors exist that could substantially reduce the penalty, and intend to pursue discussions with the EPA regarding such mitigating circumstances and factors. Because of the uncertainty associated with these factors, the final amount of the penalty that will be assessed by the EPA cannot be ascertained. Discussions with the DOJ to resolve this matter have commenced.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Kosseff v. Pacific Energy, et al</w:t>
      </w:r>
      <w:r>
        <w:rPr>
          <w:rFonts w:ascii="Times New Roman;Times" w:hAnsi="Times New Roman;Times"/>
          <w:color w:val="000000"/>
          <w:sz w:val="17"/>
          <w:highlight w:val="white"/>
        </w:rPr>
        <w:t xml:space="preserve">, case no. BC 3544016. On June 15, 2006, a lawsuit was filed in the Superior court of California, County of Los Angeles, in which the plaintiff alleged that he was a unitholder of Pacific and he sought to represent a class comprising all of Pacifics unitholders. The complaint named as defendants Pacific and certain of the officers and directors of Pacifics general partner, and asserted claims of self-dealing and breach of fiduciary duty in connection with the pending merger with us and related transactions. The plaintiff sought injunctive relief against completing the merger or, if the merger was completed, rescission of the merger, other equitable relief, and recovery of the plaintiffs costs and attorneys fees. On September 14, 2006, Pacific and the other defendants entered into a memorandum of settlement with the plaintiff to settle the lawsuit. As part of the settlement, Pacific and the other defendants deny all allegations of wrongdoing and express willingness to settle the lawsuit solely because the settlement would eliminate the burden and expense of further litigation. The settlement is subject to customary conditions, including court approval. As part of the settlement, we (as successor to Pacific) will pay $0.5 million to the plaintiffs counsel for their fees and expenses, and incur the cost of mailing materials to former Pacific unitholders. If finally approved by the court, the settlement will resolve all claims that were or could have been brought on behalf of the proposed settlement class in the actions being settled, including all claims relating to the merger, the merger agreement and any disclosure made by Pacific in connection with the merger. The settlement did not change any of the terms or conditions of the merger.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Air Quality Permits.</w:t>
      </w:r>
      <w:r>
        <w:rPr>
          <w:rFonts w:ascii="Times New Roman;Times" w:hAnsi="Times New Roman;Times"/>
          <w:color w:val="000000"/>
          <w:sz w:val="17"/>
          <w:highlight w:val="white"/>
        </w:rPr>
        <w:t xml:space="preserve">  In connection with the Pacific merger, we acquired Pacific Atlantic Terminals LLC (PAT), which is now one of our subsidiaries. PAT owns crude oil and refined products terminals in northern California. In the process of integrating PATs assets into our operations, we identified certain aspects of the operations at the terminals that appeared to be out of compliance with specifications under the relevant air quality permit. We conducted a prompt review of the circumstances and self-reported the apparent historical occurrences of non-compliance to the Bay Area Air Quality Management District. We are cooperating with the Districts review of these matters.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 </w:t>
      </w:r>
    </w:p>
    <w:p>
      <w:pPr>
        <w:pStyle w:val="TextBody"/>
        <w:spacing w:before="240" w:after="283"/>
        <w:rPr/>
      </w:pPr>
      <w:bookmarkStart w:id="8" w:name="106"/>
      <w:bookmarkEnd w:id="8"/>
      <w:r>
        <w:rPr/>
        <w:t> </w:t>
      </w:r>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4.  </w:t>
            </w:r>
            <w:r>
              <w:rPr/>
              <w:t xml:space="preserve"> </w:t>
            </w:r>
          </w:p>
        </w:tc>
        <w:tc>
          <w:tcPr>
            <w:tcW w:w="9390" w:type="dxa"/>
            <w:tcBorders/>
            <w:shd w:fill="FFFFFF" w:val="clear"/>
          </w:tcPr>
          <w:p>
            <w:pPr>
              <w:pStyle w:val="TableContents"/>
              <w:spacing w:before="0" w:after="283"/>
              <w:rPr/>
            </w:pPr>
            <w:r>
              <w:rPr>
                <w:rFonts w:ascii="Times New Roman;Times" w:hAnsi="Times New Roman;Times"/>
                <w:b/>
                <w:i/>
              </w:rPr>
              <w:t>Submission of Matters to a Vote of Security Holders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9, 2006, the Partnership held a special meeting of its unitholders for the following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To consider and vote upon the approval and adoption of the Agreement and Plan of Merger dated as of June 11, 2006 by and among the Partnership, Plains AAP, L.P., Plains All American GP LLC, Pacific, Pacific Energy Management LLC and Pacific Energy GP, LP, as it may be amended from time to time (the Merger Agreement);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To consider and vote upon the approval of the issuance of our common units to the common unitholders of Pacific (other than LB Pacific, LP), as provided in the Merger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Holders of over 65% of our outstanding common units voted in favor of both proposals. The voting results were as follows: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705"/>
        <w:gridCol w:w="156"/>
        <w:gridCol w:w="151"/>
        <w:gridCol w:w="1378"/>
        <w:gridCol w:w="151"/>
        <w:gridCol w:w="210"/>
        <w:gridCol w:w="151"/>
        <w:gridCol w:w="972"/>
        <w:gridCol w:w="151"/>
        <w:gridCol w:w="210"/>
        <w:gridCol w:w="151"/>
        <w:gridCol w:w="972"/>
        <w:gridCol w:w="150"/>
        <w:gridCol w:w="210"/>
        <w:gridCol w:w="286"/>
        <w:gridCol w:w="1038"/>
        <w:gridCol w:w="163"/>
      </w:tblGrid>
      <w:tr>
        <w:trPr/>
        <w:tc>
          <w:tcPr>
            <w:tcW w:w="3705"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pPr>
            <w:r>
              <w:rPr/>
              <w:t> </w:t>
            </w:r>
          </w:p>
        </w:tc>
        <w:tc>
          <w:tcPr>
            <w:tcW w:w="1378"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21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pPr>
            <w:r>
              <w:rPr/>
              <w:t> </w:t>
            </w:r>
          </w:p>
        </w:tc>
        <w:tc>
          <w:tcPr>
            <w:tcW w:w="972"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21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pPr>
            <w:r>
              <w:rPr/>
              <w:t> </w:t>
            </w:r>
          </w:p>
        </w:tc>
        <w:tc>
          <w:tcPr>
            <w:tcW w:w="972"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210"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jc w:val="right"/>
              <w:rPr/>
            </w:pPr>
            <w:r>
              <w:rPr/>
              <w:t> </w:t>
            </w:r>
          </w:p>
        </w:tc>
        <w:tc>
          <w:tcPr>
            <w:tcW w:w="1038"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3705"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4497"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Votes Cast</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1324" w:type="dxa"/>
            <w:gridSpan w:val="2"/>
            <w:tcBorders/>
            <w:shd w:fill="FFFFFF" w:val="clear"/>
            <w:vAlign w:val="bottom"/>
          </w:tcPr>
          <w:p>
            <w:pPr>
              <w:pStyle w:val="TableContents"/>
              <w:spacing w:before="0" w:after="283"/>
              <w:jc w:val="center"/>
              <w:rPr>
                <w:b/>
              </w:rPr>
            </w:pPr>
            <w:r>
              <w:rPr>
                <w:b/>
              </w:rPr>
              <w:t>Broker</w:t>
            </w:r>
          </w:p>
        </w:tc>
        <w:tc>
          <w:tcPr>
            <w:tcW w:w="163" w:type="dxa"/>
            <w:tcBorders/>
            <w:shd w:fill="FFFFFF" w:val="clear"/>
            <w:vAlign w:val="bottom"/>
          </w:tcPr>
          <w:p>
            <w:pPr>
              <w:pStyle w:val="TableContents"/>
              <w:spacing w:before="0" w:after="283"/>
              <w:jc w:val="center"/>
              <w:rPr/>
            </w:pPr>
            <w:r>
              <w:rPr/>
              <w:t xml:space="preserve">  </w:t>
            </w:r>
          </w:p>
        </w:tc>
      </w:tr>
      <w:tr>
        <w:trPr/>
        <w:tc>
          <w:tcPr>
            <w:tcW w:w="3705" w:type="dxa"/>
            <w:tcBorders/>
            <w:shd w:fill="FFFFFF" w:val="clear"/>
            <w:vAlign w:val="bottom"/>
          </w:tcPr>
          <w:p>
            <w:pPr>
              <w:pStyle w:val="TableContents"/>
              <w:spacing w:before="0" w:after="0"/>
              <w:jc w:val="left"/>
              <w:rPr>
                <w:bdr w:val="single" w:sz="2" w:space="1" w:color="000000"/>
              </w:rPr>
            </w:pPr>
            <w:r>
              <w:rPr>
                <w:b/>
                <w:bdr w:val="single" w:sz="2" w:space="1" w:color="000000"/>
              </w:rPr>
              <w:t>Matter</w:t>
            </w:r>
            <w:r>
              <w:rPr>
                <w:bdr w:val="single" w:sz="2" w:space="1" w:color="000000"/>
              </w:rPr>
              <w:t xml:space="preserve"> </w:t>
            </w:r>
          </w:p>
        </w:tc>
        <w:tc>
          <w:tcPr>
            <w:tcW w:w="156" w:type="dxa"/>
            <w:tcBorders/>
            <w:shd w:fill="FFFFFF" w:val="clear"/>
            <w:vAlign w:val="bottom"/>
          </w:tcPr>
          <w:p>
            <w:pPr>
              <w:pStyle w:val="TableContents"/>
              <w:spacing w:before="0" w:after="283"/>
              <w:jc w:val="center"/>
              <w:rPr/>
            </w:pPr>
            <w:r>
              <w:rPr/>
              <w:t xml:space="preserve">  </w:t>
            </w:r>
          </w:p>
        </w:tc>
        <w:tc>
          <w:tcPr>
            <w:tcW w:w="15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For</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11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Against</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11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Abstain</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132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Non-Votes</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3705" w:type="dxa"/>
            <w:tcBorders/>
            <w:shd w:fill="FFFFFF" w:val="clear"/>
            <w:vAlign w:val="center"/>
          </w:tcPr>
          <w:p>
            <w:pPr>
              <w:pStyle w:val="TableContents"/>
              <w:spacing w:before="0" w:after="283"/>
              <w:rPr/>
            </w:pPr>
            <w:r>
              <w:rPr/>
              <w:t xml:space="preserve">  </w:t>
            </w:r>
          </w:p>
        </w:tc>
        <w:tc>
          <w:tcPr>
            <w:tcW w:w="6500" w:type="dxa"/>
            <w:gridSpan w:val="16"/>
            <w:tcBorders/>
            <w:shd w:fill="FFFFFF" w:val="clear"/>
          </w:tcPr>
          <w:p>
            <w:pPr>
              <w:pStyle w:val="TableContents"/>
              <w:spacing w:before="0" w:after="283"/>
              <w:rPr>
                <w:sz w:val="4"/>
                <w:szCs w:val="4"/>
              </w:rPr>
            </w:pPr>
            <w:r>
              <w:rPr>
                <w:sz w:val="4"/>
                <w:szCs w:val="4"/>
              </w:rPr>
            </w:r>
          </w:p>
        </w:tc>
      </w:tr>
      <w:tr>
        <w:trPr/>
        <w:tc>
          <w:tcPr>
            <w:tcW w:w="3705" w:type="dxa"/>
            <w:tcBorders/>
            <w:shd w:fill="CCEEFF" w:val="clear"/>
            <w:vAlign w:val="bottom"/>
          </w:tcPr>
          <w:p>
            <w:pPr>
              <w:pStyle w:val="TableContents"/>
              <w:spacing w:before="0" w:after="0"/>
              <w:ind w:left="200" w:right="0" w:hanging="200"/>
              <w:jc w:val="left"/>
              <w:rPr>
                <w:sz w:val="17"/>
              </w:rPr>
            </w:pPr>
            <w:r>
              <w:rPr>
                <w:sz w:val="17"/>
              </w:rPr>
              <w:t xml:space="preserve">Approve Merger Agreement </w:t>
            </w:r>
          </w:p>
        </w:tc>
        <w:tc>
          <w:tcPr>
            <w:tcW w:w="156"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1378" w:type="dxa"/>
            <w:tcBorders/>
            <w:shd w:fill="CCEEFF" w:val="clear"/>
            <w:vAlign w:val="bottom"/>
          </w:tcPr>
          <w:p>
            <w:pPr>
              <w:pStyle w:val="TableContents"/>
              <w:spacing w:before="0" w:after="283"/>
              <w:jc w:val="right"/>
              <w:rPr/>
            </w:pPr>
            <w:r>
              <w:rPr/>
              <w:t xml:space="preserve">52,832,920 </w:t>
            </w:r>
          </w:p>
        </w:tc>
        <w:tc>
          <w:tcPr>
            <w:tcW w:w="151" w:type="dxa"/>
            <w:tcBorders/>
            <w:shd w:fill="CCEEFF" w:val="clear"/>
            <w:vAlign w:val="bottom"/>
          </w:tcPr>
          <w:p>
            <w:pPr>
              <w:pStyle w:val="TableContents"/>
              <w:spacing w:before="0" w:after="283"/>
              <w:jc w:val="left"/>
              <w:rPr/>
            </w:pPr>
            <w:r>
              <w:rPr/>
              <w:t xml:space="preserve">  </w:t>
            </w:r>
          </w:p>
        </w:tc>
        <w:tc>
          <w:tcPr>
            <w:tcW w:w="210"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972" w:type="dxa"/>
            <w:tcBorders/>
            <w:shd w:fill="CCEEFF" w:val="clear"/>
            <w:vAlign w:val="bottom"/>
          </w:tcPr>
          <w:p>
            <w:pPr>
              <w:pStyle w:val="TableContents"/>
              <w:spacing w:before="0" w:after="283"/>
              <w:jc w:val="right"/>
              <w:rPr/>
            </w:pPr>
            <w:r>
              <w:rPr/>
              <w:t xml:space="preserve">297,858 </w:t>
            </w:r>
          </w:p>
        </w:tc>
        <w:tc>
          <w:tcPr>
            <w:tcW w:w="151" w:type="dxa"/>
            <w:tcBorders/>
            <w:shd w:fill="CCEEFF" w:val="clear"/>
            <w:vAlign w:val="bottom"/>
          </w:tcPr>
          <w:p>
            <w:pPr>
              <w:pStyle w:val="TableContents"/>
              <w:spacing w:before="0" w:after="283"/>
              <w:jc w:val="left"/>
              <w:rPr/>
            </w:pPr>
            <w:r>
              <w:rPr/>
              <w:t xml:space="preserve">  </w:t>
            </w:r>
          </w:p>
        </w:tc>
        <w:tc>
          <w:tcPr>
            <w:tcW w:w="210"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972" w:type="dxa"/>
            <w:tcBorders/>
            <w:shd w:fill="CCEEFF" w:val="clear"/>
            <w:vAlign w:val="bottom"/>
          </w:tcPr>
          <w:p>
            <w:pPr>
              <w:pStyle w:val="TableContents"/>
              <w:spacing w:before="0" w:after="283"/>
              <w:jc w:val="right"/>
              <w:rPr/>
            </w:pPr>
            <w:r>
              <w:rPr/>
              <w:t xml:space="preserve">261,365 </w:t>
            </w:r>
          </w:p>
        </w:tc>
        <w:tc>
          <w:tcPr>
            <w:tcW w:w="150" w:type="dxa"/>
            <w:tcBorders/>
            <w:shd w:fill="CCEEFF" w:val="clear"/>
            <w:vAlign w:val="bottom"/>
          </w:tcPr>
          <w:p>
            <w:pPr>
              <w:pStyle w:val="TableContents"/>
              <w:spacing w:before="0" w:after="283"/>
              <w:jc w:val="left"/>
              <w:rPr/>
            </w:pPr>
            <w:r>
              <w:rPr/>
              <w:t xml:space="preserve">  </w:t>
            </w:r>
          </w:p>
        </w:tc>
        <w:tc>
          <w:tcPr>
            <w:tcW w:w="210"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8" w:type="dxa"/>
            <w:tcBorders/>
            <w:shd w:fill="CCEEFF" w:val="clear"/>
            <w:vAlign w:val="bottom"/>
          </w:tcPr>
          <w:p>
            <w:pPr>
              <w:pStyle w:val="TableContents"/>
              <w:spacing w:before="0" w:after="283"/>
              <w:jc w:val="right"/>
              <w:rPr/>
            </w:pPr>
            <w:r>
              <w:rPr/>
              <w:t xml:space="preserve">n/a </w:t>
            </w:r>
          </w:p>
        </w:tc>
        <w:tc>
          <w:tcPr>
            <w:tcW w:w="163" w:type="dxa"/>
            <w:tcBorders/>
            <w:shd w:fill="CCEEFF" w:val="clear"/>
            <w:vAlign w:val="bottom"/>
          </w:tcPr>
          <w:p>
            <w:pPr>
              <w:pStyle w:val="TableContents"/>
              <w:spacing w:before="0" w:after="283"/>
              <w:jc w:val="left"/>
              <w:rPr/>
            </w:pPr>
            <w:r>
              <w:rPr/>
              <w:t xml:space="preserve">  </w:t>
            </w:r>
          </w:p>
        </w:tc>
      </w:tr>
      <w:tr>
        <w:trPr/>
        <w:tc>
          <w:tcPr>
            <w:tcW w:w="3705" w:type="dxa"/>
            <w:tcBorders/>
            <w:shd w:fill="FFFFFF" w:val="clear"/>
            <w:vAlign w:val="bottom"/>
          </w:tcPr>
          <w:p>
            <w:pPr>
              <w:pStyle w:val="TableContents"/>
              <w:spacing w:before="0" w:after="0"/>
              <w:ind w:left="200" w:right="0" w:hanging="200"/>
              <w:jc w:val="left"/>
              <w:rPr>
                <w:sz w:val="17"/>
              </w:rPr>
            </w:pPr>
            <w:r>
              <w:rPr>
                <w:sz w:val="17"/>
              </w:rPr>
              <w:t xml:space="preserve">Approve Issuance of Units Pursuant to Merger Agreement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1378" w:type="dxa"/>
            <w:tcBorders/>
            <w:shd w:fill="FFFFFF" w:val="clear"/>
            <w:vAlign w:val="bottom"/>
          </w:tcPr>
          <w:p>
            <w:pPr>
              <w:pStyle w:val="TableContents"/>
              <w:spacing w:before="0" w:after="283"/>
              <w:jc w:val="right"/>
              <w:rPr/>
            </w:pPr>
            <w:r>
              <w:rPr/>
              <w:t xml:space="preserve">52,733,280 </w:t>
            </w:r>
          </w:p>
        </w:tc>
        <w:tc>
          <w:tcPr>
            <w:tcW w:w="151" w:type="dxa"/>
            <w:tcBorders/>
            <w:shd w:fill="FFFFFF" w:val="clear"/>
            <w:vAlign w:val="bottom"/>
          </w:tcPr>
          <w:p>
            <w:pPr>
              <w:pStyle w:val="TableContents"/>
              <w:spacing w:before="0" w:after="283"/>
              <w:jc w:val="left"/>
              <w:rPr/>
            </w:pPr>
            <w:r>
              <w:rPr/>
              <w:t xml:space="preserve">  </w:t>
            </w:r>
          </w:p>
        </w:tc>
        <w:tc>
          <w:tcPr>
            <w:tcW w:w="210"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972" w:type="dxa"/>
            <w:tcBorders/>
            <w:shd w:fill="FFFFFF" w:val="clear"/>
            <w:vAlign w:val="bottom"/>
          </w:tcPr>
          <w:p>
            <w:pPr>
              <w:pStyle w:val="TableContents"/>
              <w:spacing w:before="0" w:after="283"/>
              <w:jc w:val="right"/>
              <w:rPr/>
            </w:pPr>
            <w:r>
              <w:rPr/>
              <w:t xml:space="preserve">373,438 </w:t>
            </w:r>
          </w:p>
        </w:tc>
        <w:tc>
          <w:tcPr>
            <w:tcW w:w="151" w:type="dxa"/>
            <w:tcBorders/>
            <w:shd w:fill="FFFFFF" w:val="clear"/>
            <w:vAlign w:val="bottom"/>
          </w:tcPr>
          <w:p>
            <w:pPr>
              <w:pStyle w:val="TableContents"/>
              <w:spacing w:before="0" w:after="283"/>
              <w:jc w:val="left"/>
              <w:rPr/>
            </w:pPr>
            <w:r>
              <w:rPr/>
              <w:t xml:space="preserve">  </w:t>
            </w:r>
          </w:p>
        </w:tc>
        <w:tc>
          <w:tcPr>
            <w:tcW w:w="210"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972" w:type="dxa"/>
            <w:tcBorders/>
            <w:shd w:fill="FFFFFF" w:val="clear"/>
            <w:vAlign w:val="bottom"/>
          </w:tcPr>
          <w:p>
            <w:pPr>
              <w:pStyle w:val="TableContents"/>
              <w:spacing w:before="0" w:after="283"/>
              <w:jc w:val="right"/>
              <w:rPr/>
            </w:pPr>
            <w:r>
              <w:rPr/>
              <w:t xml:space="preserve">285,425 </w:t>
            </w:r>
          </w:p>
        </w:tc>
        <w:tc>
          <w:tcPr>
            <w:tcW w:w="150" w:type="dxa"/>
            <w:tcBorders/>
            <w:shd w:fill="FFFFFF" w:val="clear"/>
            <w:vAlign w:val="bottom"/>
          </w:tcPr>
          <w:p>
            <w:pPr>
              <w:pStyle w:val="TableContents"/>
              <w:spacing w:before="0" w:after="283"/>
              <w:jc w:val="left"/>
              <w:rPr/>
            </w:pPr>
            <w:r>
              <w:rPr/>
              <w:t xml:space="preserve">  </w:t>
            </w:r>
          </w:p>
        </w:tc>
        <w:tc>
          <w:tcPr>
            <w:tcW w:w="210"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038" w:type="dxa"/>
            <w:tcBorders/>
            <w:shd w:fill="FFFFFF" w:val="clear"/>
            <w:vAlign w:val="bottom"/>
          </w:tcPr>
          <w:p>
            <w:pPr>
              <w:pStyle w:val="TableContents"/>
              <w:spacing w:before="0" w:after="283"/>
              <w:jc w:val="right"/>
              <w:rPr/>
            </w:pPr>
            <w:r>
              <w:rPr/>
              <w:t xml:space="preserve">n/a </w:t>
            </w:r>
          </w:p>
        </w:tc>
        <w:tc>
          <w:tcPr>
            <w:tcW w:w="163" w:type="dxa"/>
            <w:tcBorders/>
            <w:shd w:fill="FFFFFF" w:val="clear"/>
            <w:vAlign w:val="bottom"/>
          </w:tcPr>
          <w:p>
            <w:pPr>
              <w:pStyle w:val="TableContents"/>
              <w:spacing w:before="0" w:after="283"/>
              <w:jc w:val="left"/>
              <w:rPr/>
            </w:pPr>
            <w:r>
              <w:rPr/>
              <w:t xml:space="preserve">  </w:t>
            </w:r>
          </w:p>
        </w:tc>
      </w:tr>
    </w:tbl>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 II</w:t>
      </w:r>
      <w:r>
        <w:rPr>
          <w:rFonts w:ascii="Arial;Helvetica" w:hAnsi="Arial;Helvetica"/>
          <w:color w:val="000000"/>
          <w:sz w:val="17"/>
          <w:highlight w:val="white"/>
        </w:rPr>
        <w:t xml:space="preserve"> </w:t>
      </w:r>
    </w:p>
    <w:p>
      <w:pPr>
        <w:pStyle w:val="TextBody"/>
        <w:spacing w:before="240" w:after="283"/>
        <w:rPr/>
      </w:pPr>
      <w:bookmarkStart w:id="10" w:name="108"/>
      <w:bookmarkEnd w:id="10"/>
      <w:r>
        <w:rPr/>
        <w:t> </w:t>
      </w:r>
    </w:p>
    <w:tbl>
      <w:tblPr>
        <w:tblW w:w="5000" w:type="pct"/>
        <w:jc w:val="left"/>
        <w:tblInd w:w="0" w:type="dxa"/>
        <w:shd w:fill="FFFFFF" w:val="clear"/>
        <w:tblCellMar>
          <w:top w:w="0" w:type="dxa"/>
          <w:left w:w="0" w:type="dxa"/>
          <w:bottom w:w="0" w:type="dxa"/>
          <w:right w:w="0" w:type="dxa"/>
        </w:tblCellMar>
      </w:tblPr>
      <w:tblGrid>
        <w:gridCol w:w="816"/>
        <w:gridCol w:w="9389"/>
      </w:tblGrid>
      <w:tr>
        <w:trPr/>
        <w:tc>
          <w:tcPr>
            <w:tcW w:w="816" w:type="dxa"/>
            <w:tcBorders/>
            <w:shd w:fill="FFFFFF" w:val="clear"/>
            <w:vAlign w:val="center"/>
          </w:tcPr>
          <w:p>
            <w:pPr>
              <w:pStyle w:val="TableContents"/>
              <w:spacing w:before="0" w:after="283"/>
              <w:rPr>
                <w:sz w:val="4"/>
                <w:szCs w:val="4"/>
              </w:rPr>
            </w:pPr>
            <w:r>
              <w:rPr>
                <w:sz w:val="4"/>
                <w:szCs w:val="4"/>
              </w:rPr>
            </w:r>
          </w:p>
        </w:tc>
        <w:tc>
          <w:tcPr>
            <w:tcW w:w="9389" w:type="dxa"/>
            <w:tcBorders/>
            <w:shd w:fill="FFFFFF" w:val="clear"/>
            <w:vAlign w:val="center"/>
          </w:tcPr>
          <w:p>
            <w:pPr>
              <w:pStyle w:val="TableContents"/>
              <w:spacing w:before="0" w:after="283"/>
              <w:rPr>
                <w:sz w:val="4"/>
                <w:szCs w:val="4"/>
              </w:rPr>
            </w:pPr>
            <w:r>
              <w:rPr>
                <w:sz w:val="4"/>
                <w:szCs w:val="4"/>
              </w:rPr>
            </w:r>
          </w:p>
        </w:tc>
      </w:tr>
      <w:tr>
        <w:trPr/>
        <w:tc>
          <w:tcPr>
            <w:tcW w:w="816" w:type="dxa"/>
            <w:tcBorders/>
            <w:shd w:fill="FFFFFF" w:val="clear"/>
          </w:tcPr>
          <w:p>
            <w:pPr>
              <w:pStyle w:val="TableContents"/>
              <w:spacing w:before="0" w:after="283"/>
              <w:rPr/>
            </w:pPr>
            <w:r>
              <w:rPr>
                <w:rFonts w:ascii="Times New Roman;Times" w:hAnsi="Times New Roman;Times"/>
                <w:b/>
              </w:rPr>
              <w:t>Item 5.  </w:t>
            </w:r>
            <w:r>
              <w:rPr/>
              <w:t xml:space="preserve"> </w:t>
            </w:r>
          </w:p>
        </w:tc>
        <w:tc>
          <w:tcPr>
            <w:tcW w:w="9389" w:type="dxa"/>
            <w:tcBorders/>
            <w:shd w:fill="FFFFFF" w:val="clear"/>
          </w:tcPr>
          <w:p>
            <w:pPr>
              <w:pStyle w:val="TableContents"/>
              <w:spacing w:before="0" w:after="283"/>
              <w:rPr/>
            </w:pPr>
            <w:r>
              <w:rPr>
                <w:rFonts w:ascii="Times New Roman;Times" w:hAnsi="Times New Roman;Times"/>
                <w:b/>
                <w:i/>
              </w:rPr>
              <w:t>Market For Registrants Common Units, Related Unitholder Matters and Issuer Purchases of Equity Securities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listed and traded on the New York Stock Exchange (NYSE) under the symbol PAA. On February 20, 2007, the closing market price for our common units was $54.67 per unit and there were approximately 70,000 record holders and beneficial owners (held in street name). As of February 20, 2007, there were 109,405,178 common units outstanding.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high and low sales prices for our common units and the cash distributions declared per common unit for the periods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36"/>
        <w:gridCol w:w="174"/>
        <w:gridCol w:w="228"/>
        <w:gridCol w:w="764"/>
        <w:gridCol w:w="161"/>
        <w:gridCol w:w="249"/>
        <w:gridCol w:w="228"/>
        <w:gridCol w:w="764"/>
        <w:gridCol w:w="161"/>
        <w:gridCol w:w="237"/>
        <w:gridCol w:w="356"/>
        <w:gridCol w:w="1778"/>
        <w:gridCol w:w="169"/>
      </w:tblGrid>
      <w:tr>
        <w:trPr/>
        <w:tc>
          <w:tcPr>
            <w:tcW w:w="4936"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76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49"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76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237" w:type="dxa"/>
            <w:tcBorders/>
            <w:shd w:fill="FFFFFF" w:val="clear"/>
            <w:vAlign w:val="bottom"/>
          </w:tcPr>
          <w:p>
            <w:pPr>
              <w:pStyle w:val="TableContents"/>
              <w:spacing w:before="0" w:after="283"/>
              <w:rPr/>
            </w:pPr>
            <w:r>
              <w:rPr/>
              <w:t> </w:t>
            </w:r>
          </w:p>
        </w:tc>
        <w:tc>
          <w:tcPr>
            <w:tcW w:w="356" w:type="dxa"/>
            <w:tcBorders/>
            <w:shd w:fill="FFFFFF" w:val="clear"/>
            <w:vAlign w:val="bottom"/>
          </w:tcPr>
          <w:p>
            <w:pPr>
              <w:pStyle w:val="TableContents"/>
              <w:spacing w:before="0" w:after="283"/>
              <w:jc w:val="right"/>
              <w:rPr/>
            </w:pPr>
            <w:r>
              <w:rPr/>
              <w:t> </w:t>
            </w:r>
          </w:p>
        </w:tc>
        <w:tc>
          <w:tcPr>
            <w:tcW w:w="1778"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4936"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394" w:type="dxa"/>
            <w:gridSpan w:val="6"/>
            <w:tcBorders/>
            <w:shd w:fill="FFFFFF" w:val="clear"/>
            <w:vAlign w:val="bottom"/>
          </w:tcPr>
          <w:p>
            <w:pPr>
              <w:pStyle w:val="TableContents"/>
              <w:spacing w:before="0" w:after="283"/>
              <w:jc w:val="center"/>
              <w:rPr>
                <w:b/>
              </w:rPr>
            </w:pPr>
            <w:r>
              <w:rPr>
                <w:b/>
              </w:rPr>
              <w:t>Common</w:t>
            </w:r>
          </w:p>
        </w:tc>
        <w:tc>
          <w:tcPr>
            <w:tcW w:w="161" w:type="dxa"/>
            <w:tcBorders/>
            <w:shd w:fill="FFFFFF" w:val="clear"/>
            <w:vAlign w:val="bottom"/>
          </w:tcPr>
          <w:p>
            <w:pPr>
              <w:pStyle w:val="TableContents"/>
              <w:spacing w:before="0" w:after="283"/>
              <w:jc w:val="center"/>
              <w:rPr/>
            </w:pPr>
            <w:r>
              <w:rPr/>
              <w:t xml:space="preserve">  </w:t>
            </w:r>
          </w:p>
        </w:tc>
        <w:tc>
          <w:tcPr>
            <w:tcW w:w="237" w:type="dxa"/>
            <w:tcBorders/>
            <w:shd w:fill="FFFFFF" w:val="clear"/>
            <w:vAlign w:val="bottom"/>
          </w:tcPr>
          <w:p>
            <w:pPr>
              <w:pStyle w:val="TableContents"/>
              <w:spacing w:before="0" w:after="283"/>
              <w:jc w:val="center"/>
              <w:rPr/>
            </w:pPr>
            <w:r>
              <w:rPr/>
              <w:t xml:space="preserve">  </w:t>
            </w:r>
          </w:p>
        </w:tc>
        <w:tc>
          <w:tcPr>
            <w:tcW w:w="2134" w:type="dxa"/>
            <w:gridSpan w:val="2"/>
            <w:tcBorders/>
            <w:shd w:fill="FFFFFF" w:val="clear"/>
            <w:vAlign w:val="bottom"/>
          </w:tcPr>
          <w:p>
            <w:pPr>
              <w:pStyle w:val="TableContents"/>
              <w:spacing w:before="0" w:after="283"/>
              <w:jc w:val="center"/>
              <w:rPr/>
            </w:pPr>
            <w:r>
              <w:rPr/>
              <w:t xml:space="preserve">  </w:t>
            </w:r>
          </w:p>
        </w:tc>
        <w:tc>
          <w:tcPr>
            <w:tcW w:w="169" w:type="dxa"/>
            <w:tcBorders/>
            <w:shd w:fill="FFFFFF" w:val="clear"/>
            <w:vAlign w:val="bottom"/>
          </w:tcPr>
          <w:p>
            <w:pPr>
              <w:pStyle w:val="TableContents"/>
              <w:spacing w:before="0" w:after="283"/>
              <w:jc w:val="center"/>
              <w:rPr/>
            </w:pPr>
            <w:r>
              <w:rPr/>
              <w:t xml:space="preserve">  </w:t>
            </w:r>
          </w:p>
        </w:tc>
      </w:tr>
      <w:tr>
        <w:trPr/>
        <w:tc>
          <w:tcPr>
            <w:tcW w:w="4936"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39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Unit Price Range</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37" w:type="dxa"/>
            <w:tcBorders/>
            <w:shd w:fill="FFFFFF" w:val="clear"/>
            <w:vAlign w:val="bottom"/>
          </w:tcPr>
          <w:p>
            <w:pPr>
              <w:pStyle w:val="TableContents"/>
              <w:spacing w:before="0" w:after="283"/>
              <w:jc w:val="center"/>
              <w:rPr/>
            </w:pPr>
            <w:r>
              <w:rPr/>
              <w:t xml:space="preserve">  </w:t>
            </w:r>
          </w:p>
        </w:tc>
        <w:tc>
          <w:tcPr>
            <w:tcW w:w="2134" w:type="dxa"/>
            <w:gridSpan w:val="2"/>
            <w:tcBorders/>
            <w:shd w:fill="FFFFFF" w:val="clear"/>
            <w:vAlign w:val="bottom"/>
          </w:tcPr>
          <w:p>
            <w:pPr>
              <w:pStyle w:val="TableContents"/>
              <w:spacing w:before="0" w:after="283"/>
              <w:jc w:val="center"/>
              <w:rPr>
                <w:b/>
              </w:rPr>
            </w:pPr>
            <w:r>
              <w:rPr>
                <w:b/>
              </w:rPr>
              <w:t>Cash</w:t>
            </w:r>
          </w:p>
        </w:tc>
        <w:tc>
          <w:tcPr>
            <w:tcW w:w="169" w:type="dxa"/>
            <w:tcBorders/>
            <w:shd w:fill="FFFFFF" w:val="clear"/>
            <w:vAlign w:val="bottom"/>
          </w:tcPr>
          <w:p>
            <w:pPr>
              <w:pStyle w:val="TableContents"/>
              <w:spacing w:before="0" w:after="283"/>
              <w:jc w:val="center"/>
              <w:rPr/>
            </w:pPr>
            <w:r>
              <w:rPr/>
              <w:t xml:space="preserve">  </w:t>
            </w:r>
          </w:p>
        </w:tc>
      </w:tr>
      <w:tr>
        <w:trPr/>
        <w:tc>
          <w:tcPr>
            <w:tcW w:w="4936" w:type="dxa"/>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99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High</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49" w:type="dxa"/>
            <w:tcBorders/>
            <w:shd w:fill="FFFFFF" w:val="clear"/>
            <w:vAlign w:val="bottom"/>
          </w:tcPr>
          <w:p>
            <w:pPr>
              <w:pStyle w:val="TableContents"/>
              <w:spacing w:before="0" w:after="283"/>
              <w:jc w:val="center"/>
              <w:rPr/>
            </w:pPr>
            <w:r>
              <w:rPr/>
              <w:t xml:space="preserve">  </w:t>
            </w:r>
          </w:p>
        </w:tc>
        <w:tc>
          <w:tcPr>
            <w:tcW w:w="99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Low</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237" w:type="dxa"/>
            <w:tcBorders/>
            <w:shd w:fill="FFFFFF" w:val="clear"/>
            <w:vAlign w:val="bottom"/>
          </w:tcPr>
          <w:p>
            <w:pPr>
              <w:pStyle w:val="TableContents"/>
              <w:spacing w:before="0" w:after="283"/>
              <w:jc w:val="center"/>
              <w:rPr/>
            </w:pPr>
            <w:r>
              <w:rPr/>
              <w:t xml:space="preserve">  </w:t>
            </w:r>
          </w:p>
        </w:tc>
        <w:tc>
          <w:tcPr>
            <w:tcW w:w="213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Distributions(1)</w:t>
            </w:r>
            <w:r>
              <w:rPr/>
              <w:t xml:space="preserve"> </w:t>
            </w:r>
          </w:p>
        </w:tc>
        <w:tc>
          <w:tcPr>
            <w:tcW w:w="169" w:type="dxa"/>
            <w:tcBorders/>
            <w:shd w:fill="FFFFFF" w:val="clear"/>
            <w:vAlign w:val="bottom"/>
          </w:tcPr>
          <w:p>
            <w:pPr>
              <w:pStyle w:val="TableContents"/>
              <w:spacing w:before="0" w:after="283"/>
              <w:jc w:val="center"/>
              <w:rPr/>
            </w:pPr>
            <w:r>
              <w:rPr/>
              <w:t xml:space="preserve">  </w:t>
            </w:r>
          </w:p>
        </w:tc>
      </w:tr>
      <w:tr>
        <w:trPr/>
        <w:tc>
          <w:tcPr>
            <w:tcW w:w="4936" w:type="dxa"/>
            <w:tcBorders/>
            <w:shd w:fill="FFFFFF" w:val="clear"/>
            <w:vAlign w:val="center"/>
          </w:tcPr>
          <w:p>
            <w:pPr>
              <w:pStyle w:val="TableContents"/>
              <w:spacing w:before="0" w:after="283"/>
              <w:rPr/>
            </w:pPr>
            <w:r>
              <w:rPr/>
              <w:t xml:space="preserve">  </w:t>
            </w:r>
          </w:p>
        </w:tc>
        <w:tc>
          <w:tcPr>
            <w:tcW w:w="5269" w:type="dxa"/>
            <w:gridSpan w:val="12"/>
            <w:tcBorders/>
            <w:shd w:fill="FFFFFF" w:val="clear"/>
          </w:tcPr>
          <w:p>
            <w:pPr>
              <w:pStyle w:val="TableContents"/>
              <w:spacing w:before="0" w:after="283"/>
              <w:rPr>
                <w:sz w:val="4"/>
                <w:szCs w:val="4"/>
              </w:rPr>
            </w:pPr>
            <w:r>
              <w:rPr>
                <w:sz w:val="4"/>
                <w:szCs w:val="4"/>
              </w:rPr>
            </w:r>
          </w:p>
        </w:tc>
      </w:tr>
      <w:tr>
        <w:trPr/>
        <w:tc>
          <w:tcPr>
            <w:tcW w:w="4936" w:type="dxa"/>
            <w:tcBorders/>
            <w:shd w:fill="CCEEFF" w:val="clear"/>
            <w:vAlign w:val="bottom"/>
          </w:tcPr>
          <w:p>
            <w:pPr>
              <w:pStyle w:val="TableContents"/>
              <w:spacing w:before="0" w:after="0"/>
              <w:ind w:left="200" w:right="0" w:hanging="200"/>
              <w:jc w:val="left"/>
              <w:rPr/>
            </w:pPr>
            <w:r>
              <w:rPr>
                <w:b/>
                <w:sz w:val="17"/>
              </w:rPr>
              <w:t>2006</w:t>
            </w:r>
            <w:r>
              <w:rPr/>
              <w:t xml:space="preserve"> </w:t>
            </w:r>
          </w:p>
        </w:tc>
        <w:tc>
          <w:tcPr>
            <w:tcW w:w="174"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237" w:type="dxa"/>
            <w:tcBorders/>
            <w:shd w:fill="CCEEFF" w:val="clear"/>
            <w:vAlign w:val="bottom"/>
          </w:tcPr>
          <w:p>
            <w:pPr>
              <w:pStyle w:val="TableContents"/>
              <w:spacing w:before="0" w:after="283"/>
              <w:rPr/>
            </w:pPr>
            <w:r>
              <w:rPr/>
              <w:t xml:space="preserve">  </w:t>
            </w:r>
          </w:p>
        </w:tc>
        <w:tc>
          <w:tcPr>
            <w:tcW w:w="356" w:type="dxa"/>
            <w:tcBorders/>
            <w:shd w:fill="CCEEFF" w:val="clear"/>
            <w:vAlign w:val="bottom"/>
          </w:tcPr>
          <w:p>
            <w:pPr>
              <w:pStyle w:val="TableContents"/>
              <w:spacing w:before="0" w:after="283"/>
              <w:jc w:val="left"/>
              <w:rPr/>
            </w:pPr>
            <w:r>
              <w:rPr/>
              <w:t xml:space="preserve">  </w:t>
            </w:r>
          </w:p>
        </w:tc>
        <w:tc>
          <w:tcPr>
            <w:tcW w:w="1778" w:type="dxa"/>
            <w:tcBorders/>
            <w:shd w:fill="CCEEFF" w:val="clear"/>
            <w:vAlign w:val="bottom"/>
          </w:tcPr>
          <w:p>
            <w:pPr>
              <w:pStyle w:val="TableContents"/>
              <w:spacing w:before="0" w:after="283"/>
              <w:jc w:val="right"/>
              <w:rPr/>
            </w:pPr>
            <w:r>
              <w:rPr/>
              <w:t xml:space="preserve">  </w:t>
            </w:r>
          </w:p>
        </w:tc>
        <w:tc>
          <w:tcPr>
            <w:tcW w:w="169" w:type="dxa"/>
            <w:tcBorders/>
            <w:shd w:fill="CCEEFF" w:val="clear"/>
            <w:vAlign w:val="bottom"/>
          </w:tcPr>
          <w:p>
            <w:pPr>
              <w:pStyle w:val="TableContents"/>
              <w:spacing w:before="0" w:after="283"/>
              <w:jc w:val="left"/>
              <w:rPr/>
            </w:pPr>
            <w:r>
              <w:rPr/>
              <w:t xml:space="preserve">  </w:t>
            </w:r>
          </w:p>
        </w:tc>
      </w:tr>
      <w:tr>
        <w:trPr/>
        <w:tc>
          <w:tcPr>
            <w:tcW w:w="4936" w:type="dxa"/>
            <w:tcBorders/>
            <w:shd w:fill="FFFFFF" w:val="clear"/>
            <w:vAlign w:val="bottom"/>
          </w:tcPr>
          <w:p>
            <w:pPr>
              <w:pStyle w:val="TableContents"/>
              <w:spacing w:before="0" w:after="0"/>
              <w:ind w:left="400" w:right="0" w:hanging="200"/>
              <w:jc w:val="left"/>
              <w:rPr>
                <w:sz w:val="17"/>
              </w:rPr>
            </w:pPr>
            <w:r>
              <w:rPr>
                <w:sz w:val="17"/>
              </w:rPr>
              <w:t xml:space="preserve">1st Quarter </w:t>
            </w:r>
          </w:p>
        </w:tc>
        <w:tc>
          <w:tcPr>
            <w:tcW w:w="174"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47.00 </w:t>
            </w:r>
          </w:p>
        </w:tc>
        <w:tc>
          <w:tcPr>
            <w:tcW w:w="161"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39.81 </w:t>
            </w:r>
          </w:p>
        </w:tc>
        <w:tc>
          <w:tcPr>
            <w:tcW w:w="161" w:type="dxa"/>
            <w:tcBorders/>
            <w:shd w:fill="FFFFFF" w:val="clear"/>
            <w:vAlign w:val="bottom"/>
          </w:tcPr>
          <w:p>
            <w:pPr>
              <w:pStyle w:val="TableContents"/>
              <w:spacing w:before="0" w:after="283"/>
              <w:jc w:val="left"/>
              <w:rPr/>
            </w:pPr>
            <w:r>
              <w:rPr/>
              <w:t xml:space="preserve">  </w:t>
            </w:r>
          </w:p>
        </w:tc>
        <w:tc>
          <w:tcPr>
            <w:tcW w:w="237" w:type="dxa"/>
            <w:tcBorders/>
            <w:shd w:fill="FFFFFF" w:val="clear"/>
            <w:vAlign w:val="bottom"/>
          </w:tcPr>
          <w:p>
            <w:pPr>
              <w:pStyle w:val="TableContents"/>
              <w:spacing w:before="0" w:after="283"/>
              <w:rPr/>
            </w:pPr>
            <w:r>
              <w:rPr/>
              <w:t xml:space="preserve">  </w:t>
            </w:r>
          </w:p>
        </w:tc>
        <w:tc>
          <w:tcPr>
            <w:tcW w:w="356" w:type="dxa"/>
            <w:tcBorders/>
            <w:shd w:fill="FFFFFF" w:val="clear"/>
            <w:vAlign w:val="bottom"/>
          </w:tcPr>
          <w:p>
            <w:pPr>
              <w:pStyle w:val="TableContents"/>
              <w:spacing w:before="0" w:after="283"/>
              <w:jc w:val="left"/>
              <w:rPr/>
            </w:pPr>
            <w:r>
              <w:rPr/>
              <w:t xml:space="preserve">$ </w:t>
            </w:r>
          </w:p>
        </w:tc>
        <w:tc>
          <w:tcPr>
            <w:tcW w:w="1778" w:type="dxa"/>
            <w:tcBorders/>
            <w:shd w:fill="FFFFFF" w:val="clear"/>
            <w:vAlign w:val="bottom"/>
          </w:tcPr>
          <w:p>
            <w:pPr>
              <w:pStyle w:val="TableContents"/>
              <w:spacing w:before="0" w:after="283"/>
              <w:jc w:val="right"/>
              <w:rPr/>
            </w:pPr>
            <w:r>
              <w:rPr/>
              <w:t xml:space="preserve">0.7075 </w:t>
            </w:r>
          </w:p>
        </w:tc>
        <w:tc>
          <w:tcPr>
            <w:tcW w:w="169" w:type="dxa"/>
            <w:tcBorders/>
            <w:shd w:fill="FFFFFF" w:val="clear"/>
            <w:vAlign w:val="bottom"/>
          </w:tcPr>
          <w:p>
            <w:pPr>
              <w:pStyle w:val="TableContents"/>
              <w:spacing w:before="0" w:after="283"/>
              <w:jc w:val="left"/>
              <w:rPr/>
            </w:pPr>
            <w:r>
              <w:rPr/>
              <w:t xml:space="preserve">  </w:t>
            </w:r>
          </w:p>
        </w:tc>
      </w:tr>
      <w:tr>
        <w:trPr/>
        <w:tc>
          <w:tcPr>
            <w:tcW w:w="4936" w:type="dxa"/>
            <w:tcBorders/>
            <w:shd w:fill="CCEEFF" w:val="clear"/>
            <w:vAlign w:val="bottom"/>
          </w:tcPr>
          <w:p>
            <w:pPr>
              <w:pStyle w:val="TableContents"/>
              <w:spacing w:before="0" w:after="0"/>
              <w:ind w:left="400" w:right="0" w:hanging="200"/>
              <w:jc w:val="left"/>
              <w:rPr>
                <w:sz w:val="17"/>
              </w:rPr>
            </w:pPr>
            <w:r>
              <w:rPr>
                <w:sz w:val="17"/>
              </w:rPr>
              <w:t xml:space="preserve">2nd Quarter </w:t>
            </w:r>
          </w:p>
        </w:tc>
        <w:tc>
          <w:tcPr>
            <w:tcW w:w="174"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48.92 </w:t>
            </w:r>
          </w:p>
        </w:tc>
        <w:tc>
          <w:tcPr>
            <w:tcW w:w="161"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42.81 </w:t>
            </w:r>
          </w:p>
        </w:tc>
        <w:tc>
          <w:tcPr>
            <w:tcW w:w="161" w:type="dxa"/>
            <w:tcBorders/>
            <w:shd w:fill="CCEEFF" w:val="clear"/>
            <w:vAlign w:val="bottom"/>
          </w:tcPr>
          <w:p>
            <w:pPr>
              <w:pStyle w:val="TableContents"/>
              <w:spacing w:before="0" w:after="283"/>
              <w:jc w:val="left"/>
              <w:rPr/>
            </w:pPr>
            <w:r>
              <w:rPr/>
              <w:t xml:space="preserve">  </w:t>
            </w:r>
          </w:p>
        </w:tc>
        <w:tc>
          <w:tcPr>
            <w:tcW w:w="237" w:type="dxa"/>
            <w:tcBorders/>
            <w:shd w:fill="CCEEFF" w:val="clear"/>
            <w:vAlign w:val="bottom"/>
          </w:tcPr>
          <w:p>
            <w:pPr>
              <w:pStyle w:val="TableContents"/>
              <w:spacing w:before="0" w:after="283"/>
              <w:rPr/>
            </w:pPr>
            <w:r>
              <w:rPr/>
              <w:t xml:space="preserve">  </w:t>
            </w:r>
          </w:p>
        </w:tc>
        <w:tc>
          <w:tcPr>
            <w:tcW w:w="356" w:type="dxa"/>
            <w:tcBorders/>
            <w:shd w:fill="CCEEFF" w:val="clear"/>
            <w:vAlign w:val="bottom"/>
          </w:tcPr>
          <w:p>
            <w:pPr>
              <w:pStyle w:val="TableContents"/>
              <w:spacing w:before="0" w:after="283"/>
              <w:jc w:val="left"/>
              <w:rPr/>
            </w:pPr>
            <w:r>
              <w:rPr/>
              <w:t xml:space="preserve">  </w:t>
            </w:r>
          </w:p>
        </w:tc>
        <w:tc>
          <w:tcPr>
            <w:tcW w:w="1778" w:type="dxa"/>
            <w:tcBorders/>
            <w:shd w:fill="CCEEFF" w:val="clear"/>
            <w:vAlign w:val="bottom"/>
          </w:tcPr>
          <w:p>
            <w:pPr>
              <w:pStyle w:val="TableContents"/>
              <w:spacing w:before="0" w:after="283"/>
              <w:jc w:val="right"/>
              <w:rPr/>
            </w:pPr>
            <w:r>
              <w:rPr/>
              <w:t xml:space="preserve">0.7250 </w:t>
            </w:r>
          </w:p>
        </w:tc>
        <w:tc>
          <w:tcPr>
            <w:tcW w:w="169" w:type="dxa"/>
            <w:tcBorders/>
            <w:shd w:fill="CCEEFF" w:val="clear"/>
            <w:vAlign w:val="bottom"/>
          </w:tcPr>
          <w:p>
            <w:pPr>
              <w:pStyle w:val="TableContents"/>
              <w:spacing w:before="0" w:after="283"/>
              <w:jc w:val="left"/>
              <w:rPr/>
            </w:pPr>
            <w:r>
              <w:rPr/>
              <w:t xml:space="preserve">  </w:t>
            </w:r>
          </w:p>
        </w:tc>
      </w:tr>
      <w:tr>
        <w:trPr/>
        <w:tc>
          <w:tcPr>
            <w:tcW w:w="4936" w:type="dxa"/>
            <w:tcBorders/>
            <w:shd w:fill="FFFFFF" w:val="clear"/>
            <w:vAlign w:val="bottom"/>
          </w:tcPr>
          <w:p>
            <w:pPr>
              <w:pStyle w:val="TableContents"/>
              <w:spacing w:before="0" w:after="0"/>
              <w:ind w:left="400" w:right="0" w:hanging="200"/>
              <w:jc w:val="left"/>
              <w:rPr>
                <w:sz w:val="17"/>
              </w:rPr>
            </w:pPr>
            <w:r>
              <w:rPr>
                <w:sz w:val="17"/>
              </w:rPr>
              <w:t xml:space="preserve">3rd Quarter </w:t>
            </w:r>
          </w:p>
        </w:tc>
        <w:tc>
          <w:tcPr>
            <w:tcW w:w="174"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47.35 </w:t>
            </w:r>
          </w:p>
        </w:tc>
        <w:tc>
          <w:tcPr>
            <w:tcW w:w="161"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43.21 </w:t>
            </w:r>
          </w:p>
        </w:tc>
        <w:tc>
          <w:tcPr>
            <w:tcW w:w="161" w:type="dxa"/>
            <w:tcBorders/>
            <w:shd w:fill="FFFFFF" w:val="clear"/>
            <w:vAlign w:val="bottom"/>
          </w:tcPr>
          <w:p>
            <w:pPr>
              <w:pStyle w:val="TableContents"/>
              <w:spacing w:before="0" w:after="283"/>
              <w:jc w:val="left"/>
              <w:rPr/>
            </w:pPr>
            <w:r>
              <w:rPr/>
              <w:t xml:space="preserve">  </w:t>
            </w:r>
          </w:p>
        </w:tc>
        <w:tc>
          <w:tcPr>
            <w:tcW w:w="237" w:type="dxa"/>
            <w:tcBorders/>
            <w:shd w:fill="FFFFFF" w:val="clear"/>
            <w:vAlign w:val="bottom"/>
          </w:tcPr>
          <w:p>
            <w:pPr>
              <w:pStyle w:val="TableContents"/>
              <w:spacing w:before="0" w:after="283"/>
              <w:rPr/>
            </w:pPr>
            <w:r>
              <w:rPr/>
              <w:t xml:space="preserve">  </w:t>
            </w:r>
          </w:p>
        </w:tc>
        <w:tc>
          <w:tcPr>
            <w:tcW w:w="356" w:type="dxa"/>
            <w:tcBorders/>
            <w:shd w:fill="FFFFFF" w:val="clear"/>
            <w:vAlign w:val="bottom"/>
          </w:tcPr>
          <w:p>
            <w:pPr>
              <w:pStyle w:val="TableContents"/>
              <w:spacing w:before="0" w:after="283"/>
              <w:jc w:val="left"/>
              <w:rPr/>
            </w:pPr>
            <w:r>
              <w:rPr/>
              <w:t xml:space="preserve">  </w:t>
            </w:r>
          </w:p>
        </w:tc>
        <w:tc>
          <w:tcPr>
            <w:tcW w:w="1778" w:type="dxa"/>
            <w:tcBorders/>
            <w:shd w:fill="FFFFFF" w:val="clear"/>
            <w:vAlign w:val="bottom"/>
          </w:tcPr>
          <w:p>
            <w:pPr>
              <w:pStyle w:val="TableContents"/>
              <w:spacing w:before="0" w:after="283"/>
              <w:jc w:val="right"/>
              <w:rPr/>
            </w:pPr>
            <w:r>
              <w:rPr/>
              <w:t xml:space="preserve">0.7500 </w:t>
            </w:r>
          </w:p>
        </w:tc>
        <w:tc>
          <w:tcPr>
            <w:tcW w:w="169" w:type="dxa"/>
            <w:tcBorders/>
            <w:shd w:fill="FFFFFF" w:val="clear"/>
            <w:vAlign w:val="bottom"/>
          </w:tcPr>
          <w:p>
            <w:pPr>
              <w:pStyle w:val="TableContents"/>
              <w:spacing w:before="0" w:after="283"/>
              <w:jc w:val="left"/>
              <w:rPr/>
            </w:pPr>
            <w:r>
              <w:rPr/>
              <w:t xml:space="preserve">  </w:t>
            </w:r>
          </w:p>
        </w:tc>
      </w:tr>
      <w:tr>
        <w:trPr/>
        <w:tc>
          <w:tcPr>
            <w:tcW w:w="4936" w:type="dxa"/>
            <w:tcBorders/>
            <w:shd w:fill="CCEEFF" w:val="clear"/>
            <w:vAlign w:val="bottom"/>
          </w:tcPr>
          <w:p>
            <w:pPr>
              <w:pStyle w:val="TableContents"/>
              <w:spacing w:before="0" w:after="0"/>
              <w:ind w:left="400" w:right="0" w:hanging="200"/>
              <w:jc w:val="left"/>
              <w:rPr>
                <w:sz w:val="17"/>
              </w:rPr>
            </w:pPr>
            <w:r>
              <w:rPr>
                <w:sz w:val="17"/>
              </w:rPr>
              <w:t xml:space="preserve">4th Quarter </w:t>
            </w:r>
          </w:p>
        </w:tc>
        <w:tc>
          <w:tcPr>
            <w:tcW w:w="174"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53.23 </w:t>
            </w:r>
          </w:p>
        </w:tc>
        <w:tc>
          <w:tcPr>
            <w:tcW w:w="161"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45.20 </w:t>
            </w:r>
          </w:p>
        </w:tc>
        <w:tc>
          <w:tcPr>
            <w:tcW w:w="161" w:type="dxa"/>
            <w:tcBorders/>
            <w:shd w:fill="CCEEFF" w:val="clear"/>
            <w:vAlign w:val="bottom"/>
          </w:tcPr>
          <w:p>
            <w:pPr>
              <w:pStyle w:val="TableContents"/>
              <w:spacing w:before="0" w:after="283"/>
              <w:jc w:val="left"/>
              <w:rPr/>
            </w:pPr>
            <w:r>
              <w:rPr/>
              <w:t xml:space="preserve">  </w:t>
            </w:r>
          </w:p>
        </w:tc>
        <w:tc>
          <w:tcPr>
            <w:tcW w:w="237" w:type="dxa"/>
            <w:tcBorders/>
            <w:shd w:fill="CCEEFF" w:val="clear"/>
            <w:vAlign w:val="bottom"/>
          </w:tcPr>
          <w:p>
            <w:pPr>
              <w:pStyle w:val="TableContents"/>
              <w:spacing w:before="0" w:after="283"/>
              <w:rPr/>
            </w:pPr>
            <w:r>
              <w:rPr/>
              <w:t xml:space="preserve">  </w:t>
            </w:r>
          </w:p>
        </w:tc>
        <w:tc>
          <w:tcPr>
            <w:tcW w:w="356" w:type="dxa"/>
            <w:tcBorders/>
            <w:shd w:fill="CCEEFF" w:val="clear"/>
            <w:vAlign w:val="bottom"/>
          </w:tcPr>
          <w:p>
            <w:pPr>
              <w:pStyle w:val="TableContents"/>
              <w:spacing w:before="0" w:after="283"/>
              <w:jc w:val="left"/>
              <w:rPr/>
            </w:pPr>
            <w:r>
              <w:rPr/>
              <w:t xml:space="preserve">  </w:t>
            </w:r>
          </w:p>
        </w:tc>
        <w:tc>
          <w:tcPr>
            <w:tcW w:w="1778" w:type="dxa"/>
            <w:tcBorders/>
            <w:shd w:fill="CCEEFF" w:val="clear"/>
            <w:vAlign w:val="bottom"/>
          </w:tcPr>
          <w:p>
            <w:pPr>
              <w:pStyle w:val="TableContents"/>
              <w:spacing w:before="0" w:after="283"/>
              <w:jc w:val="right"/>
              <w:rPr/>
            </w:pPr>
            <w:r>
              <w:rPr/>
              <w:t xml:space="preserve">0.8000 </w:t>
            </w:r>
          </w:p>
        </w:tc>
        <w:tc>
          <w:tcPr>
            <w:tcW w:w="169" w:type="dxa"/>
            <w:tcBorders/>
            <w:shd w:fill="CCEEFF" w:val="clear"/>
            <w:vAlign w:val="bottom"/>
          </w:tcPr>
          <w:p>
            <w:pPr>
              <w:pStyle w:val="TableContents"/>
              <w:spacing w:before="0" w:after="283"/>
              <w:jc w:val="left"/>
              <w:rPr/>
            </w:pPr>
            <w:r>
              <w:rPr/>
              <w:t xml:space="preserve">  </w:t>
            </w:r>
          </w:p>
        </w:tc>
      </w:tr>
      <w:tr>
        <w:trPr/>
        <w:tc>
          <w:tcPr>
            <w:tcW w:w="4936" w:type="dxa"/>
            <w:tcBorders/>
            <w:shd w:fill="FFFFFF" w:val="clear"/>
            <w:vAlign w:val="bottom"/>
          </w:tcPr>
          <w:p>
            <w:pPr>
              <w:pStyle w:val="TableContents"/>
              <w:spacing w:before="0" w:after="0"/>
              <w:ind w:left="200" w:right="0" w:hanging="200"/>
              <w:jc w:val="left"/>
              <w:rPr/>
            </w:pPr>
            <w:r>
              <w:rPr>
                <w:b/>
                <w:sz w:val="17"/>
              </w:rPr>
              <w:t>2005</w:t>
            </w:r>
            <w:r>
              <w:rPr/>
              <w:t xml:space="preserve"> </w:t>
            </w:r>
          </w:p>
        </w:tc>
        <w:tc>
          <w:tcPr>
            <w:tcW w:w="174"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237" w:type="dxa"/>
            <w:tcBorders/>
            <w:shd w:fill="FFFFFF" w:val="clear"/>
            <w:vAlign w:val="bottom"/>
          </w:tcPr>
          <w:p>
            <w:pPr>
              <w:pStyle w:val="TableContents"/>
              <w:spacing w:before="0" w:after="283"/>
              <w:rPr/>
            </w:pPr>
            <w:r>
              <w:rPr/>
              <w:t xml:space="preserve">  </w:t>
            </w:r>
          </w:p>
        </w:tc>
        <w:tc>
          <w:tcPr>
            <w:tcW w:w="356" w:type="dxa"/>
            <w:tcBorders/>
            <w:shd w:fill="FFFFFF" w:val="clear"/>
            <w:vAlign w:val="bottom"/>
          </w:tcPr>
          <w:p>
            <w:pPr>
              <w:pStyle w:val="TableContents"/>
              <w:spacing w:before="0" w:after="283"/>
              <w:jc w:val="left"/>
              <w:rPr/>
            </w:pPr>
            <w:r>
              <w:rPr/>
              <w:t xml:space="preserve">  </w:t>
            </w:r>
          </w:p>
        </w:tc>
        <w:tc>
          <w:tcPr>
            <w:tcW w:w="1778" w:type="dxa"/>
            <w:tcBorders/>
            <w:shd w:fill="FFFFFF" w:val="cle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jc w:val="left"/>
              <w:rPr/>
            </w:pPr>
            <w:r>
              <w:rPr/>
              <w:t xml:space="preserve">  </w:t>
            </w:r>
          </w:p>
        </w:tc>
      </w:tr>
      <w:tr>
        <w:trPr/>
        <w:tc>
          <w:tcPr>
            <w:tcW w:w="4936" w:type="dxa"/>
            <w:tcBorders/>
            <w:shd w:fill="CCEEFF" w:val="clear"/>
            <w:vAlign w:val="bottom"/>
          </w:tcPr>
          <w:p>
            <w:pPr>
              <w:pStyle w:val="TableContents"/>
              <w:spacing w:before="0" w:after="0"/>
              <w:ind w:left="400" w:right="0" w:hanging="200"/>
              <w:jc w:val="left"/>
              <w:rPr>
                <w:sz w:val="17"/>
              </w:rPr>
            </w:pPr>
            <w:r>
              <w:rPr>
                <w:sz w:val="17"/>
              </w:rPr>
              <w:t xml:space="preserve">1st Quarter </w:t>
            </w:r>
          </w:p>
        </w:tc>
        <w:tc>
          <w:tcPr>
            <w:tcW w:w="174"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40.98 </w:t>
            </w:r>
          </w:p>
        </w:tc>
        <w:tc>
          <w:tcPr>
            <w:tcW w:w="161"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36.50 </w:t>
            </w:r>
          </w:p>
        </w:tc>
        <w:tc>
          <w:tcPr>
            <w:tcW w:w="161" w:type="dxa"/>
            <w:tcBorders/>
            <w:shd w:fill="CCEEFF" w:val="clear"/>
            <w:vAlign w:val="bottom"/>
          </w:tcPr>
          <w:p>
            <w:pPr>
              <w:pStyle w:val="TableContents"/>
              <w:spacing w:before="0" w:after="283"/>
              <w:jc w:val="left"/>
              <w:rPr/>
            </w:pPr>
            <w:r>
              <w:rPr/>
              <w:t xml:space="preserve">  </w:t>
            </w:r>
          </w:p>
        </w:tc>
        <w:tc>
          <w:tcPr>
            <w:tcW w:w="237" w:type="dxa"/>
            <w:tcBorders/>
            <w:shd w:fill="CCEEFF" w:val="clear"/>
            <w:vAlign w:val="bottom"/>
          </w:tcPr>
          <w:p>
            <w:pPr>
              <w:pStyle w:val="TableContents"/>
              <w:spacing w:before="0" w:after="283"/>
              <w:rPr/>
            </w:pPr>
            <w:r>
              <w:rPr/>
              <w:t xml:space="preserve">  </w:t>
            </w:r>
          </w:p>
        </w:tc>
        <w:tc>
          <w:tcPr>
            <w:tcW w:w="356" w:type="dxa"/>
            <w:tcBorders/>
            <w:shd w:fill="CCEEFF" w:val="clear"/>
            <w:vAlign w:val="bottom"/>
          </w:tcPr>
          <w:p>
            <w:pPr>
              <w:pStyle w:val="TableContents"/>
              <w:spacing w:before="0" w:after="283"/>
              <w:jc w:val="left"/>
              <w:rPr/>
            </w:pPr>
            <w:r>
              <w:rPr/>
              <w:t xml:space="preserve">$ </w:t>
            </w:r>
          </w:p>
        </w:tc>
        <w:tc>
          <w:tcPr>
            <w:tcW w:w="1778" w:type="dxa"/>
            <w:tcBorders/>
            <w:shd w:fill="CCEEFF" w:val="clear"/>
            <w:vAlign w:val="bottom"/>
          </w:tcPr>
          <w:p>
            <w:pPr>
              <w:pStyle w:val="TableContents"/>
              <w:spacing w:before="0" w:after="283"/>
              <w:jc w:val="right"/>
              <w:rPr/>
            </w:pPr>
            <w:r>
              <w:rPr/>
              <w:t xml:space="preserve">0.6375 </w:t>
            </w:r>
          </w:p>
        </w:tc>
        <w:tc>
          <w:tcPr>
            <w:tcW w:w="169" w:type="dxa"/>
            <w:tcBorders/>
            <w:shd w:fill="CCEEFF" w:val="clear"/>
            <w:vAlign w:val="bottom"/>
          </w:tcPr>
          <w:p>
            <w:pPr>
              <w:pStyle w:val="TableContents"/>
              <w:spacing w:before="0" w:after="283"/>
              <w:jc w:val="left"/>
              <w:rPr/>
            </w:pPr>
            <w:r>
              <w:rPr/>
              <w:t xml:space="preserve">  </w:t>
            </w:r>
          </w:p>
        </w:tc>
      </w:tr>
      <w:tr>
        <w:trPr/>
        <w:tc>
          <w:tcPr>
            <w:tcW w:w="4936" w:type="dxa"/>
            <w:tcBorders/>
            <w:shd w:fill="FFFFFF" w:val="clear"/>
            <w:vAlign w:val="bottom"/>
          </w:tcPr>
          <w:p>
            <w:pPr>
              <w:pStyle w:val="TableContents"/>
              <w:spacing w:before="0" w:after="0"/>
              <w:ind w:left="400" w:right="0" w:hanging="200"/>
              <w:jc w:val="left"/>
              <w:rPr>
                <w:sz w:val="17"/>
              </w:rPr>
            </w:pPr>
            <w:r>
              <w:rPr>
                <w:sz w:val="17"/>
              </w:rPr>
              <w:t xml:space="preserve">2nd Quarter </w:t>
            </w:r>
          </w:p>
        </w:tc>
        <w:tc>
          <w:tcPr>
            <w:tcW w:w="174"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45.08 </w:t>
            </w:r>
          </w:p>
        </w:tc>
        <w:tc>
          <w:tcPr>
            <w:tcW w:w="161"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38.00 </w:t>
            </w:r>
          </w:p>
        </w:tc>
        <w:tc>
          <w:tcPr>
            <w:tcW w:w="161" w:type="dxa"/>
            <w:tcBorders/>
            <w:shd w:fill="FFFFFF" w:val="clear"/>
            <w:vAlign w:val="bottom"/>
          </w:tcPr>
          <w:p>
            <w:pPr>
              <w:pStyle w:val="TableContents"/>
              <w:spacing w:before="0" w:after="283"/>
              <w:jc w:val="left"/>
              <w:rPr/>
            </w:pPr>
            <w:r>
              <w:rPr/>
              <w:t xml:space="preserve">  </w:t>
            </w:r>
          </w:p>
        </w:tc>
        <w:tc>
          <w:tcPr>
            <w:tcW w:w="237" w:type="dxa"/>
            <w:tcBorders/>
            <w:shd w:fill="FFFFFF" w:val="clear"/>
            <w:vAlign w:val="bottom"/>
          </w:tcPr>
          <w:p>
            <w:pPr>
              <w:pStyle w:val="TableContents"/>
              <w:spacing w:before="0" w:after="283"/>
              <w:rPr/>
            </w:pPr>
            <w:r>
              <w:rPr/>
              <w:t xml:space="preserve">  </w:t>
            </w:r>
          </w:p>
        </w:tc>
        <w:tc>
          <w:tcPr>
            <w:tcW w:w="356" w:type="dxa"/>
            <w:tcBorders/>
            <w:shd w:fill="FFFFFF" w:val="clear"/>
            <w:vAlign w:val="bottom"/>
          </w:tcPr>
          <w:p>
            <w:pPr>
              <w:pStyle w:val="TableContents"/>
              <w:spacing w:before="0" w:after="283"/>
              <w:jc w:val="left"/>
              <w:rPr/>
            </w:pPr>
            <w:r>
              <w:rPr/>
              <w:t xml:space="preserve">  </w:t>
            </w:r>
          </w:p>
        </w:tc>
        <w:tc>
          <w:tcPr>
            <w:tcW w:w="1778" w:type="dxa"/>
            <w:tcBorders/>
            <w:shd w:fill="FFFFFF" w:val="clear"/>
            <w:vAlign w:val="bottom"/>
          </w:tcPr>
          <w:p>
            <w:pPr>
              <w:pStyle w:val="TableContents"/>
              <w:spacing w:before="0" w:after="283"/>
              <w:jc w:val="right"/>
              <w:rPr/>
            </w:pPr>
            <w:r>
              <w:rPr/>
              <w:t xml:space="preserve">0.6500 </w:t>
            </w:r>
          </w:p>
        </w:tc>
        <w:tc>
          <w:tcPr>
            <w:tcW w:w="169" w:type="dxa"/>
            <w:tcBorders/>
            <w:shd w:fill="FFFFFF" w:val="clear"/>
            <w:vAlign w:val="bottom"/>
          </w:tcPr>
          <w:p>
            <w:pPr>
              <w:pStyle w:val="TableContents"/>
              <w:spacing w:before="0" w:after="283"/>
              <w:jc w:val="left"/>
              <w:rPr/>
            </w:pPr>
            <w:r>
              <w:rPr/>
              <w:t xml:space="preserve">  </w:t>
            </w:r>
          </w:p>
        </w:tc>
      </w:tr>
      <w:tr>
        <w:trPr/>
        <w:tc>
          <w:tcPr>
            <w:tcW w:w="4936" w:type="dxa"/>
            <w:tcBorders/>
            <w:shd w:fill="CCEEFF" w:val="clear"/>
            <w:vAlign w:val="bottom"/>
          </w:tcPr>
          <w:p>
            <w:pPr>
              <w:pStyle w:val="TableContents"/>
              <w:spacing w:before="0" w:after="0"/>
              <w:ind w:left="400" w:right="0" w:hanging="200"/>
              <w:jc w:val="left"/>
              <w:rPr>
                <w:sz w:val="17"/>
              </w:rPr>
            </w:pPr>
            <w:r>
              <w:rPr>
                <w:sz w:val="17"/>
              </w:rPr>
              <w:t xml:space="preserve">3rd Quarter </w:t>
            </w:r>
          </w:p>
        </w:tc>
        <w:tc>
          <w:tcPr>
            <w:tcW w:w="174"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48.20 </w:t>
            </w:r>
          </w:p>
        </w:tc>
        <w:tc>
          <w:tcPr>
            <w:tcW w:w="161"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764" w:type="dxa"/>
            <w:tcBorders/>
            <w:shd w:fill="CCEEFF" w:val="clear"/>
            <w:vAlign w:val="bottom"/>
          </w:tcPr>
          <w:p>
            <w:pPr>
              <w:pStyle w:val="TableContents"/>
              <w:spacing w:before="0" w:after="283"/>
              <w:jc w:val="right"/>
              <w:rPr/>
            </w:pPr>
            <w:r>
              <w:rPr/>
              <w:t xml:space="preserve">42.01 </w:t>
            </w:r>
          </w:p>
        </w:tc>
        <w:tc>
          <w:tcPr>
            <w:tcW w:w="161" w:type="dxa"/>
            <w:tcBorders/>
            <w:shd w:fill="CCEEFF" w:val="clear"/>
            <w:vAlign w:val="bottom"/>
          </w:tcPr>
          <w:p>
            <w:pPr>
              <w:pStyle w:val="TableContents"/>
              <w:spacing w:before="0" w:after="283"/>
              <w:jc w:val="left"/>
              <w:rPr/>
            </w:pPr>
            <w:r>
              <w:rPr/>
              <w:t xml:space="preserve">  </w:t>
            </w:r>
          </w:p>
        </w:tc>
        <w:tc>
          <w:tcPr>
            <w:tcW w:w="237" w:type="dxa"/>
            <w:tcBorders/>
            <w:shd w:fill="CCEEFF" w:val="clear"/>
            <w:vAlign w:val="bottom"/>
          </w:tcPr>
          <w:p>
            <w:pPr>
              <w:pStyle w:val="TableContents"/>
              <w:spacing w:before="0" w:after="283"/>
              <w:rPr/>
            </w:pPr>
            <w:r>
              <w:rPr/>
              <w:t xml:space="preserve">  </w:t>
            </w:r>
          </w:p>
        </w:tc>
        <w:tc>
          <w:tcPr>
            <w:tcW w:w="356" w:type="dxa"/>
            <w:tcBorders/>
            <w:shd w:fill="CCEEFF" w:val="clear"/>
            <w:vAlign w:val="bottom"/>
          </w:tcPr>
          <w:p>
            <w:pPr>
              <w:pStyle w:val="TableContents"/>
              <w:spacing w:before="0" w:after="283"/>
              <w:jc w:val="left"/>
              <w:rPr/>
            </w:pPr>
            <w:r>
              <w:rPr/>
              <w:t xml:space="preserve">  </w:t>
            </w:r>
          </w:p>
        </w:tc>
        <w:tc>
          <w:tcPr>
            <w:tcW w:w="1778" w:type="dxa"/>
            <w:tcBorders/>
            <w:shd w:fill="CCEEFF" w:val="clear"/>
            <w:vAlign w:val="bottom"/>
          </w:tcPr>
          <w:p>
            <w:pPr>
              <w:pStyle w:val="TableContents"/>
              <w:spacing w:before="0" w:after="283"/>
              <w:jc w:val="right"/>
              <w:rPr/>
            </w:pPr>
            <w:r>
              <w:rPr/>
              <w:t xml:space="preserve">0.6750 </w:t>
            </w:r>
          </w:p>
        </w:tc>
        <w:tc>
          <w:tcPr>
            <w:tcW w:w="169" w:type="dxa"/>
            <w:tcBorders/>
            <w:shd w:fill="CCEEFF" w:val="clear"/>
            <w:vAlign w:val="bottom"/>
          </w:tcPr>
          <w:p>
            <w:pPr>
              <w:pStyle w:val="TableContents"/>
              <w:spacing w:before="0" w:after="283"/>
              <w:jc w:val="left"/>
              <w:rPr/>
            </w:pPr>
            <w:r>
              <w:rPr/>
              <w:t xml:space="preserve">  </w:t>
            </w:r>
          </w:p>
        </w:tc>
      </w:tr>
      <w:tr>
        <w:trPr/>
        <w:tc>
          <w:tcPr>
            <w:tcW w:w="4936" w:type="dxa"/>
            <w:tcBorders/>
            <w:shd w:fill="FFFFFF" w:val="clear"/>
            <w:vAlign w:val="bottom"/>
          </w:tcPr>
          <w:p>
            <w:pPr>
              <w:pStyle w:val="TableContents"/>
              <w:spacing w:before="0" w:after="0"/>
              <w:ind w:left="400" w:right="0" w:hanging="200"/>
              <w:jc w:val="left"/>
              <w:rPr>
                <w:sz w:val="17"/>
              </w:rPr>
            </w:pPr>
            <w:r>
              <w:rPr>
                <w:sz w:val="17"/>
              </w:rPr>
              <w:t xml:space="preserve">4th Quarter </w:t>
            </w:r>
          </w:p>
        </w:tc>
        <w:tc>
          <w:tcPr>
            <w:tcW w:w="174"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42.82 </w:t>
            </w:r>
          </w:p>
        </w:tc>
        <w:tc>
          <w:tcPr>
            <w:tcW w:w="161"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764" w:type="dxa"/>
            <w:tcBorders/>
            <w:shd w:fill="FFFFFF" w:val="clear"/>
            <w:vAlign w:val="bottom"/>
          </w:tcPr>
          <w:p>
            <w:pPr>
              <w:pStyle w:val="TableContents"/>
              <w:spacing w:before="0" w:after="283"/>
              <w:jc w:val="right"/>
              <w:rPr/>
            </w:pPr>
            <w:r>
              <w:rPr/>
              <w:t xml:space="preserve">38.51 </w:t>
            </w:r>
          </w:p>
        </w:tc>
        <w:tc>
          <w:tcPr>
            <w:tcW w:w="161" w:type="dxa"/>
            <w:tcBorders/>
            <w:shd w:fill="FFFFFF" w:val="clear"/>
            <w:vAlign w:val="bottom"/>
          </w:tcPr>
          <w:p>
            <w:pPr>
              <w:pStyle w:val="TableContents"/>
              <w:spacing w:before="0" w:after="283"/>
              <w:jc w:val="left"/>
              <w:rPr/>
            </w:pPr>
            <w:r>
              <w:rPr/>
              <w:t xml:space="preserve">  </w:t>
            </w:r>
          </w:p>
        </w:tc>
        <w:tc>
          <w:tcPr>
            <w:tcW w:w="237" w:type="dxa"/>
            <w:tcBorders/>
            <w:shd w:fill="FFFFFF" w:val="clear"/>
            <w:vAlign w:val="bottom"/>
          </w:tcPr>
          <w:p>
            <w:pPr>
              <w:pStyle w:val="TableContents"/>
              <w:spacing w:before="0" w:after="283"/>
              <w:rPr/>
            </w:pPr>
            <w:r>
              <w:rPr/>
              <w:t xml:space="preserve">  </w:t>
            </w:r>
          </w:p>
        </w:tc>
        <w:tc>
          <w:tcPr>
            <w:tcW w:w="356" w:type="dxa"/>
            <w:tcBorders/>
            <w:shd w:fill="FFFFFF" w:val="clear"/>
            <w:vAlign w:val="bottom"/>
          </w:tcPr>
          <w:p>
            <w:pPr>
              <w:pStyle w:val="TableContents"/>
              <w:spacing w:before="0" w:after="283"/>
              <w:jc w:val="left"/>
              <w:rPr/>
            </w:pPr>
            <w:r>
              <w:rPr/>
              <w:t xml:space="preserve">  </w:t>
            </w:r>
          </w:p>
        </w:tc>
        <w:tc>
          <w:tcPr>
            <w:tcW w:w="1778" w:type="dxa"/>
            <w:tcBorders/>
            <w:shd w:fill="FFFFFF" w:val="clear"/>
            <w:vAlign w:val="bottom"/>
          </w:tcPr>
          <w:p>
            <w:pPr>
              <w:pStyle w:val="TableContents"/>
              <w:spacing w:before="0" w:after="283"/>
              <w:jc w:val="right"/>
              <w:rPr/>
            </w:pPr>
            <w:r>
              <w:rPr/>
              <w:t xml:space="preserve">0.6875 </w:t>
            </w:r>
          </w:p>
        </w:tc>
        <w:tc>
          <w:tcPr>
            <w:tcW w:w="169" w:type="dxa"/>
            <w:tcBorders/>
            <w:shd w:fill="FFFFFF" w:val="clear"/>
            <w:vAlign w:val="bottom"/>
          </w:tcPr>
          <w:p>
            <w:pPr>
              <w:pStyle w:val="TableContents"/>
              <w:spacing w:before="0" w:after="283"/>
              <w:jc w:val="left"/>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Cash distributions for a quarter are declared and paid in the following calendar quarter.</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are used as a form of compensation to our employees. Additional information regarding our equity compensation plans is included in Part III of this report under Item 13. Certain Relationships and Related Transactions, and Director Independence.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Cash Distribution Policy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distribute to our unitholders, on a quarterly basis, all of our available cash in the manner described below.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 discussed below, to 15% of amounts we distribute in excess of $0.450 per unit, 25% of the amounts we distribute in excess of $0.495 per unit and 50% of amounts we distribute in excess of $0.675 per unit.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closing of the Pacific acquisition, our general partner agreed to reduce the amounts due it as incentive distributions. The reduction will be effective for five years,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The first quarterly reduction took place in connection with the distribution paid in February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paid $33.1 million to the general partner in incentive distributions in 2006. On February 14, 2007, we paid a quarterly distribution of $0.80 per unit applicable to the fourth quarter of 2006. See Item 13. Certain Relationships and Related Transactions, and Director Independence 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the terms of the agreements governing our debt, we are prohibited from declaring or paying any distribution to unitholders if a default or event of default (as defined in such agreements) exists. See Item 7. Managements Discussion and Analysis of Financial Condition and Results of Operations  Liquidity and Capital Resources  Credit Facilities and Long-term Debt.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Issuer Purchases of Equity Securities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did not repurchase any of our common units during the fourth quarter of fiscal 2006.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bookmarkStart w:id="11" w:name="109"/>
      <w:bookmarkEnd w:id="11"/>
      <w:r>
        <w:rPr/>
        <w:t> </w:t>
      </w:r>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6.  </w:t>
            </w:r>
            <w:r>
              <w:rPr/>
              <w:t xml:space="preserve"> </w:t>
            </w:r>
          </w:p>
        </w:tc>
        <w:tc>
          <w:tcPr>
            <w:tcW w:w="9390" w:type="dxa"/>
            <w:tcBorders/>
            <w:shd w:fill="FFFFFF" w:val="clear"/>
          </w:tcPr>
          <w:p>
            <w:pPr>
              <w:pStyle w:val="TableContents"/>
              <w:spacing w:before="0" w:after="283"/>
              <w:rPr/>
            </w:pPr>
            <w:r>
              <w:rPr>
                <w:rFonts w:ascii="Times New Roman;Times" w:hAnsi="Times New Roman;Times"/>
                <w:b/>
                <w:i/>
              </w:rPr>
              <w:t>Selected Financial Data</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historical financial information below was derived from our audited consolidated financial statements as of December 31, 2006, 2005, 2004, 2003 and 2002 and for the years then ended. The selected financial data should be read in conjunction with the consolidated financial statements, including the notes thereto, and Item 7. Managements Discussion and Analysis of Financial Condition and Results of Operations.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834"/>
        <w:gridCol w:w="111"/>
        <w:gridCol w:w="200"/>
        <w:gridCol w:w="1026"/>
        <w:gridCol w:w="161"/>
        <w:gridCol w:w="111"/>
        <w:gridCol w:w="200"/>
        <w:gridCol w:w="1026"/>
        <w:gridCol w:w="160"/>
        <w:gridCol w:w="111"/>
        <w:gridCol w:w="200"/>
        <w:gridCol w:w="1026"/>
        <w:gridCol w:w="161"/>
        <w:gridCol w:w="111"/>
        <w:gridCol w:w="200"/>
        <w:gridCol w:w="1026"/>
        <w:gridCol w:w="161"/>
        <w:gridCol w:w="110"/>
        <w:gridCol w:w="200"/>
        <w:gridCol w:w="894"/>
        <w:gridCol w:w="176"/>
      </w:tblGrid>
      <w:tr>
        <w:trPr/>
        <w:tc>
          <w:tcPr>
            <w:tcW w:w="2834"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26"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26"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26"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26"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94"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r>
      <w:tr>
        <w:trPr/>
        <w:tc>
          <w:tcPr>
            <w:tcW w:w="2834" w:type="dxa"/>
            <w:tcBorders/>
            <w:shd w:fill="FFFFFF" w:val="clear"/>
            <w:vAlign w:val="bottom"/>
          </w:tcPr>
          <w:p>
            <w:pPr>
              <w:pStyle w:val="TableContents"/>
              <w:spacing w:before="0" w:after="283"/>
              <w:jc w:val="center"/>
              <w:rPr/>
            </w:pPr>
            <w:r>
              <w:rPr/>
              <w:t xml:space="preserve">  </w:t>
            </w:r>
          </w:p>
        </w:tc>
        <w:tc>
          <w:tcPr>
            <w:tcW w:w="111" w:type="dxa"/>
            <w:tcBorders/>
            <w:shd w:fill="FFFFFF" w:val="clear"/>
            <w:vAlign w:val="bottom"/>
          </w:tcPr>
          <w:p>
            <w:pPr>
              <w:pStyle w:val="TableContents"/>
              <w:spacing w:before="0" w:after="283"/>
              <w:jc w:val="center"/>
              <w:rPr/>
            </w:pPr>
            <w:r>
              <w:rPr/>
              <w:t xml:space="preserve">  </w:t>
            </w:r>
          </w:p>
        </w:tc>
        <w:tc>
          <w:tcPr>
            <w:tcW w:w="7084"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2834" w:type="dxa"/>
            <w:tcBorders/>
            <w:shd w:fill="FFFFFF" w:val="clear"/>
            <w:vAlign w:val="bottom"/>
          </w:tcPr>
          <w:p>
            <w:pPr>
              <w:pStyle w:val="TableContents"/>
              <w:spacing w:before="0" w:after="283"/>
              <w:jc w:val="center"/>
              <w:rPr/>
            </w:pPr>
            <w:r>
              <w:rPr/>
              <w:t xml:space="preserve">  </w:t>
            </w:r>
          </w:p>
        </w:tc>
        <w:tc>
          <w:tcPr>
            <w:tcW w:w="111" w:type="dxa"/>
            <w:tcBorders/>
            <w:shd w:fill="FFFFFF" w:val="clear"/>
            <w:vAlign w:val="bottom"/>
          </w:tcPr>
          <w:p>
            <w:pPr>
              <w:pStyle w:val="TableContents"/>
              <w:spacing w:before="0" w:after="283"/>
              <w:jc w:val="center"/>
              <w:rPr/>
            </w:pPr>
            <w:r>
              <w:rPr/>
              <w:t xml:space="preserve">  </w:t>
            </w:r>
          </w:p>
        </w:tc>
        <w:tc>
          <w:tcPr>
            <w:tcW w:w="12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1" w:type="dxa"/>
            <w:tcBorders/>
            <w:shd w:fill="FFFFFF" w:val="clear"/>
            <w:vAlign w:val="bottom"/>
          </w:tcPr>
          <w:p>
            <w:pPr>
              <w:pStyle w:val="TableContents"/>
              <w:spacing w:before="0" w:after="283"/>
              <w:jc w:val="center"/>
              <w:rPr/>
            </w:pPr>
            <w:r>
              <w:rPr/>
              <w:t xml:space="preserve">  </w:t>
            </w:r>
          </w:p>
        </w:tc>
        <w:tc>
          <w:tcPr>
            <w:tcW w:w="12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1" w:type="dxa"/>
            <w:tcBorders/>
            <w:shd w:fill="FFFFFF" w:val="clear"/>
            <w:vAlign w:val="bottom"/>
          </w:tcPr>
          <w:p>
            <w:pPr>
              <w:pStyle w:val="TableContents"/>
              <w:spacing w:before="0" w:after="283"/>
              <w:jc w:val="center"/>
              <w:rPr/>
            </w:pPr>
            <w:r>
              <w:rPr/>
              <w:t xml:space="preserve">  </w:t>
            </w:r>
          </w:p>
        </w:tc>
        <w:tc>
          <w:tcPr>
            <w:tcW w:w="12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1" w:type="dxa"/>
            <w:tcBorders/>
            <w:shd w:fill="FFFFFF" w:val="clear"/>
            <w:vAlign w:val="bottom"/>
          </w:tcPr>
          <w:p>
            <w:pPr>
              <w:pStyle w:val="TableContents"/>
              <w:spacing w:before="0" w:after="283"/>
              <w:jc w:val="center"/>
              <w:rPr/>
            </w:pPr>
            <w:r>
              <w:rPr/>
              <w:t xml:space="preserve">  </w:t>
            </w:r>
          </w:p>
        </w:tc>
        <w:tc>
          <w:tcPr>
            <w:tcW w:w="122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61" w:type="dxa"/>
            <w:tcBorders/>
            <w:shd w:fill="FFFFFF" w:val="clear"/>
            <w:vAlign w:val="bottom"/>
          </w:tcPr>
          <w:p>
            <w:pPr>
              <w:pStyle w:val="TableContents"/>
              <w:spacing w:before="0" w:after="283"/>
              <w:jc w:val="center"/>
              <w:rPr/>
            </w:pPr>
            <w:r>
              <w:rPr/>
              <w:t xml:space="preserve">  </w:t>
            </w:r>
          </w:p>
        </w:tc>
        <w:tc>
          <w:tcPr>
            <w:tcW w:w="110" w:type="dxa"/>
            <w:tcBorders/>
            <w:shd w:fill="FFFFFF" w:val="clear"/>
            <w:vAlign w:val="bottom"/>
          </w:tcPr>
          <w:p>
            <w:pPr>
              <w:pStyle w:val="TableContents"/>
              <w:spacing w:before="0" w:after="283"/>
              <w:jc w:val="center"/>
              <w:rPr/>
            </w:pPr>
            <w:r>
              <w:rPr/>
              <w:t xml:space="preserve">  </w:t>
            </w:r>
          </w:p>
        </w:tc>
        <w:tc>
          <w:tcPr>
            <w:tcW w:w="109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2834" w:type="dxa"/>
            <w:tcBorders/>
            <w:shd w:fill="FFFFFF" w:val="clear"/>
            <w:vAlign w:val="center"/>
          </w:tcPr>
          <w:p>
            <w:pPr>
              <w:pStyle w:val="TableContents"/>
              <w:spacing w:before="0" w:after="283"/>
              <w:rPr/>
            </w:pPr>
            <w:r>
              <w:rPr/>
              <w:t xml:space="preserve">  </w:t>
            </w:r>
          </w:p>
        </w:tc>
        <w:tc>
          <w:tcPr>
            <w:tcW w:w="7371" w:type="dxa"/>
            <w:gridSpan w:val="20"/>
            <w:tcBorders/>
            <w:shd w:fill="FFFFFF" w:val="clear"/>
          </w:tcPr>
          <w:p>
            <w:pPr>
              <w:pStyle w:val="TableContents"/>
              <w:spacing w:before="0" w:after="283"/>
              <w:rPr>
                <w:sz w:val="4"/>
                <w:szCs w:val="4"/>
              </w:rPr>
            </w:pPr>
            <w:r>
              <w:rPr>
                <w:sz w:val="4"/>
                <w:szCs w:val="4"/>
              </w:rPr>
            </w:r>
          </w:p>
        </w:tc>
      </w:tr>
      <w:tr>
        <w:trPr/>
        <w:tc>
          <w:tcPr>
            <w:tcW w:w="2834" w:type="dxa"/>
            <w:tcBorders/>
            <w:shd w:fill="CCEEFF" w:val="clear"/>
            <w:vAlign w:val="bottom"/>
          </w:tcPr>
          <w:p>
            <w:pPr>
              <w:pStyle w:val="TableContents"/>
              <w:spacing w:before="0" w:after="0"/>
              <w:ind w:left="180" w:right="0" w:hanging="180"/>
              <w:jc w:val="left"/>
              <w:rPr/>
            </w:pPr>
            <w:r>
              <w:rPr>
                <w:b/>
                <w:sz w:val="15"/>
              </w:rPr>
              <w:t>Statement of operations data:</w:t>
            </w: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Total Revenues(1)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22,444.4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31,176.5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20,975.0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12,589.7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8,383.8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Crude oil and LPG purchases and related costs(1)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(20,819.7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(29,691.9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(19,870.9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(11,746.4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(7,741.2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Pipeline margin activities purchases(1)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(665.9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(750.6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(553.7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(486.1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(362.3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Field operating costs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(369.8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(272.5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(219.5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(139.9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(106.4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General and administrative expenses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(133.9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(103.2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(82.7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(73.1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(45.7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Depreciation and amortization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(100.4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(83.5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(68.7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(46.2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(34.0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Total costs and expenses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(22,089.7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(30,901.7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(20,795.5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(12,491.7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(8,289.6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Operating income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354.7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274.8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179.5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98.0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94.2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Interest expense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(85.6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(59.4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(46.7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(35.2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(29.1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Equity earnings in unconsolidated entities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7.7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1.8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0.5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0.2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0.4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Interest and other income (expense), net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2.3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0.6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(0.2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(0.2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Income tax expense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(0.3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Income before cumulative effect of change in accounting principle(2)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278.8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217.8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133.1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59.4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65.3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Basic net income before cumulative effect of change in accounting principle(2)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2.84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2.77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1.94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1.01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1.34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Diluted net income before cumulative effect of change in accounting principle(2)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2.81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2.72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1.94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1.00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1.34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Basic weighted average number of limited partner units outstanding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81.1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69.3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63.3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52.7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45.5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Diluted weighted average number of limited partner units outstanding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81.9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70.5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63.3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53.4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45.5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pPr>
            <w:r>
              <w:rPr>
                <w:b/>
                <w:sz w:val="15"/>
              </w:rPr>
              <w:t>Balance sheet data (at end of period):</w:t>
            </w: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Total assets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8,714.9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4,120.3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3,160.4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2,095.6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1,666.6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Total long-term debt(3)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2,626.3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951.7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949.0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519.0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509.7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Total debt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3,627.5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1,330.1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1,124.5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646.3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609.0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Partners capital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2,976.8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1,330.7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1,070.2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746.7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511.6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pPr>
            <w:r>
              <w:rPr>
                <w:b/>
                <w:sz w:val="15"/>
              </w:rPr>
              <w:t>Other data:</w:t>
            </w: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Maintenance capital expenditures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28.2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14.0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11.3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7.6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6.0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Net cash provided by (used in) operating activities(4)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(275.3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24.1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104.0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115.3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185.0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Net cash (used in) investing activities(4)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(1,651.0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(297.2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(651.2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(272.1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(374.9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Net cash provided by financing activities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1,927.0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270.6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554.5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157.2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189.5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Declared distributions per limited partner unit(5)(6)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2.87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2.58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2.30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2.19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2.11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180" w:right="0" w:hanging="180"/>
              <w:jc w:val="left"/>
              <w:rPr>
                <w:sz w:val="15"/>
              </w:rPr>
            </w:pPr>
            <w:r>
              <w:rPr>
                <w:sz w:val="15"/>
              </w:rPr>
              <w:t xml:space="preserve">Volumes (thousands of barrels per day)(7)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180" w:right="0" w:hanging="180"/>
              <w:jc w:val="left"/>
              <w:rPr>
                <w:sz w:val="15"/>
              </w:rPr>
            </w:pPr>
            <w:r>
              <w:rPr>
                <w:sz w:val="15"/>
              </w:rPr>
              <w:t xml:space="preserve">Transportation segment: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0"/>
              <w:ind w:left="380" w:right="0" w:hanging="200"/>
              <w:jc w:val="left"/>
              <w:rPr>
                <w:sz w:val="15"/>
              </w:rPr>
            </w:pPr>
            <w:r>
              <w:rPr>
                <w:sz w:val="15"/>
              </w:rPr>
              <w:t xml:space="preserve">Tariff activities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2,018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1,725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1,412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824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564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CCEEFF" w:val="clear"/>
            <w:vAlign w:val="bottom"/>
          </w:tcPr>
          <w:p>
            <w:pPr>
              <w:pStyle w:val="TableContents"/>
              <w:spacing w:before="0" w:after="0"/>
              <w:ind w:left="380" w:right="0" w:hanging="200"/>
              <w:jc w:val="left"/>
              <w:rPr>
                <w:sz w:val="15"/>
              </w:rPr>
            </w:pPr>
            <w:r>
              <w:rPr>
                <w:sz w:val="15"/>
              </w:rPr>
              <w:t xml:space="preserve">Pipeline margin activities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88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74 </w:t>
            </w:r>
          </w:p>
        </w:tc>
        <w:tc>
          <w:tcPr>
            <w:tcW w:w="160"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74 </w:t>
            </w:r>
          </w:p>
        </w:tc>
        <w:tc>
          <w:tcPr>
            <w:tcW w:w="161" w:type="dxa"/>
            <w:tcBorders/>
            <w:shd w:fill="CCEEFF" w:val="clear"/>
            <w:vAlign w:val="bottom"/>
          </w:tcPr>
          <w:p>
            <w:pPr>
              <w:pStyle w:val="TableContents"/>
              <w:spacing w:before="0" w:after="283"/>
              <w:jc w:val="left"/>
              <w:rPr/>
            </w:pPr>
            <w:r>
              <w:rPr/>
              <w:t xml:space="preserve">  </w:t>
            </w:r>
          </w:p>
        </w:tc>
        <w:tc>
          <w:tcPr>
            <w:tcW w:w="11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78 </w:t>
            </w:r>
          </w:p>
        </w:tc>
        <w:tc>
          <w:tcPr>
            <w:tcW w:w="161"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94" w:type="dxa"/>
            <w:tcBorders/>
            <w:shd w:fill="CCEEFF" w:val="clear"/>
            <w:vAlign w:val="bottom"/>
          </w:tcPr>
          <w:p>
            <w:pPr>
              <w:pStyle w:val="TableContents"/>
              <w:spacing w:before="0" w:after="283"/>
              <w:jc w:val="right"/>
              <w:rPr/>
            </w:pPr>
            <w:r>
              <w:rPr/>
              <w:t xml:space="preserve">73 </w:t>
            </w:r>
          </w:p>
        </w:tc>
        <w:tc>
          <w:tcPr>
            <w:tcW w:w="176" w:type="dxa"/>
            <w:tcBorders/>
            <w:shd w:fill="CCEE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2834" w:type="dxa"/>
            <w:tcBorders/>
            <w:shd w:fill="FFFFFF" w:val="clear"/>
            <w:vAlign w:val="bottom"/>
          </w:tcPr>
          <w:p>
            <w:pPr>
              <w:pStyle w:val="TableContents"/>
              <w:spacing w:before="0" w:after="0"/>
              <w:ind w:left="560" w:right="0" w:hanging="180"/>
              <w:jc w:val="left"/>
              <w:rPr>
                <w:sz w:val="15"/>
              </w:rPr>
            </w:pPr>
            <w:r>
              <w:rPr>
                <w:sz w:val="15"/>
              </w:rPr>
              <w:t xml:space="preserve">Total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2,106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1,799 </w:t>
            </w:r>
          </w:p>
        </w:tc>
        <w:tc>
          <w:tcPr>
            <w:tcW w:w="160"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1,486 </w:t>
            </w:r>
          </w:p>
        </w:tc>
        <w:tc>
          <w:tcPr>
            <w:tcW w:w="161" w:type="dxa"/>
            <w:tcBorders/>
            <w:shd w:fill="FFFFFF" w:val="clear"/>
            <w:vAlign w:val="bottom"/>
          </w:tcPr>
          <w:p>
            <w:pPr>
              <w:pStyle w:val="TableContents"/>
              <w:spacing w:before="0" w:after="283"/>
              <w:jc w:val="left"/>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902 </w:t>
            </w:r>
          </w:p>
        </w:tc>
        <w:tc>
          <w:tcPr>
            <w:tcW w:w="161"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94" w:type="dxa"/>
            <w:tcBorders/>
            <w:shd w:fill="FFFFFF" w:val="clear"/>
            <w:vAlign w:val="bottom"/>
          </w:tcPr>
          <w:p>
            <w:pPr>
              <w:pStyle w:val="TableContents"/>
              <w:spacing w:before="0" w:after="283"/>
              <w:jc w:val="right"/>
              <w:rPr/>
            </w:pPr>
            <w:r>
              <w:rPr/>
              <w:t xml:space="preserve">637 </w:t>
            </w:r>
          </w:p>
        </w:tc>
        <w:tc>
          <w:tcPr>
            <w:tcW w:w="176" w:type="dxa"/>
            <w:tcBorders/>
            <w:shd w:fill="FFFFFF" w:val="clear"/>
            <w:vAlign w:val="bottom"/>
          </w:tcPr>
          <w:p>
            <w:pPr>
              <w:pStyle w:val="TableContents"/>
              <w:spacing w:before="0" w:after="283"/>
              <w:jc w:val="left"/>
              <w:rPr/>
            </w:pPr>
            <w:r>
              <w:rPr/>
              <w:t xml:space="preserve">  </w:t>
            </w:r>
          </w:p>
        </w:tc>
      </w:tr>
      <w:tr>
        <w:trPr/>
        <w:tc>
          <w:tcPr>
            <w:tcW w:w="283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794"/>
        <w:gridCol w:w="190"/>
        <w:gridCol w:w="121"/>
        <w:gridCol w:w="665"/>
        <w:gridCol w:w="121"/>
        <w:gridCol w:w="190"/>
        <w:gridCol w:w="121"/>
        <w:gridCol w:w="665"/>
        <w:gridCol w:w="121"/>
        <w:gridCol w:w="190"/>
        <w:gridCol w:w="121"/>
        <w:gridCol w:w="665"/>
        <w:gridCol w:w="121"/>
        <w:gridCol w:w="190"/>
        <w:gridCol w:w="121"/>
        <w:gridCol w:w="665"/>
        <w:gridCol w:w="121"/>
        <w:gridCol w:w="190"/>
        <w:gridCol w:w="121"/>
        <w:gridCol w:w="579"/>
        <w:gridCol w:w="133"/>
      </w:tblGrid>
      <w:tr>
        <w:trPr/>
        <w:tc>
          <w:tcPr>
            <w:tcW w:w="4794"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pPr>
            <w:r>
              <w:rPr/>
              <w:t> </w:t>
            </w:r>
          </w:p>
        </w:tc>
        <w:tc>
          <w:tcPr>
            <w:tcW w:w="66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pPr>
            <w:r>
              <w:rPr/>
              <w:t> </w:t>
            </w:r>
          </w:p>
        </w:tc>
        <w:tc>
          <w:tcPr>
            <w:tcW w:w="66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pPr>
            <w:r>
              <w:rPr/>
              <w:t> </w:t>
            </w:r>
          </w:p>
        </w:tc>
        <w:tc>
          <w:tcPr>
            <w:tcW w:w="66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pPr>
            <w:r>
              <w:rPr/>
              <w:t> </w:t>
            </w:r>
          </w:p>
        </w:tc>
        <w:tc>
          <w:tcPr>
            <w:tcW w:w="66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right"/>
              <w:rPr/>
            </w:pPr>
            <w:r>
              <w:rPr/>
              <w:t> </w:t>
            </w:r>
          </w:p>
        </w:tc>
        <w:tc>
          <w:tcPr>
            <w:tcW w:w="57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4794"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5088"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33" w:type="dxa"/>
            <w:tcBorders/>
            <w:shd w:fill="FFFFFF" w:val="clear"/>
            <w:vAlign w:val="bottom"/>
          </w:tcPr>
          <w:p>
            <w:pPr>
              <w:pStyle w:val="TableContents"/>
              <w:spacing w:before="0" w:after="283"/>
              <w:jc w:val="center"/>
              <w:rPr/>
            </w:pPr>
            <w:r>
              <w:rPr/>
              <w:t xml:space="preserve">  </w:t>
            </w:r>
          </w:p>
        </w:tc>
      </w:tr>
      <w:tr>
        <w:trPr/>
        <w:tc>
          <w:tcPr>
            <w:tcW w:w="4794"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7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7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7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7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7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33" w:type="dxa"/>
            <w:tcBorders/>
            <w:shd w:fill="FFFFFF" w:val="clear"/>
            <w:vAlign w:val="bottom"/>
          </w:tcPr>
          <w:p>
            <w:pPr>
              <w:pStyle w:val="TableContents"/>
              <w:spacing w:before="0" w:after="283"/>
              <w:jc w:val="center"/>
              <w:rPr/>
            </w:pPr>
            <w:r>
              <w:rPr/>
              <w:t xml:space="preserve">  </w:t>
            </w:r>
          </w:p>
        </w:tc>
      </w:tr>
      <w:tr>
        <w:trPr/>
        <w:tc>
          <w:tcPr>
            <w:tcW w:w="4794" w:type="dxa"/>
            <w:tcBorders/>
            <w:shd w:fill="FFFFFF" w:val="clear"/>
            <w:vAlign w:val="center"/>
          </w:tcPr>
          <w:p>
            <w:pPr>
              <w:pStyle w:val="TableContents"/>
              <w:spacing w:before="0" w:after="283"/>
              <w:rPr/>
            </w:pPr>
            <w:r>
              <w:rPr/>
              <w:t xml:space="preserve">  </w:t>
            </w:r>
          </w:p>
        </w:tc>
        <w:tc>
          <w:tcPr>
            <w:tcW w:w="5411" w:type="dxa"/>
            <w:gridSpan w:val="20"/>
            <w:tcBorders/>
            <w:shd w:fill="FFFFFF" w:val="clear"/>
          </w:tcPr>
          <w:p>
            <w:pPr>
              <w:pStyle w:val="TableContents"/>
              <w:spacing w:before="0" w:after="283"/>
              <w:rPr>
                <w:sz w:val="4"/>
                <w:szCs w:val="4"/>
              </w:rPr>
            </w:pPr>
            <w:r>
              <w:rPr>
                <w:sz w:val="4"/>
                <w:szCs w:val="4"/>
              </w:rPr>
            </w:r>
          </w:p>
        </w:tc>
      </w:tr>
      <w:tr>
        <w:trPr/>
        <w:tc>
          <w:tcPr>
            <w:tcW w:w="4794" w:type="dxa"/>
            <w:tcBorders/>
            <w:shd w:fill="CCEEFF" w:val="clear"/>
            <w:vAlign w:val="bottom"/>
          </w:tcPr>
          <w:p>
            <w:pPr>
              <w:pStyle w:val="TableContents"/>
              <w:spacing w:before="0" w:after="0"/>
              <w:ind w:left="180" w:right="0" w:hanging="180"/>
              <w:jc w:val="left"/>
              <w:rPr>
                <w:sz w:val="15"/>
              </w:rPr>
            </w:pPr>
            <w:r>
              <w:rPr>
                <w:sz w:val="15"/>
              </w:rPr>
              <w:t xml:space="preserve">Facilities Segment: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579"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0"/>
              <w:ind w:left="180" w:right="0" w:hanging="180"/>
              <w:jc w:val="left"/>
              <w:rPr>
                <w:sz w:val="15"/>
              </w:rPr>
            </w:pPr>
            <w:r>
              <w:rPr>
                <w:sz w:val="15"/>
              </w:rPr>
              <w:t xml:space="preserve">Crude oil, refined products and LPG storage (average monthly capacity in millions of barrels)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20.7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16.8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14.8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12.0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579" w:type="dxa"/>
            <w:tcBorders/>
            <w:shd w:fill="FFFFFF" w:val="clear"/>
            <w:vAlign w:val="bottom"/>
          </w:tcPr>
          <w:p>
            <w:pPr>
              <w:pStyle w:val="TableContents"/>
              <w:spacing w:before="0" w:after="283"/>
              <w:jc w:val="right"/>
              <w:rPr/>
            </w:pPr>
            <w:r>
              <w:rPr/>
              <w:t xml:space="preserve">3.8 </w:t>
            </w:r>
          </w:p>
        </w:tc>
        <w:tc>
          <w:tcPr>
            <w:tcW w:w="133" w:type="dxa"/>
            <w:tcBorders/>
            <w:shd w:fill="FFFF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7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rPr/>
            </w:pPr>
            <w:r>
              <w:rPr/>
              <w:t xml:space="preserve">  </w:t>
            </w:r>
          </w:p>
        </w:tc>
      </w:tr>
      <w:tr>
        <w:trPr/>
        <w:tc>
          <w:tcPr>
            <w:tcW w:w="4794" w:type="dxa"/>
            <w:tcBorders/>
            <w:shd w:fill="CCEEFF" w:val="clear"/>
            <w:vAlign w:val="bottom"/>
          </w:tcPr>
          <w:p>
            <w:pPr>
              <w:pStyle w:val="TableContents"/>
              <w:spacing w:before="0" w:after="0"/>
              <w:ind w:left="180" w:right="0" w:hanging="180"/>
              <w:jc w:val="left"/>
              <w:rPr>
                <w:sz w:val="15"/>
              </w:rPr>
            </w:pPr>
            <w:r>
              <w:rPr>
                <w:sz w:val="15"/>
              </w:rPr>
              <w:t xml:space="preserve">Natural gas storage, net to our 50% interest (average monthly capacity in billions of cubic feet)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12.9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4.3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579"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0"/>
              <w:ind w:left="180" w:right="0" w:hanging="180"/>
              <w:jc w:val="left"/>
              <w:rPr>
                <w:sz w:val="15"/>
              </w:rPr>
            </w:pPr>
            <w:r>
              <w:rPr>
                <w:sz w:val="15"/>
              </w:rPr>
              <w:t xml:space="preserve">LPG processing (thousands of barrels per day)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12.2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579" w:type="dxa"/>
            <w:tcBorders/>
            <w:shd w:fill="FFFFFF" w:val="clear"/>
            <w:vAlign w:val="bottom"/>
          </w:tcPr>
          <w:p>
            <w:pPr>
              <w:pStyle w:val="TableContents"/>
              <w:spacing w:before="0" w:after="283"/>
              <w:jc w:val="right"/>
              <w:rPr/>
            </w:pPr>
            <w:r>
              <w:rPr/>
              <w:t xml:space="preserve"> </w:t>
            </w:r>
          </w:p>
        </w:tc>
        <w:tc>
          <w:tcPr>
            <w:tcW w:w="133" w:type="dxa"/>
            <w:tcBorders/>
            <w:shd w:fill="FFFFFF" w:val="clear"/>
            <w:vAlign w:val="bottom"/>
          </w:tcPr>
          <w:p>
            <w:pPr>
              <w:pStyle w:val="TableContents"/>
              <w:spacing w:before="0" w:after="283"/>
              <w:jc w:val="left"/>
              <w:rPr/>
            </w:pPr>
            <w:r>
              <w:rPr/>
              <w:t xml:space="preserve">  </w:t>
            </w:r>
          </w:p>
        </w:tc>
      </w:tr>
      <w:tr>
        <w:trPr/>
        <w:tc>
          <w:tcPr>
            <w:tcW w:w="4794" w:type="dxa"/>
            <w:tcBorders/>
            <w:shd w:fill="CCEEFF" w:val="clear"/>
            <w:vAlign w:val="bottom"/>
          </w:tcPr>
          <w:p>
            <w:pPr>
              <w:pStyle w:val="TableContents"/>
              <w:spacing w:before="0" w:after="0"/>
              <w:ind w:left="180" w:right="0" w:hanging="180"/>
              <w:jc w:val="left"/>
              <w:rPr>
                <w:sz w:val="15"/>
              </w:rPr>
            </w:pPr>
            <w:r>
              <w:rPr>
                <w:sz w:val="15"/>
              </w:rPr>
              <w:t xml:space="preserve">Total (average monthly capacity in millions of barrels)(8)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23.2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17.5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14.8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12.1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579" w:type="dxa"/>
            <w:tcBorders/>
            <w:shd w:fill="CCEEFF" w:val="clear"/>
            <w:vAlign w:val="bottom"/>
          </w:tcPr>
          <w:p>
            <w:pPr>
              <w:pStyle w:val="TableContents"/>
              <w:spacing w:before="0" w:after="283"/>
              <w:jc w:val="right"/>
              <w:rPr/>
            </w:pPr>
            <w:r>
              <w:rPr/>
              <w:t xml:space="preserve">3.9 </w:t>
            </w:r>
          </w:p>
        </w:tc>
        <w:tc>
          <w:tcPr>
            <w:tcW w:w="133" w:type="dxa"/>
            <w:tcBorders/>
            <w:shd w:fill="CCEE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0"/>
              <w:ind w:left="180" w:right="0" w:hanging="180"/>
              <w:jc w:val="left"/>
              <w:rPr>
                <w:sz w:val="15"/>
              </w:rPr>
            </w:pPr>
            <w:r>
              <w:rPr>
                <w:sz w:val="15"/>
              </w:rPr>
              <w:t xml:space="preserve">Marketing segment: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579" w:type="dxa"/>
            <w:tcBorders/>
            <w:shd w:fill="FFFFFF" w:val="clear"/>
            <w:vAlign w:val="bottom"/>
          </w:tcPr>
          <w:p>
            <w:pPr>
              <w:pStyle w:val="TableContents"/>
              <w:spacing w:before="0" w:after="283"/>
              <w:jc w:val="right"/>
              <w:rPr/>
            </w:pPr>
            <w:r>
              <w:rPr/>
              <w:t xml:space="preserve">  </w:t>
            </w:r>
          </w:p>
        </w:tc>
        <w:tc>
          <w:tcPr>
            <w:tcW w:w="133" w:type="dxa"/>
            <w:tcBorders/>
            <w:shd w:fill="FFFFFF" w:val="clear"/>
            <w:vAlign w:val="bottom"/>
          </w:tcPr>
          <w:p>
            <w:pPr>
              <w:pStyle w:val="TableContents"/>
              <w:spacing w:before="0" w:after="283"/>
              <w:jc w:val="left"/>
              <w:rPr/>
            </w:pPr>
            <w:r>
              <w:rPr/>
              <w:t xml:space="preserve">  </w:t>
            </w:r>
          </w:p>
        </w:tc>
      </w:tr>
      <w:tr>
        <w:trPr/>
        <w:tc>
          <w:tcPr>
            <w:tcW w:w="4794" w:type="dxa"/>
            <w:tcBorders/>
            <w:shd w:fill="CCEEFF" w:val="clear"/>
            <w:vAlign w:val="bottom"/>
          </w:tcPr>
          <w:p>
            <w:pPr>
              <w:pStyle w:val="TableContents"/>
              <w:spacing w:before="0" w:after="0"/>
              <w:ind w:left="380" w:right="0" w:hanging="200"/>
              <w:jc w:val="left"/>
              <w:rPr>
                <w:sz w:val="15"/>
              </w:rPr>
            </w:pPr>
            <w:r>
              <w:rPr>
                <w:sz w:val="15"/>
              </w:rPr>
              <w:t xml:space="preserve">Crude oil lease gathering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650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610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589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437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579" w:type="dxa"/>
            <w:tcBorders/>
            <w:shd w:fill="CCEEFF" w:val="clear"/>
            <w:vAlign w:val="bottom"/>
          </w:tcPr>
          <w:p>
            <w:pPr>
              <w:pStyle w:val="TableContents"/>
              <w:spacing w:before="0" w:after="283"/>
              <w:jc w:val="right"/>
              <w:rPr/>
            </w:pPr>
            <w:r>
              <w:rPr/>
              <w:t xml:space="preserve">410 </w:t>
            </w:r>
          </w:p>
        </w:tc>
        <w:tc>
          <w:tcPr>
            <w:tcW w:w="133" w:type="dxa"/>
            <w:tcBorders/>
            <w:shd w:fill="CCEE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0"/>
              <w:ind w:left="380" w:right="0" w:hanging="200"/>
              <w:jc w:val="left"/>
              <w:rPr>
                <w:sz w:val="15"/>
              </w:rPr>
            </w:pPr>
            <w:r>
              <w:rPr>
                <w:sz w:val="15"/>
              </w:rPr>
              <w:t xml:space="preserve">LPG sales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70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56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48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38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579" w:type="dxa"/>
            <w:tcBorders/>
            <w:shd w:fill="FFFFFF" w:val="clear"/>
            <w:vAlign w:val="bottom"/>
          </w:tcPr>
          <w:p>
            <w:pPr>
              <w:pStyle w:val="TableContents"/>
              <w:spacing w:before="0" w:after="283"/>
              <w:jc w:val="right"/>
              <w:rPr/>
            </w:pPr>
            <w:r>
              <w:rPr/>
              <w:t xml:space="preserve">35 </w:t>
            </w:r>
          </w:p>
        </w:tc>
        <w:tc>
          <w:tcPr>
            <w:tcW w:w="133" w:type="dxa"/>
            <w:tcBorders/>
            <w:shd w:fill="FFFFFF" w:val="clear"/>
            <w:vAlign w:val="bottom"/>
          </w:tcPr>
          <w:p>
            <w:pPr>
              <w:pStyle w:val="TableContents"/>
              <w:spacing w:before="0" w:after="283"/>
              <w:jc w:val="left"/>
              <w:rPr/>
            </w:pPr>
            <w:r>
              <w:rPr/>
              <w:t xml:space="preserve">  </w:t>
            </w:r>
          </w:p>
        </w:tc>
      </w:tr>
      <w:tr>
        <w:trPr/>
        <w:tc>
          <w:tcPr>
            <w:tcW w:w="4794" w:type="dxa"/>
            <w:tcBorders/>
            <w:shd w:fill="CCEEFF" w:val="clear"/>
            <w:vAlign w:val="bottom"/>
          </w:tcPr>
          <w:p>
            <w:pPr>
              <w:pStyle w:val="TableContents"/>
              <w:spacing w:before="0" w:after="0"/>
              <w:ind w:left="380" w:right="0" w:hanging="200"/>
              <w:jc w:val="left"/>
              <w:rPr>
                <w:sz w:val="15"/>
              </w:rPr>
            </w:pPr>
            <w:r>
              <w:rPr>
                <w:sz w:val="15"/>
              </w:rPr>
              <w:t xml:space="preserve">Waterborne foreign crude imported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63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59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12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665" w:type="dxa"/>
            <w:tcBorders/>
            <w:shd w:fill="CCEEFF" w:val="clear"/>
            <w:vAlign w:val="bottom"/>
          </w:tcPr>
          <w:p>
            <w:pPr>
              <w:pStyle w:val="TableContents"/>
              <w:spacing w:before="0" w:after="283"/>
              <w:jc w:val="right"/>
              <w:rPr/>
            </w:pPr>
            <w:r>
              <w:rPr/>
              <w:t xml:space="preserve">N/A </w:t>
            </w:r>
          </w:p>
        </w:tc>
        <w:tc>
          <w:tcPr>
            <w:tcW w:w="121" w:type="dxa"/>
            <w:tcBorders/>
            <w:shd w:fill="CCEEFF" w:val="clear"/>
            <w:vAlign w:val="bottom"/>
          </w:tcPr>
          <w:p>
            <w:pPr>
              <w:pStyle w:val="TableContents"/>
              <w:spacing w:before="0" w:after="283"/>
              <w:jc w:val="left"/>
              <w:rPr/>
            </w:pPr>
            <w:r>
              <w:rPr/>
              <w:t xml:space="preserve">  </w:t>
            </w:r>
          </w:p>
        </w:tc>
        <w:tc>
          <w:tcPr>
            <w:tcW w:w="190" w:type="dxa"/>
            <w:tcBorders/>
            <w:shd w:fill="CCEEFF" w:val="clear"/>
            <w:vAlign w:val="bottom"/>
          </w:tcPr>
          <w:p>
            <w:pPr>
              <w:pStyle w:val="TableContents"/>
              <w:spacing w:before="0" w:after="283"/>
              <w:rPr/>
            </w:pPr>
            <w:r>
              <w:rPr/>
              <w:t xml:space="preserve">  </w:t>
            </w:r>
          </w:p>
        </w:tc>
        <w:tc>
          <w:tcPr>
            <w:tcW w:w="121" w:type="dxa"/>
            <w:tcBorders/>
            <w:shd w:fill="CCEEFF" w:val="clear"/>
            <w:vAlign w:val="bottom"/>
          </w:tcPr>
          <w:p>
            <w:pPr>
              <w:pStyle w:val="TableContents"/>
              <w:spacing w:before="0" w:after="283"/>
              <w:jc w:val="left"/>
              <w:rPr/>
            </w:pPr>
            <w:r>
              <w:rPr/>
              <w:t xml:space="preserve">  </w:t>
            </w:r>
          </w:p>
        </w:tc>
        <w:tc>
          <w:tcPr>
            <w:tcW w:w="579" w:type="dxa"/>
            <w:tcBorders/>
            <w:shd w:fill="CCEEFF" w:val="clear"/>
            <w:vAlign w:val="bottom"/>
          </w:tcPr>
          <w:p>
            <w:pPr>
              <w:pStyle w:val="TableContents"/>
              <w:spacing w:before="0" w:after="283"/>
              <w:jc w:val="right"/>
              <w:rPr/>
            </w:pPr>
            <w:r>
              <w:rPr/>
              <w:t xml:space="preserve">N/A </w:t>
            </w:r>
          </w:p>
        </w:tc>
        <w:tc>
          <w:tcPr>
            <w:tcW w:w="133" w:type="dxa"/>
            <w:tcBorders/>
            <w:shd w:fill="CCEE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rPr/>
            </w:pPr>
            <w:r>
              <w:rPr/>
              <w:t xml:space="preserve">  </w:t>
            </w:r>
          </w:p>
        </w:tc>
      </w:tr>
      <w:tr>
        <w:trPr/>
        <w:tc>
          <w:tcPr>
            <w:tcW w:w="4794" w:type="dxa"/>
            <w:tcBorders/>
            <w:shd w:fill="FFFFFF" w:val="clear"/>
            <w:vAlign w:val="bottom"/>
          </w:tcPr>
          <w:p>
            <w:pPr>
              <w:pStyle w:val="TableContents"/>
              <w:spacing w:before="0" w:after="0"/>
              <w:ind w:left="560" w:right="0" w:hanging="180"/>
              <w:jc w:val="left"/>
              <w:rPr>
                <w:sz w:val="15"/>
              </w:rPr>
            </w:pPr>
            <w:r>
              <w:rPr>
                <w:sz w:val="15"/>
              </w:rPr>
              <w:t xml:space="preserve">Total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783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725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649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665" w:type="dxa"/>
            <w:tcBorders/>
            <w:shd w:fill="FFFFFF" w:val="clear"/>
            <w:vAlign w:val="bottom"/>
          </w:tcPr>
          <w:p>
            <w:pPr>
              <w:pStyle w:val="TableContents"/>
              <w:spacing w:before="0" w:after="283"/>
              <w:jc w:val="right"/>
              <w:rPr/>
            </w:pPr>
            <w:r>
              <w:rPr/>
              <w:t xml:space="preserve">475 </w:t>
            </w:r>
          </w:p>
        </w:tc>
        <w:tc>
          <w:tcPr>
            <w:tcW w:w="121"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xml:space="preserve">  </w:t>
            </w:r>
          </w:p>
        </w:tc>
        <w:tc>
          <w:tcPr>
            <w:tcW w:w="579" w:type="dxa"/>
            <w:tcBorders/>
            <w:shd w:fill="FFFFFF" w:val="clear"/>
            <w:vAlign w:val="bottom"/>
          </w:tcPr>
          <w:p>
            <w:pPr>
              <w:pStyle w:val="TableContents"/>
              <w:spacing w:before="0" w:after="283"/>
              <w:jc w:val="right"/>
              <w:rPr/>
            </w:pPr>
            <w:r>
              <w:rPr/>
              <w:t xml:space="preserve">445 </w:t>
            </w:r>
          </w:p>
        </w:tc>
        <w:tc>
          <w:tcPr>
            <w:tcW w:w="133" w:type="dxa"/>
            <w:tcBorders/>
            <w:shd w:fill="FFFFFF" w:val="clear"/>
            <w:vAlign w:val="bottom"/>
          </w:tcPr>
          <w:p>
            <w:pPr>
              <w:pStyle w:val="TableContents"/>
              <w:spacing w:before="0" w:after="283"/>
              <w:jc w:val="left"/>
              <w:rPr/>
            </w:pPr>
            <w:r>
              <w:rPr/>
              <w:t xml:space="preserve">  </w:t>
            </w:r>
          </w:p>
        </w:tc>
      </w:tr>
      <w:tr>
        <w:trPr/>
        <w:tc>
          <w:tcPr>
            <w:tcW w:w="4794"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90" w:type="dxa"/>
            <w:tcBorders/>
            <w:shd w:fill="FFFFFF" w:val="clear"/>
            <w:vAlign w:val="bottom"/>
          </w:tcPr>
          <w:p>
            <w:pPr>
              <w:pStyle w:val="TableContents"/>
              <w:spacing w:before="0" w:after="283"/>
              <w:rPr/>
            </w:pPr>
            <w:r>
              <w:rPr/>
              <w:t xml:space="preserve">  </w:t>
            </w:r>
          </w:p>
        </w:tc>
        <w:tc>
          <w:tcPr>
            <w:tcW w:w="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7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Includes buy/sell transactions for all periods prior to the second quarter of 2006. See Note 2 to our Consolidated Financial Statements.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Income from continuing operations before cumulative effect of change in accounting principle pro forma for the impact of the January 1, 2006 change in our method of accounting for unit-based payment transactions would have been $224.1 million, $136.3 million, $65.7 million, and $71.6 million for 2005, 2004, 2003 and 2002, respectively. In addition, basic net income per limited partner unit before cumulative effect of change in accounting principle would have been $2.81 ($2.76 diluted), $1.98 ($1.98 diluted), $1.13 ($1.12 diluted) and $1.47 ($1.47 diluted) for 2005, 2004, 2003 and 2002, respectively. Income from continuing operations before cumulative effect of change in accounting principle pro forma for the impact of the January 1, 2004 change in our method of accounting for pipeline linefill in third-party assets would have been $61.4 million and $64.8 million for 2003 and 2002, respectively. In addition, basic net income per limited partner unit before cumulative effect of change in accounting principle would have been $1.05 ($1.04 diluted) and $1.33 ($1.33 diluted) for 2003 and 2002, respectively.</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Includes current maturities of long-term debt of $9.0 million at December 31, 2002 classified as long-term because of our ability and intent to refinance these amounts under our long-term revolving credit facilities.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 conjunction with the change in accounting principle we adopted as of January 1, 2004, we have reclassified cash flows for 2003 and prior years associated with purchases and sales of linefill on assets that we own as cash flows from investing activities instead of the historical classification as cash flows from operating activities.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Distributions represent those declared and paid in the applicable year.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(6)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Our general partner is entitled to receive 2% proportional distributions and also incentive distributions if the amount we distribute with respect to any quarter exceeds levels specified in our partnership agreement. See Note 5 to our Consolidated Financial Statements.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(7)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Volumes associated with acquisitions represent total volumes transported for the number of days we actually owned the assets divided by the number of days in the year.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(8)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Calculated as the sum of: (i) crude oil, refined products and LPG storage capacity; (ii) natural gas storage capacity divided by 6 to account for the 6:1 mcf of gas to crude oil barrel ratio; and (iii) LPG processing volumes multiplied by the number of days in the month and divided by 1,000 to convert to monthly volumes in millions.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59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bookmarkStart w:id="12" w:name="110"/>
      <w:bookmarkEnd w:id="12"/>
      <w:r>
        <w:rPr/>
        <w:t> </w:t>
      </w:r>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7.  </w:t>
            </w:r>
            <w:r>
              <w:rPr/>
              <w:t xml:space="preserve"> </w:t>
            </w:r>
          </w:p>
        </w:tc>
        <w:tc>
          <w:tcPr>
            <w:tcW w:w="9390" w:type="dxa"/>
            <w:tcBorders/>
            <w:shd w:fill="FFFFFF" w:val="clear"/>
          </w:tcPr>
          <w:p>
            <w:pPr>
              <w:pStyle w:val="TableContents"/>
              <w:spacing w:before="0" w:after="283"/>
              <w:rPr/>
            </w:pPr>
            <w:r>
              <w:rPr>
                <w:rFonts w:ascii="Times New Roman;Times" w:hAnsi="Times New Roman;Times"/>
                <w:b/>
                <w:i/>
              </w:rPr>
              <w:t>Managements Discussion and Analysis of Financial Condition and Results of Operations</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Introduction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discussion is intended to provide investors with an understanding of our financial condition and results of our operations and should be read in conjunction with our historical consolidated financial statements and accompanying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discussion and analysis includes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9"/>
        <w:gridCol w:w="9534"/>
      </w:tblGrid>
      <w:tr>
        <w:trPr/>
        <w:tc>
          <w:tcPr>
            <w:tcW w:w="40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Executive Summary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Acquisitions and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Critical Accounting Policies and Estimates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Recent Accounting Pronouncements and Change in Accounting Principle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Results of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Outlook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Liquidity and Capital Resources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Off-Balance Sheet Arrangements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Executive Summary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Company Overview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the transportation, storage, terminalling and marketing of crude oil, refined products and liquefied petroleum gas and other natural gas related petroleum products (liquefied petroleum gas and other natural gas related petroleum products are collectively referred to as LPG). In addition, through our 50% equity ownership in PAA/Vulcan, we develop and operate natural gas storage facilities. We were formed in September 1998, and our operations are conducted directly and indirectly through our operating subsidiaries.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the fourth quarter of 2006, we managed our operations through two segments. Due to our growth, especially in the facilities portion of our business (most notably in conjunction with the Pacific acquisition), we have revised the manner in which we internally evaluate our segment performance and decide how to allocate resources to our segments. As a result, we now manage our operations through three operating segments: (i) Transportation, (ii) Facilities, and (iii) Marketing. Our transportation segment operations generally consist of fee-based activities associated with transporting crude oil and refined products on pipelines and gathering systems. We generate revenue through a combination of tariffs, third-party leases of pipeline capacity, transportation fees, barrel exchanges and buy/sell arrangements.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Our marketing segment operations generally consist of merchant activities associated primarily with the purchase and sale of crude oil and LPG. Our marketing activities are designed to produce a stable baseline of results in a variety of market conditions, while at the same time providing upside exposure to opportunities inherent in volatile market conditions. These activities utilize storage facilities at major interchange and terminalling locations and various hedging strategies to reduce the negative impact of market volatility and provide counter-cyclical balance.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Overview of Operating Results, Capital Spending and Significant Activities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we recognized net income of $285.1 million and earnings per diluted limited partner unit of $2.88, compared to net income of $217.8 million and earnings per diluted limited partner unit of $2.72 during 2005.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Both 2006 and 2005 were substantial increases over 2004. Net income was $130.0 million and earnings per diluted limited partner unit was $1.89 for 2004. Key items impacting 2006 include: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u w:val="single"/>
        </w:rPr>
        <w:t>Balance Sheet and Capital Structure</w:t>
      </w:r>
      <w:r>
        <w:rPr>
          <w:rFonts w:ascii="Arial;Helvetica" w:hAnsi="Arial;Helvetica"/>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9"/>
        <w:gridCol w:w="9533"/>
      </w:tblGrid>
      <w:tr>
        <w:trPr/>
        <w:tc>
          <w:tcPr>
            <w:tcW w:w="40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completion of the Pacific acquisition for approximately $2.5 billion (including the equity issuance and assumption of debt discussed below), and six other acquisitions for aggregate consideration of approximately $565 million.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issuance of 22 million limited partner units (valued at $1.0 billion) in exchange for Pacific limited partner units as part of the Pacific acquisition and the sale of 13.4 million limited partner units for net proceeds of approximately $621 million.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assumption of $433 million of senior notes as part of the Pacific acquisition and the issuance of $1,250 million of Senior Notes for net proceeds of approximately $1,243 million.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Capital expenditures (excluding acquisitions and maintenance capital) of $332 million.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Limited partner distributions of $224.9 million ($2.87 per limited partner unit) and General Partner distributions of $37.7 million paid during 2006.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u w:val="single"/>
        </w:rPr>
        <w:t>Income Statement</w:t>
      </w:r>
      <w:r>
        <w:rPr>
          <w:rFonts w:ascii="Arial;Helvetica" w:hAnsi="Arial;Helvetica"/>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4"/>
        <w:gridCol w:w="262"/>
        <w:gridCol w:w="9549"/>
      </w:tblGrid>
      <w:tr>
        <w:trPr/>
        <w:tc>
          <w:tcPr>
            <w:tcW w:w="39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9" w:type="dxa"/>
            <w:tcBorders/>
            <w:shd w:fill="auto" w:val="clear"/>
            <w:vAlign w:val="cente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Favorable execution of our risk management strategies in our marketing segment in a pronounced contango market with a high level of overall crude oil volatility.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Increased volumes and related tariff revenues on our pipeline systems.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An increase in field operating costs and general and administrative expenses primarily associated with continued growth from acquisitions as well as internal growth projects and an increase of $17 million in 2006 related to our Long-Term Incentive Plans. See  Critical Accounting Policies and Estimates  Critical Accounting Estimates  Long-Term Incentive Plan Accruals.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A charge of approximately $4 million in 2006 resulting from the mark-to-market of open derivative instruments pursuant to SFAS 133.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9" w:type="dxa"/>
            <w:tcBorders/>
            <w:shd w:fill="FFFFFF" w:val="clear"/>
          </w:tcPr>
          <w:p>
            <w:pPr>
              <w:pStyle w:val="TableContents"/>
              <w:spacing w:before="0" w:after="283"/>
              <w:jc w:val="left"/>
              <w:rPr/>
            </w:pPr>
            <w:r>
              <w:rPr/>
              <w:t xml:space="preserve">A gain of approximately $6 million resulting from the reduction of our obligation for outstanding LTIP awards, which was recorded as a cumulative effect of change in accounting principle pursuant to the adoption of SFAS No. 123(R) (revised 2004), Share-Based Payment.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Prospects for the Future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Access to storage tankage by our marketing segment provides a counter-cyclical balance that has a stabilizing effect on our operations and cash flow associated with this segment. The strategic use of our terminalling and storage assets in conjunction with our gathering and marketing operations generally provides us with the flexibility to maintain a base level of margin irrespective of crude oil market conditions and, in certain circumstances, to realize incremental margin during volatile market conditions.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we strengthened our business by expanding our asset base through approximately $3 billion of acquisitions and $332 million of internal growth projects. In 2007, we intend to spend approximately $500 million on internal growth projects and also to continue to develop our inventory of projects for implementation beyond 2007. Several of the larger storage tank projects for 2007, such as the construction or expansion of the Patoka, Cushing and St. James terminals, are well positioned to benefit from the importation of waterborne foreign crude oil into the Gulf Coast as well as the importation of Canadian crude oil. We also believe there are opportunities for us to grow our LPG business. In addition, our 2005 entry into the natural gas storage business and our 2006 entries into the refined products transportation and storage business and the barge transportation business are consistent with our stated strategy of leveraging our assets, business model, knowledge and expertise into businesses that are complementary to our existing activities. We will continue to look for ways to grow these businesses and continue to evaluate opportunities in other complementary midstream business activities. Specifically, we intend to apply our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business model to the refined products business by establishing and growing a marketing and distribution business to complement our strategically located assets. We believe we have access to equity and debt capital and that we are well situated to optimize our position in and around our existing assets and to expand our asset base by continuing to consolidate, rationalize and optimize the North American midstream infrastructure.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we believe that we are well situated in the North American midstream infrastructure, we face various operational, regulatory and financial challenges that may impact our ability to execute our strategy as planned. In addition, we operate in a mature industry and believe that acquisitions will play an important role in our potential growth. We will continue to pursue the purchase of midstream assets, and we will also continue to initiate expansion projects designed to optimize product flows in the areas in which we operate. However, we can give no assurance that our current or future acquisition or expansion efforts will be successful. See Item 1A. Risk Factors  Risks Related to Our Business. </w:t>
      </w:r>
    </w:p>
    <w:p>
      <w:pPr>
        <w:pStyle w:val="TextBody"/>
        <w:spacing w:before="240" w:after="283"/>
        <w:rPr/>
      </w:pPr>
      <w:r>
        <w:rPr/>
        <w:t> </w:t>
      </w:r>
    </w:p>
    <w:p>
      <w:pPr>
        <w:pStyle w:val="TextBody"/>
        <w:spacing w:before="0" w:after="0"/>
        <w:jc w:val="left"/>
        <w:rPr>
          <w:rFonts w:ascii="Times New Roman;Times" w:hAnsi="Times New Roman;Times"/>
          <w:b/>
          <w:color w:val="000000"/>
          <w:sz w:val="17"/>
          <w:highlight w:val="white"/>
        </w:rPr>
      </w:pPr>
      <w:r>
        <w:rPr>
          <w:rFonts w:ascii="Times New Roman;Times" w:hAnsi="Times New Roman;Times"/>
          <w:b/>
          <w:color w:val="000000"/>
          <w:sz w:val="17"/>
          <w:highlight w:val="white"/>
        </w:rPr>
        <w:t xml:space="preserve">Acquisitions and Internal Growth Projects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completed a number of acquisitions and capital expansion projects in 2006, 2005 and 2004 that have impacted our results of operations and enabled us to enhance our liquidity, as discussed herein. The following table summarizes our capital expenditures for acquisitions (including equity investments), capital expansion (internal growth projects) and maintenance capital for the periods indicated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133"/>
        <w:gridCol w:w="181"/>
        <w:gridCol w:w="202"/>
        <w:gridCol w:w="950"/>
        <w:gridCol w:w="149"/>
        <w:gridCol w:w="251"/>
        <w:gridCol w:w="202"/>
        <w:gridCol w:w="690"/>
        <w:gridCol w:w="149"/>
        <w:gridCol w:w="251"/>
        <w:gridCol w:w="202"/>
        <w:gridCol w:w="690"/>
        <w:gridCol w:w="155"/>
      </w:tblGrid>
      <w:tr>
        <w:trPr/>
        <w:tc>
          <w:tcPr>
            <w:tcW w:w="6133"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950"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25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90"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25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9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6133"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3736"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6133"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15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251" w:type="dxa"/>
            <w:tcBorders/>
            <w:shd w:fill="FFFFFF" w:val="clear"/>
            <w:vAlign w:val="bottom"/>
          </w:tcPr>
          <w:p>
            <w:pPr>
              <w:pStyle w:val="TableContents"/>
              <w:spacing w:before="0" w:after="283"/>
              <w:jc w:val="center"/>
              <w:rPr/>
            </w:pPr>
            <w:r>
              <w:rPr/>
              <w:t xml:space="preserve">  </w:t>
            </w:r>
          </w:p>
        </w:tc>
        <w:tc>
          <w:tcPr>
            <w:tcW w:w="89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251" w:type="dxa"/>
            <w:tcBorders/>
            <w:shd w:fill="FFFFFF" w:val="clear"/>
            <w:vAlign w:val="bottom"/>
          </w:tcPr>
          <w:p>
            <w:pPr>
              <w:pStyle w:val="TableContents"/>
              <w:spacing w:before="0" w:after="283"/>
              <w:jc w:val="center"/>
              <w:rPr/>
            </w:pPr>
            <w:r>
              <w:rPr/>
              <w:t xml:space="preserve">  </w:t>
            </w:r>
          </w:p>
        </w:tc>
        <w:tc>
          <w:tcPr>
            <w:tcW w:w="89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6133" w:type="dxa"/>
            <w:tcBorders/>
            <w:shd w:fill="FFFFFF" w:val="clear"/>
            <w:vAlign w:val="center"/>
          </w:tcPr>
          <w:p>
            <w:pPr>
              <w:pStyle w:val="TableContents"/>
              <w:spacing w:before="0" w:after="283"/>
              <w:rPr/>
            </w:pPr>
            <w:r>
              <w:rPr/>
              <w:t xml:space="preserve">  </w:t>
            </w:r>
          </w:p>
        </w:tc>
        <w:tc>
          <w:tcPr>
            <w:tcW w:w="4072" w:type="dxa"/>
            <w:gridSpan w:val="12"/>
            <w:tcBorders/>
            <w:shd w:fill="FFFFFF" w:val="clear"/>
          </w:tcPr>
          <w:p>
            <w:pPr>
              <w:pStyle w:val="TableContents"/>
              <w:spacing w:before="0" w:after="283"/>
              <w:rPr>
                <w:sz w:val="4"/>
                <w:szCs w:val="4"/>
              </w:rPr>
            </w:pPr>
            <w:r>
              <w:rPr>
                <w:sz w:val="4"/>
                <w:szCs w:val="4"/>
              </w:rPr>
            </w:r>
          </w:p>
        </w:tc>
      </w:tr>
      <w:tr>
        <w:trPr/>
        <w:tc>
          <w:tcPr>
            <w:tcW w:w="6133" w:type="dxa"/>
            <w:tcBorders/>
            <w:shd w:fill="CCEEFF" w:val="clear"/>
            <w:vAlign w:val="bottom"/>
          </w:tcPr>
          <w:p>
            <w:pPr>
              <w:pStyle w:val="TableContents"/>
              <w:spacing w:before="0" w:after="0"/>
              <w:ind w:left="200" w:right="0" w:hanging="200"/>
              <w:jc w:val="left"/>
              <w:rPr>
                <w:sz w:val="17"/>
              </w:rPr>
            </w:pPr>
            <w:r>
              <w:rPr>
                <w:sz w:val="17"/>
              </w:rPr>
              <w:t xml:space="preserve">Acquisition capital(1) </w:t>
            </w:r>
          </w:p>
        </w:tc>
        <w:tc>
          <w:tcPr>
            <w:tcW w:w="18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50" w:type="dxa"/>
            <w:tcBorders/>
            <w:shd w:fill="CCEEFF" w:val="clear"/>
            <w:vAlign w:val="bottom"/>
          </w:tcPr>
          <w:p>
            <w:pPr>
              <w:pStyle w:val="TableContents"/>
              <w:spacing w:before="0" w:after="283"/>
              <w:jc w:val="right"/>
              <w:rPr/>
            </w:pPr>
            <w:r>
              <w:rPr/>
              <w:t xml:space="preserve">3,021.1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40.3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563.9 </w:t>
            </w:r>
          </w:p>
        </w:tc>
        <w:tc>
          <w:tcPr>
            <w:tcW w:w="155" w:type="dxa"/>
            <w:tcBorders/>
            <w:shd w:fill="CCEEFF" w:val="clear"/>
            <w:vAlign w:val="bottom"/>
          </w:tcPr>
          <w:p>
            <w:pPr>
              <w:pStyle w:val="TableContents"/>
              <w:spacing w:before="0" w:after="283"/>
              <w:jc w:val="left"/>
              <w:rPr/>
            </w:pPr>
            <w:r>
              <w:rPr/>
              <w:t xml:space="preserve">  </w:t>
            </w:r>
          </w:p>
        </w:tc>
      </w:tr>
      <w:tr>
        <w:trPr/>
        <w:tc>
          <w:tcPr>
            <w:tcW w:w="6133" w:type="dxa"/>
            <w:tcBorders/>
            <w:shd w:fill="FFFFFF" w:val="clear"/>
            <w:vAlign w:val="bottom"/>
          </w:tcPr>
          <w:p>
            <w:pPr>
              <w:pStyle w:val="TableContents"/>
              <w:spacing w:before="0" w:after="0"/>
              <w:ind w:left="200" w:right="0" w:hanging="200"/>
              <w:jc w:val="left"/>
              <w:rPr>
                <w:sz w:val="17"/>
              </w:rPr>
            </w:pPr>
            <w:r>
              <w:rPr>
                <w:sz w:val="17"/>
              </w:rPr>
              <w:t xml:space="preserve">Investment in PAA/Vulcan Gas Storage, LLC </w:t>
            </w:r>
          </w:p>
        </w:tc>
        <w:tc>
          <w:tcPr>
            <w:tcW w:w="18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50" w:type="dxa"/>
            <w:tcBorders/>
            <w:shd w:fill="FFFFFF" w:val="clear"/>
            <w:vAlign w:val="bottom"/>
          </w:tcPr>
          <w:p>
            <w:pPr>
              <w:pStyle w:val="TableContents"/>
              <w:spacing w:before="0" w:after="283"/>
              <w:jc w:val="right"/>
              <w:rPr/>
            </w:pPr>
            <w:r>
              <w:rPr/>
              <w:t xml:space="preserve">10.0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112.5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6133" w:type="dxa"/>
            <w:tcBorders/>
            <w:shd w:fill="CCEEFF" w:val="clear"/>
            <w:vAlign w:val="bottom"/>
          </w:tcPr>
          <w:p>
            <w:pPr>
              <w:pStyle w:val="TableContents"/>
              <w:spacing w:before="0" w:after="0"/>
              <w:ind w:left="200" w:right="0" w:hanging="200"/>
              <w:jc w:val="left"/>
              <w:rPr>
                <w:sz w:val="17"/>
              </w:rPr>
            </w:pPr>
            <w:r>
              <w:rPr>
                <w:sz w:val="17"/>
              </w:rPr>
              <w:t xml:space="preserve">Investment in Settoon Towing </w:t>
            </w:r>
          </w:p>
        </w:tc>
        <w:tc>
          <w:tcPr>
            <w:tcW w:w="18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50" w:type="dxa"/>
            <w:tcBorders/>
            <w:shd w:fill="CCEEFF" w:val="clear"/>
            <w:vAlign w:val="bottom"/>
          </w:tcPr>
          <w:p>
            <w:pPr>
              <w:pStyle w:val="TableContents"/>
              <w:spacing w:before="0" w:after="283"/>
              <w:jc w:val="right"/>
              <w:rPr/>
            </w:pPr>
            <w:r>
              <w:rPr/>
              <w:t xml:space="preserve">33.6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6133" w:type="dxa"/>
            <w:tcBorders/>
            <w:shd w:fill="FFFFFF" w:val="clear"/>
            <w:vAlign w:val="bottom"/>
          </w:tcPr>
          <w:p>
            <w:pPr>
              <w:pStyle w:val="TableContents"/>
              <w:spacing w:before="0" w:after="0"/>
              <w:ind w:left="200" w:right="0" w:hanging="200"/>
              <w:jc w:val="left"/>
              <w:rPr>
                <w:sz w:val="17"/>
              </w:rPr>
            </w:pPr>
            <w:r>
              <w:rPr>
                <w:sz w:val="17"/>
              </w:rPr>
              <w:t xml:space="preserve">Internal growth projects </w:t>
            </w:r>
          </w:p>
        </w:tc>
        <w:tc>
          <w:tcPr>
            <w:tcW w:w="18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50" w:type="dxa"/>
            <w:tcBorders/>
            <w:shd w:fill="FFFFFF" w:val="clear"/>
            <w:vAlign w:val="bottom"/>
          </w:tcPr>
          <w:p>
            <w:pPr>
              <w:pStyle w:val="TableContents"/>
              <w:spacing w:before="0" w:after="283"/>
              <w:jc w:val="right"/>
              <w:rPr/>
            </w:pPr>
            <w:r>
              <w:rPr/>
              <w:t xml:space="preserve">332.0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148.8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117.3 </w:t>
            </w:r>
          </w:p>
        </w:tc>
        <w:tc>
          <w:tcPr>
            <w:tcW w:w="155" w:type="dxa"/>
            <w:tcBorders/>
            <w:shd w:fill="FFFFFF" w:val="clear"/>
            <w:vAlign w:val="bottom"/>
          </w:tcPr>
          <w:p>
            <w:pPr>
              <w:pStyle w:val="TableContents"/>
              <w:spacing w:before="0" w:after="283"/>
              <w:jc w:val="left"/>
              <w:rPr/>
            </w:pPr>
            <w:r>
              <w:rPr/>
              <w:t xml:space="preserve">  </w:t>
            </w:r>
          </w:p>
        </w:tc>
      </w:tr>
      <w:tr>
        <w:trPr/>
        <w:tc>
          <w:tcPr>
            <w:tcW w:w="6133"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18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50" w:type="dxa"/>
            <w:tcBorders/>
            <w:shd w:fill="CCEEFF" w:val="clear"/>
            <w:vAlign w:val="bottom"/>
          </w:tcPr>
          <w:p>
            <w:pPr>
              <w:pStyle w:val="TableContents"/>
              <w:spacing w:before="0" w:after="283"/>
              <w:jc w:val="right"/>
              <w:rPr/>
            </w:pPr>
            <w:r>
              <w:rPr/>
              <w:t xml:space="preserve">28.2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14.0 </w:t>
            </w:r>
          </w:p>
        </w:tc>
        <w:tc>
          <w:tcPr>
            <w:tcW w:w="149"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11.3 </w:t>
            </w:r>
          </w:p>
        </w:tc>
        <w:tc>
          <w:tcPr>
            <w:tcW w:w="155" w:type="dxa"/>
            <w:tcBorders/>
            <w:shd w:fill="CCEEFF" w:val="clear"/>
            <w:vAlign w:val="bottom"/>
          </w:tcPr>
          <w:p>
            <w:pPr>
              <w:pStyle w:val="TableContents"/>
              <w:spacing w:before="0" w:after="283"/>
              <w:jc w:val="left"/>
              <w:rPr/>
            </w:pPr>
            <w:r>
              <w:rPr/>
              <w:t xml:space="preserve">  </w:t>
            </w:r>
          </w:p>
        </w:tc>
      </w:tr>
      <w:tr>
        <w:trPr/>
        <w:tc>
          <w:tcPr>
            <w:tcW w:w="6133"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6133"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50" w:type="dxa"/>
            <w:tcBorders/>
            <w:shd w:fill="FFFFFF" w:val="clear"/>
            <w:vAlign w:val="bottom"/>
          </w:tcPr>
          <w:p>
            <w:pPr>
              <w:pStyle w:val="TableContents"/>
              <w:spacing w:before="0" w:after="283"/>
              <w:jc w:val="right"/>
              <w:rPr/>
            </w:pPr>
            <w:r>
              <w:rPr/>
              <w:t xml:space="preserve">3,424.9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315.6 </w:t>
            </w:r>
          </w:p>
        </w:tc>
        <w:tc>
          <w:tcPr>
            <w:tcW w:w="149"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692.5 </w:t>
            </w:r>
          </w:p>
        </w:tc>
        <w:tc>
          <w:tcPr>
            <w:tcW w:w="155" w:type="dxa"/>
            <w:tcBorders/>
            <w:shd w:fill="FFFFFF" w:val="clear"/>
            <w:vAlign w:val="bottom"/>
          </w:tcPr>
          <w:p>
            <w:pPr>
              <w:pStyle w:val="TableContents"/>
              <w:spacing w:before="0" w:after="283"/>
              <w:jc w:val="left"/>
              <w:rPr/>
            </w:pPr>
            <w:r>
              <w:rPr/>
              <w:t xml:space="preserve">  </w:t>
            </w:r>
          </w:p>
        </w:tc>
      </w:tr>
      <w:tr>
        <w:trPr/>
        <w:tc>
          <w:tcPr>
            <w:tcW w:w="6133"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Acquisition capital includes deposits in the year the acquisition closed, rather than the year the deposit was paid. Deposits paid were approximately $12 million for the Shell Gulf Coast Pipeline Systems acquisition in 2004.</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Internal Growth Projects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capital expansion opportunities originating from prior acquisitions, we increased our annual level of spending on these projects by 123% in 2006 compared to 2005. The following table summarizes our 2006 and 2005 projects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613"/>
        <w:gridCol w:w="197"/>
        <w:gridCol w:w="202"/>
        <w:gridCol w:w="701"/>
        <w:gridCol w:w="153"/>
        <w:gridCol w:w="277"/>
        <w:gridCol w:w="202"/>
        <w:gridCol w:w="701"/>
        <w:gridCol w:w="159"/>
      </w:tblGrid>
      <w:tr>
        <w:trPr/>
        <w:tc>
          <w:tcPr>
            <w:tcW w:w="7613"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701"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277"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701"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r>
      <w:tr>
        <w:trPr/>
        <w:tc>
          <w:tcPr>
            <w:tcW w:w="7613" w:type="dxa"/>
            <w:tcBorders/>
            <w:shd w:fill="FFFFFF" w:val="clear"/>
            <w:vAlign w:val="bottom"/>
          </w:tcPr>
          <w:p>
            <w:pPr>
              <w:pStyle w:val="TableContents"/>
              <w:spacing w:before="0" w:after="0"/>
              <w:jc w:val="left"/>
              <w:rPr>
                <w:bdr w:val="single" w:sz="2" w:space="1" w:color="000000"/>
              </w:rPr>
            </w:pPr>
            <w:r>
              <w:rPr>
                <w:b/>
                <w:bdr w:val="single" w:sz="2" w:space="1" w:color="000000"/>
              </w:rPr>
              <w:t>Projects</w:t>
            </w:r>
            <w:r>
              <w:rPr>
                <w:bdr w:val="single" w:sz="2" w:space="1" w:color="000000"/>
              </w:rPr>
              <w:t xml:space="preserve"> </w:t>
            </w:r>
          </w:p>
        </w:tc>
        <w:tc>
          <w:tcPr>
            <w:tcW w:w="197" w:type="dxa"/>
            <w:tcBorders/>
            <w:shd w:fill="FFFFFF" w:val="clear"/>
            <w:vAlign w:val="bottom"/>
          </w:tcPr>
          <w:p>
            <w:pPr>
              <w:pStyle w:val="TableContents"/>
              <w:spacing w:before="0" w:after="283"/>
              <w:jc w:val="center"/>
              <w:rPr/>
            </w:pPr>
            <w:r>
              <w:rPr/>
              <w:t xml:space="preserve">  </w:t>
            </w:r>
          </w:p>
        </w:tc>
        <w:tc>
          <w:tcPr>
            <w:tcW w:w="90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277" w:type="dxa"/>
            <w:tcBorders/>
            <w:shd w:fill="FFFFFF" w:val="clear"/>
            <w:vAlign w:val="bottom"/>
          </w:tcPr>
          <w:p>
            <w:pPr>
              <w:pStyle w:val="TableContents"/>
              <w:spacing w:before="0" w:after="283"/>
              <w:jc w:val="center"/>
              <w:rPr/>
            </w:pPr>
            <w:r>
              <w:rPr/>
              <w:t xml:space="preserve">  </w:t>
            </w:r>
          </w:p>
        </w:tc>
        <w:tc>
          <w:tcPr>
            <w:tcW w:w="90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9" w:type="dxa"/>
            <w:tcBorders/>
            <w:shd w:fill="FFFFFF" w:val="clear"/>
            <w:vAlign w:val="bottom"/>
          </w:tcPr>
          <w:p>
            <w:pPr>
              <w:pStyle w:val="TableContents"/>
              <w:spacing w:before="0" w:after="283"/>
              <w:jc w:val="center"/>
              <w:rPr/>
            </w:pPr>
            <w:r>
              <w:rPr/>
              <w:t xml:space="preserve">  </w:t>
            </w:r>
          </w:p>
        </w:tc>
      </w:tr>
      <w:tr>
        <w:trPr/>
        <w:tc>
          <w:tcPr>
            <w:tcW w:w="7613" w:type="dxa"/>
            <w:tcBorders/>
            <w:shd w:fill="FFFFFF" w:val="clear"/>
            <w:vAlign w:val="center"/>
          </w:tcPr>
          <w:p>
            <w:pPr>
              <w:pStyle w:val="TableContents"/>
              <w:spacing w:before="0" w:after="283"/>
              <w:rPr/>
            </w:pPr>
            <w:r>
              <w:rPr/>
              <w:t xml:space="preserve">  </w:t>
            </w:r>
          </w:p>
        </w:tc>
        <w:tc>
          <w:tcPr>
            <w:tcW w:w="2592" w:type="dxa"/>
            <w:gridSpan w:val="8"/>
            <w:tcBorders/>
            <w:shd w:fill="FFFFFF" w:val="clear"/>
          </w:tcPr>
          <w:p>
            <w:pPr>
              <w:pStyle w:val="TableContents"/>
              <w:spacing w:before="0" w:after="283"/>
              <w:rPr>
                <w:sz w:val="4"/>
                <w:szCs w:val="4"/>
              </w:rPr>
            </w:pPr>
            <w:r>
              <w:rPr>
                <w:sz w:val="4"/>
                <w:szCs w:val="4"/>
              </w:rPr>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St. James, Louisiana storage facility  Phase I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69.9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15.2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St. James, Louisiana storage facility  Phase II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12.9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Trenton pipeline expansion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12.3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31.8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Kerrobert tankage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28.5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4.3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East Texas/Louisiana tankage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12.0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Spraberry System expansion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15.4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Cushing Phase IV and V expansions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1.1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11.2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Cushing Tankage  Phase VI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10.1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Cushing to Broome pipeline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8.2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Northwest Alberta fractionator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2.2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15.6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Link acquisition asset upgrades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9.3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High Prairie rail terminals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9.1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Midale/Regina truck terminal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12.7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Truck trailers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9.9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Wichita Falls tankage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7.8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Basin connection  Oklahoma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6.9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Mobile/Ten Mile tankage and metering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4.0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0"/>
              <w:ind w:left="200" w:right="0" w:hanging="200"/>
              <w:jc w:val="left"/>
              <w:rPr>
                <w:sz w:val="17"/>
              </w:rPr>
            </w:pPr>
            <w:r>
              <w:rPr>
                <w:sz w:val="17"/>
              </w:rPr>
              <w:t xml:space="preserve">Cheyenne Pipeline Construction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10.3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CCEEFF" w:val="clear"/>
            <w:vAlign w:val="bottom"/>
          </w:tcPr>
          <w:p>
            <w:pPr>
              <w:pStyle w:val="TableContents"/>
              <w:spacing w:before="0" w:after="0"/>
              <w:ind w:left="200" w:right="0" w:hanging="200"/>
              <w:jc w:val="left"/>
              <w:rPr>
                <w:sz w:val="17"/>
              </w:rPr>
            </w:pPr>
            <w:r>
              <w:rPr>
                <w:sz w:val="17"/>
              </w:rPr>
              <w:t xml:space="preserve">Other Projects </w:t>
            </w:r>
          </w:p>
        </w:tc>
        <w:tc>
          <w:tcPr>
            <w:tcW w:w="1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106.9 </w:t>
            </w:r>
          </w:p>
        </w:tc>
        <w:tc>
          <w:tcPr>
            <w:tcW w:w="153"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701" w:type="dxa"/>
            <w:tcBorders/>
            <w:shd w:fill="CCEEFF" w:val="clear"/>
            <w:vAlign w:val="bottom"/>
          </w:tcPr>
          <w:p>
            <w:pPr>
              <w:pStyle w:val="TableContents"/>
              <w:spacing w:before="0" w:after="283"/>
              <w:jc w:val="right"/>
              <w:rPr/>
            </w:pPr>
            <w:r>
              <w:rPr/>
              <w:t xml:space="preserve">53.2 </w:t>
            </w:r>
          </w:p>
        </w:tc>
        <w:tc>
          <w:tcPr>
            <w:tcW w:w="159" w:type="dxa"/>
            <w:tcBorders/>
            <w:shd w:fill="CCEE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r>
      <w:tr>
        <w:trPr/>
        <w:tc>
          <w:tcPr>
            <w:tcW w:w="7613"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332.0 </w:t>
            </w:r>
          </w:p>
        </w:tc>
        <w:tc>
          <w:tcPr>
            <w:tcW w:w="153"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701" w:type="dxa"/>
            <w:tcBorders/>
            <w:shd w:fill="FFFFFF" w:val="clear"/>
            <w:vAlign w:val="bottom"/>
          </w:tcPr>
          <w:p>
            <w:pPr>
              <w:pStyle w:val="TableContents"/>
              <w:spacing w:before="0" w:after="283"/>
              <w:jc w:val="right"/>
              <w:rPr/>
            </w:pPr>
            <w:r>
              <w:rPr/>
              <w:t xml:space="preserve">148.8 </w:t>
            </w:r>
          </w:p>
        </w:tc>
        <w:tc>
          <w:tcPr>
            <w:tcW w:w="159" w:type="dxa"/>
            <w:tcBorders/>
            <w:shd w:fill="FFFFFF" w:val="clear"/>
            <w:vAlign w:val="bottom"/>
          </w:tcPr>
          <w:p>
            <w:pPr>
              <w:pStyle w:val="TableContents"/>
              <w:spacing w:before="0" w:after="283"/>
              <w:jc w:val="left"/>
              <w:rPr/>
            </w:pPr>
            <w:r>
              <w:rPr/>
              <w:t xml:space="preserve">  </w:t>
            </w:r>
          </w:p>
        </w:tc>
      </w:tr>
      <w:tr>
        <w:trPr/>
        <w:tc>
          <w:tcPr>
            <w:tcW w:w="7613" w:type="dxa"/>
            <w:tcBorders/>
            <w:shd w:fill="FFFFFF" w:val="clear"/>
            <w:vAlign w:val="bottom"/>
          </w:tcPr>
          <w:p>
            <w:pPr>
              <w:pStyle w:val="TableContents"/>
              <w:spacing w:before="0" w:after="283"/>
              <w:rPr/>
            </w:pPr>
            <w:r>
              <w:rPr/>
              <w:t xml:space="preserve">  </w:t>
            </w:r>
          </w:p>
        </w:tc>
        <w:tc>
          <w:tcPr>
            <w:tcW w:w="19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2006 projects included the construction and expansion of pipeline systems and crude oil storage and terminal facilities (notably Cushing and St. James). We expect internal growth capital projects to expand further in 2007. See  Liquidity and Capital Resources  Capital Expenditures and Distributions Paid to Unitholders and General Partners  2007 Capital Expansion Projects.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Acquisitions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Acquisitions are financed using a combination of equity and debt, including borrowings under our credit facilities and the issuance of senior notes. The businesses acquired impacted our results of operations commencing on the effective date of each acquisition as indicated in the table below. Our ongoing acquisitions and capital expansion activities are discussed further in  Liquidity and Capital Resources. See Note 3 to our Consolidated Financial Statements for additional information about our acquisition activities.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2006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2006, we completed several acquisitions for aggregate consideration of approximately $3.0 billion. The Pacific merger was material to our operations. See Note 3 to our Consolidated Financial Statements. The following table summarizes the acquisitions that were completed in 2006, and a description of our material acquisitions follows the table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858"/>
        <w:gridCol w:w="163"/>
        <w:gridCol w:w="1272"/>
        <w:gridCol w:w="223"/>
        <w:gridCol w:w="235"/>
        <w:gridCol w:w="1120"/>
        <w:gridCol w:w="149"/>
        <w:gridCol w:w="223"/>
        <w:gridCol w:w="2962"/>
      </w:tblGrid>
      <w:tr>
        <w:trPr/>
        <w:tc>
          <w:tcPr>
            <w:tcW w:w="3858"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1272"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jc w:val="right"/>
              <w:rPr/>
            </w:pPr>
            <w:r>
              <w:rPr/>
              <w:t> </w:t>
            </w:r>
          </w:p>
        </w:tc>
        <w:tc>
          <w:tcPr>
            <w:tcW w:w="1120"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223" w:type="dxa"/>
            <w:tcBorders/>
            <w:shd w:fill="FFFFFF" w:val="clear"/>
            <w:vAlign w:val="bottom"/>
          </w:tcPr>
          <w:p>
            <w:pPr>
              <w:pStyle w:val="TableContents"/>
              <w:spacing w:before="0" w:after="283"/>
              <w:rPr/>
            </w:pPr>
            <w:r>
              <w:rPr/>
              <w:t> </w:t>
            </w:r>
          </w:p>
        </w:tc>
        <w:tc>
          <w:tcPr>
            <w:tcW w:w="2962" w:type="dxa"/>
            <w:tcBorders/>
            <w:shd w:fill="FFFFFF" w:val="clear"/>
            <w:vAlign w:val="bottom"/>
          </w:tcPr>
          <w:p>
            <w:pPr>
              <w:pStyle w:val="TableContents"/>
              <w:spacing w:before="0" w:after="283"/>
              <w:rPr/>
            </w:pPr>
            <w:r>
              <w:rPr/>
              <w:t> </w:t>
            </w:r>
          </w:p>
        </w:tc>
      </w:tr>
      <w:tr>
        <w:trPr/>
        <w:tc>
          <w:tcPr>
            <w:tcW w:w="3858" w:type="dxa"/>
            <w:tcBorders/>
            <w:shd w:fill="FFFFFF" w:val="clear"/>
            <w:vAlign w:val="bottom"/>
          </w:tcPr>
          <w:p>
            <w:pPr>
              <w:pStyle w:val="TableContents"/>
              <w:spacing w:before="0" w:after="283"/>
              <w:jc w:val="left"/>
              <w:rPr/>
            </w:pP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1272" w:type="dxa"/>
            <w:tcBorders/>
            <w:shd w:fill="FFFFFF" w:val="clear"/>
            <w:vAlign w:val="bottom"/>
          </w:tcPr>
          <w:p>
            <w:pPr>
              <w:pStyle w:val="TableContents"/>
              <w:spacing w:before="0" w:after="283"/>
              <w:jc w:val="center"/>
              <w:rPr>
                <w:b/>
              </w:rPr>
            </w:pPr>
            <w:r>
              <w:rPr>
                <w:b/>
              </w:rPr>
              <w:t>Effective</w:t>
            </w:r>
          </w:p>
        </w:tc>
        <w:tc>
          <w:tcPr>
            <w:tcW w:w="223" w:type="dxa"/>
            <w:tcBorders/>
            <w:shd w:fill="FFFFFF" w:val="clear"/>
            <w:vAlign w:val="bottom"/>
          </w:tcPr>
          <w:p>
            <w:pPr>
              <w:pStyle w:val="TableContents"/>
              <w:spacing w:before="0" w:after="283"/>
              <w:jc w:val="center"/>
              <w:rPr/>
            </w:pPr>
            <w:r>
              <w:rPr/>
              <w:t xml:space="preserve">  </w:t>
            </w:r>
          </w:p>
        </w:tc>
        <w:tc>
          <w:tcPr>
            <w:tcW w:w="1355" w:type="dxa"/>
            <w:gridSpan w:val="2"/>
            <w:tcBorders/>
            <w:shd w:fill="FFFFFF" w:val="clear"/>
            <w:vAlign w:val="bottom"/>
          </w:tcPr>
          <w:p>
            <w:pPr>
              <w:pStyle w:val="TableContents"/>
              <w:spacing w:before="0" w:after="283"/>
              <w:jc w:val="center"/>
              <w:rPr>
                <w:b/>
              </w:rPr>
            </w:pPr>
            <w:r>
              <w:rPr>
                <w:b/>
              </w:rPr>
              <w:t>Acquisition</w:t>
            </w:r>
          </w:p>
        </w:tc>
        <w:tc>
          <w:tcPr>
            <w:tcW w:w="149" w:type="dxa"/>
            <w:tcBorders/>
            <w:shd w:fill="FFFFFF" w:val="clear"/>
            <w:vAlign w:val="bottom"/>
          </w:tcPr>
          <w:p>
            <w:pPr>
              <w:pStyle w:val="TableContents"/>
              <w:spacing w:before="0" w:after="283"/>
              <w:jc w:val="center"/>
              <w:rPr/>
            </w:pPr>
            <w:r>
              <w:rPr/>
              <w:t xml:space="preserve">  </w:t>
            </w:r>
          </w:p>
        </w:tc>
        <w:tc>
          <w:tcPr>
            <w:tcW w:w="223" w:type="dxa"/>
            <w:tcBorders/>
            <w:shd w:fill="FFFFFF" w:val="clear"/>
            <w:vAlign w:val="bottom"/>
          </w:tcPr>
          <w:p>
            <w:pPr>
              <w:pStyle w:val="TableContents"/>
              <w:spacing w:before="0" w:after="283"/>
              <w:jc w:val="center"/>
              <w:rPr/>
            </w:pPr>
            <w:r>
              <w:rPr/>
              <w:t xml:space="preserve">  </w:t>
            </w:r>
          </w:p>
        </w:tc>
        <w:tc>
          <w:tcPr>
            <w:tcW w:w="2962" w:type="dxa"/>
            <w:tcBorders/>
            <w:shd w:fill="FFFFFF" w:val="clear"/>
            <w:vAlign w:val="bottom"/>
          </w:tcPr>
          <w:p>
            <w:pPr>
              <w:pStyle w:val="TableContents"/>
              <w:spacing w:before="0" w:after="283"/>
              <w:jc w:val="center"/>
              <w:rPr/>
            </w:pPr>
            <w:r>
              <w:rPr/>
              <w:t xml:space="preserve">  </w:t>
            </w:r>
          </w:p>
        </w:tc>
      </w:tr>
      <w:tr>
        <w:trPr/>
        <w:tc>
          <w:tcPr>
            <w:tcW w:w="3858" w:type="dxa"/>
            <w:tcBorders/>
            <w:shd w:fill="FFFFFF" w:val="clear"/>
            <w:vAlign w:val="bottom"/>
          </w:tcPr>
          <w:p>
            <w:pPr>
              <w:pStyle w:val="TableContents"/>
              <w:spacing w:before="0" w:after="0"/>
              <w:jc w:val="left"/>
              <w:rPr>
                <w:bdr w:val="single" w:sz="2" w:space="1" w:color="000000"/>
              </w:rPr>
            </w:pPr>
            <w:r>
              <w:rPr>
                <w:b/>
                <w:bdr w:val="single" w:sz="2" w:space="1" w:color="000000"/>
              </w:rPr>
              <w:t>Acquisition</w:t>
            </w:r>
            <w:r>
              <w:rPr>
                <w:bdr w:val="single" w:sz="2" w:space="1" w:color="000000"/>
              </w:rPr>
              <w:t xml:space="preserve"> </w:t>
            </w:r>
          </w:p>
        </w:tc>
        <w:tc>
          <w:tcPr>
            <w:tcW w:w="163" w:type="dxa"/>
            <w:tcBorders/>
            <w:shd w:fill="FFFFFF" w:val="clear"/>
            <w:vAlign w:val="bottom"/>
          </w:tcPr>
          <w:p>
            <w:pPr>
              <w:pStyle w:val="TableContents"/>
              <w:spacing w:before="0" w:after="283"/>
              <w:jc w:val="center"/>
              <w:rPr/>
            </w:pPr>
            <w:r>
              <w:rPr/>
              <w:t xml:space="preserve">  </w:t>
            </w:r>
          </w:p>
        </w:tc>
        <w:tc>
          <w:tcPr>
            <w:tcW w:w="1272" w:type="dxa"/>
            <w:tcBorders>
              <w:bottom w:val="single" w:sz="2" w:space="0" w:color="000000"/>
            </w:tcBorders>
            <w:shd w:fill="FFFFFF" w:val="clear"/>
            <w:tcMar>
              <w:bottom w:w="28" w:type="dxa"/>
            </w:tcMar>
            <w:vAlign w:val="bottom"/>
          </w:tcPr>
          <w:p>
            <w:pPr>
              <w:pStyle w:val="TableContents"/>
              <w:spacing w:before="0" w:after="283"/>
              <w:jc w:val="center"/>
              <w:rPr/>
            </w:pPr>
            <w:r>
              <w:rPr>
                <w:b/>
              </w:rPr>
              <w:t>Date</w:t>
            </w:r>
            <w:r>
              <w:rPr/>
              <w:t xml:space="preserve"> </w:t>
            </w:r>
          </w:p>
        </w:tc>
        <w:tc>
          <w:tcPr>
            <w:tcW w:w="223" w:type="dxa"/>
            <w:tcBorders/>
            <w:shd w:fill="FFFFFF" w:val="clear"/>
            <w:vAlign w:val="bottom"/>
          </w:tcPr>
          <w:p>
            <w:pPr>
              <w:pStyle w:val="TableContents"/>
              <w:spacing w:before="0" w:after="283"/>
              <w:jc w:val="center"/>
              <w:rPr/>
            </w:pPr>
            <w:r>
              <w:rPr/>
              <w:t xml:space="preserve">  </w:t>
            </w:r>
          </w:p>
        </w:tc>
        <w:tc>
          <w:tcPr>
            <w:tcW w:w="13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Price</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223" w:type="dxa"/>
            <w:tcBorders/>
            <w:shd w:fill="FFFFFF" w:val="clear"/>
            <w:vAlign w:val="bottom"/>
          </w:tcPr>
          <w:p>
            <w:pPr>
              <w:pStyle w:val="TableContents"/>
              <w:spacing w:before="0" w:after="283"/>
              <w:jc w:val="center"/>
              <w:rPr/>
            </w:pPr>
            <w:r>
              <w:rPr/>
              <w:t xml:space="preserve">  </w:t>
            </w:r>
          </w:p>
        </w:tc>
        <w:tc>
          <w:tcPr>
            <w:tcW w:w="2962" w:type="dxa"/>
            <w:tcBorders>
              <w:bottom w:val="single" w:sz="2" w:space="0" w:color="000000"/>
            </w:tcBorders>
            <w:shd w:fill="FFFFFF" w:val="clear"/>
            <w:tcMar>
              <w:bottom w:w="28" w:type="dxa"/>
            </w:tcMar>
            <w:vAlign w:val="bottom"/>
          </w:tcPr>
          <w:p>
            <w:pPr>
              <w:pStyle w:val="TableContents"/>
              <w:spacing w:before="0" w:after="283"/>
              <w:jc w:val="center"/>
              <w:rPr/>
            </w:pPr>
            <w:r>
              <w:rPr>
                <w:b/>
              </w:rPr>
              <w:t>Operating Segment</w:t>
            </w:r>
            <w:r>
              <w:rPr/>
              <w:t xml:space="preserve"> </w:t>
            </w:r>
          </w:p>
        </w:tc>
      </w:tr>
      <w:tr>
        <w:trPr/>
        <w:tc>
          <w:tcPr>
            <w:tcW w:w="3858" w:type="dxa"/>
            <w:tcBorders/>
            <w:shd w:fill="FFFFFF" w:val="clear"/>
            <w:vAlign w:val="center"/>
          </w:tcPr>
          <w:p>
            <w:pPr>
              <w:pStyle w:val="TableContents"/>
              <w:spacing w:before="0" w:after="283"/>
              <w:rPr/>
            </w:pPr>
            <w:r>
              <w:rPr/>
              <w:t xml:space="preserve">  </w:t>
            </w:r>
          </w:p>
        </w:tc>
        <w:tc>
          <w:tcPr>
            <w:tcW w:w="6347" w:type="dxa"/>
            <w:gridSpan w:val="8"/>
            <w:tcBorders/>
            <w:shd w:fill="FFFFFF" w:val="clear"/>
          </w:tcPr>
          <w:p>
            <w:pPr>
              <w:pStyle w:val="TableContents"/>
              <w:spacing w:before="0" w:after="283"/>
              <w:rPr>
                <w:sz w:val="4"/>
                <w:szCs w:val="4"/>
              </w:rPr>
            </w:pPr>
            <w:r>
              <w:rPr>
                <w:sz w:val="4"/>
                <w:szCs w:val="4"/>
              </w:rPr>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Pacific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11/15/2006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2,455.7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Transportation, Facilities,</w:t>
              <w:br/>
              <w:t xml:space="preserve">Marketing </w:t>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Andrews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4/18/2006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220.1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Transportation</w:t>
              <w:br/>
              <w:t xml:space="preserve">Facilities, Marketing </w:t>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SemCrude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5/1/2006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129.4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 xml:space="preserve">Marketing </w:t>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BOA/CAM/HIPS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7/31/2006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130.2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 xml:space="preserve">Transportation </w:t>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Products Pipeline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9/1/2006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65.6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 xml:space="preserve">Transportation </w:t>
            </w:r>
          </w:p>
        </w:tc>
      </w:tr>
      <w:tr>
        <w:trPr/>
        <w:tc>
          <w:tcPr>
            <w:tcW w:w="3858" w:type="dxa"/>
            <w:tcBorders/>
            <w:shd w:fill="FFFFFF" w:val="clear"/>
            <w:vAlign w:val="bottom"/>
          </w:tcPr>
          <w:p>
            <w:pPr>
              <w:pStyle w:val="TableContents"/>
              <w:spacing w:before="0" w:after="0"/>
              <w:ind w:left="200" w:right="0" w:hanging="200"/>
              <w:jc w:val="left"/>
              <w:rPr>
                <w:sz w:val="17"/>
              </w:rPr>
            </w:pPr>
            <w:r>
              <w:rPr>
                <w:sz w:val="17"/>
              </w:rPr>
              <w:t xml:space="preserve">Other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sz w:val="17"/>
              </w:rPr>
            </w:pPr>
            <w:r>
              <w:rPr>
                <w:sz w:val="17"/>
              </w:rPr>
              <w:t xml:space="preserve">various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20.1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sz w:val="17"/>
              </w:rPr>
            </w:pPr>
            <w:r>
              <w:rPr>
                <w:sz w:val="17"/>
              </w:rPr>
              <w:t>Transportation, Facilities,</w:t>
              <w:br/>
              <w:t xml:space="preserve">Marketing </w:t>
            </w:r>
          </w:p>
        </w:tc>
      </w:tr>
      <w:tr>
        <w:trPr/>
        <w:tc>
          <w:tcPr>
            <w:tcW w:w="3858" w:type="dxa"/>
            <w:tcBorders/>
            <w:shd w:fill="FFFFFF" w:val="cle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rPr/>
            </w:pPr>
            <w:r>
              <w:rPr/>
              <w:t xml:space="preserve">  </w:t>
            </w:r>
          </w:p>
        </w:tc>
        <w:tc>
          <w:tcPr>
            <w:tcW w:w="2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rPr/>
            </w:pPr>
            <w:r>
              <w:rPr/>
              <w:t xml:space="preserve">  </w:t>
            </w:r>
          </w:p>
        </w:tc>
      </w:tr>
      <w:tr>
        <w:trPr/>
        <w:tc>
          <w:tcPr>
            <w:tcW w:w="3858"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jc w:val="right"/>
              <w:rPr/>
            </w:pPr>
            <w:r>
              <w:rPr/>
              <w:t xml:space="preserve">  </w:t>
            </w:r>
          </w:p>
        </w:tc>
        <w:tc>
          <w:tcPr>
            <w:tcW w:w="223"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20" w:type="dxa"/>
            <w:tcBorders/>
            <w:shd w:fill="FFFFFF" w:val="clear"/>
            <w:vAlign w:val="bottom"/>
          </w:tcPr>
          <w:p>
            <w:pPr>
              <w:pStyle w:val="TableContents"/>
              <w:spacing w:before="0" w:after="283"/>
              <w:jc w:val="right"/>
              <w:rPr/>
            </w:pPr>
            <w:r>
              <w:rPr/>
              <w:t xml:space="preserve">3,021.1 </w:t>
            </w:r>
          </w:p>
        </w:tc>
        <w:tc>
          <w:tcPr>
            <w:tcW w:w="149" w:type="dxa"/>
            <w:tcBorders/>
            <w:shd w:fill="FFFFFF" w:val="clear"/>
            <w:vAlign w:val="bottom"/>
          </w:tcPr>
          <w:p>
            <w:pPr>
              <w:pStyle w:val="TableContents"/>
              <w:spacing w:before="0" w:after="283"/>
              <w:jc w:val="left"/>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jc w:val="center"/>
              <w:rPr/>
            </w:pPr>
            <w:r>
              <w:rPr/>
              <w:t xml:space="preserve">  </w:t>
            </w:r>
          </w:p>
        </w:tc>
      </w:tr>
      <w:tr>
        <w:trPr/>
        <w:tc>
          <w:tcPr>
            <w:tcW w:w="3858" w:type="dxa"/>
            <w:tcBorders/>
            <w:shd w:fill="FFFFFF" w:val="cle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1272"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rPr/>
            </w:pPr>
            <w:r>
              <w:rPr/>
              <w:t xml:space="preserve">  </w:t>
            </w:r>
          </w:p>
        </w:tc>
        <w:tc>
          <w:tcPr>
            <w:tcW w:w="2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23" w:type="dxa"/>
            <w:tcBorders/>
            <w:shd w:fill="FFFFFF" w:val="clear"/>
            <w:vAlign w:val="bottom"/>
          </w:tcPr>
          <w:p>
            <w:pPr>
              <w:pStyle w:val="TableContents"/>
              <w:spacing w:before="0" w:after="283"/>
              <w:rPr/>
            </w:pPr>
            <w:r>
              <w:rPr/>
              <w:t xml:space="preserve">  </w:t>
            </w:r>
          </w:p>
        </w:tc>
        <w:tc>
          <w:tcPr>
            <w:tcW w:w="2962"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Pacific.</w:t>
      </w:r>
      <w:r>
        <w:rPr>
          <w:rFonts w:ascii="Times New Roman;Times" w:hAnsi="Times New Roman;Times"/>
          <w:color w:val="000000"/>
          <w:sz w:val="17"/>
          <w:highlight w:val="white"/>
        </w:rPr>
        <w:t xml:space="preserve">  On November 15, 2006 we completed our acquisition of Pacific pursuant to an Agreement and Plan of Merger dated June 11, 2006. The merger-related transactions included: (i) the acquisition from LB Pacific of the general partner interest and incentive distribution rights of Pacific as well as approximately 5.2 million Pacific common units and approximately 5.2 million Pacific subordinated units for a total of $700 million and (ii) the acquisition of the balance of Pacifics equity through a unit-for-unit exchange in which each Pacific unitholder (other than LB Pacific) received 0.77 newly issued common units of the Partnership for each Pacific common unit. The total value of the transaction was approximately $2.5 billion, including the assumption of debt and estimated transaction costs. Upon completion of the merger-related transactions, the general partner and limited partner ownership interests in Pacific were extinguished and Pacific was merged with and into the Partnership. The assets acquired in the Pacific acquisition included approximately 4,500 miles of active crude oil pipeline and gathering systems and 550 miles of refined products pipelines, over 13 million barrels of active crude oil storage capacity and 9 million barrels of refined products storage capacity, a fleet of approximately 75 owned or leased trucks and approximately 1.9 million barrels of crude oil and refined products linefill and working inventory. The Pacific assets complement our existing asset base in California, the Rocky Mountains and Canada, with minimal asset overlap but attractive potential vertical integration opportunities. The results of operations and assets and liabilities from the Pacific acquisition have been included in our consolidated financial statements since November 15, 2006. The purchase price allocation related to the Pacific acquisition is preliminary and subject to change. See Note 3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 price was allocated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40"/>
        <w:gridCol w:w="216"/>
        <w:gridCol w:w="200"/>
        <w:gridCol w:w="988"/>
        <w:gridCol w:w="161"/>
      </w:tblGrid>
      <w:tr>
        <w:trPr/>
        <w:tc>
          <w:tcPr>
            <w:tcW w:w="864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8"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640" w:type="dxa"/>
            <w:tcBorders/>
            <w:shd w:fill="CCEEFF" w:val="clear"/>
            <w:vAlign w:val="bottom"/>
          </w:tcPr>
          <w:p>
            <w:pPr>
              <w:pStyle w:val="TableContents"/>
              <w:spacing w:before="0" w:after="0"/>
              <w:ind w:left="200" w:right="0" w:hanging="200"/>
              <w:jc w:val="left"/>
              <w:rPr>
                <w:sz w:val="17"/>
              </w:rPr>
            </w:pPr>
            <w:r>
              <w:rPr>
                <w:sz w:val="17"/>
              </w:rPr>
              <w:t xml:space="preserve">Cash payment to LB Pacific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700.0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0"/>
              <w:ind w:left="200" w:right="0" w:hanging="200"/>
              <w:jc w:val="left"/>
              <w:rPr>
                <w:sz w:val="17"/>
              </w:rPr>
            </w:pPr>
            <w:r>
              <w:rPr>
                <w:sz w:val="17"/>
              </w:rPr>
              <w:t xml:space="preserve">Value of Plains common units issued in exchange for Pacific common units </w:t>
            </w:r>
          </w:p>
        </w:tc>
        <w:tc>
          <w:tcPr>
            <w:tcW w:w="21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8" w:type="dxa"/>
            <w:tcBorders/>
            <w:shd w:fill="FFFFFF" w:val="clear"/>
            <w:vAlign w:val="bottom"/>
          </w:tcPr>
          <w:p>
            <w:pPr>
              <w:pStyle w:val="TableContents"/>
              <w:spacing w:before="0" w:after="283"/>
              <w:jc w:val="right"/>
              <w:rPr/>
            </w:pPr>
            <w:r>
              <w:rPr/>
              <w:t xml:space="preserve">1,001.6 </w:t>
            </w:r>
          </w:p>
        </w:tc>
        <w:tc>
          <w:tcPr>
            <w:tcW w:w="161" w:type="dxa"/>
            <w:tcBorders/>
            <w:shd w:fill="FFFFFF" w:val="clear"/>
            <w:vAlign w:val="bottom"/>
          </w:tcPr>
          <w:p>
            <w:pPr>
              <w:pStyle w:val="TableContents"/>
              <w:spacing w:before="0" w:after="283"/>
              <w:jc w:val="left"/>
              <w:rPr/>
            </w:pPr>
            <w:r>
              <w:rPr/>
              <w:t xml:space="preserve">  </w:t>
            </w:r>
          </w:p>
        </w:tc>
      </w:tr>
      <w:tr>
        <w:trPr/>
        <w:tc>
          <w:tcPr>
            <w:tcW w:w="8640" w:type="dxa"/>
            <w:tcBorders/>
            <w:shd w:fill="CCEEFF" w:val="clear"/>
            <w:vAlign w:val="bottom"/>
          </w:tcPr>
          <w:p>
            <w:pPr>
              <w:pStyle w:val="TableContents"/>
              <w:spacing w:before="0" w:after="0"/>
              <w:ind w:left="200" w:right="0" w:hanging="200"/>
              <w:jc w:val="left"/>
              <w:rPr>
                <w:sz w:val="17"/>
              </w:rPr>
            </w:pPr>
            <w:r>
              <w:rPr>
                <w:sz w:val="17"/>
              </w:rPr>
              <w:t xml:space="preserve">Assumption of Pacific debt (at fair value)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723.8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0"/>
              <w:ind w:left="200" w:right="0" w:hanging="200"/>
              <w:jc w:val="left"/>
              <w:rPr>
                <w:sz w:val="17"/>
              </w:rPr>
            </w:pPr>
            <w:r>
              <w:rPr>
                <w:sz w:val="17"/>
              </w:rPr>
              <w:t xml:space="preserve">Estimated transaction costs(1) </w:t>
            </w:r>
          </w:p>
        </w:tc>
        <w:tc>
          <w:tcPr>
            <w:tcW w:w="21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8" w:type="dxa"/>
            <w:tcBorders/>
            <w:shd w:fill="FFFFFF" w:val="clear"/>
            <w:vAlign w:val="bottom"/>
          </w:tcPr>
          <w:p>
            <w:pPr>
              <w:pStyle w:val="TableContents"/>
              <w:spacing w:before="0" w:after="283"/>
              <w:jc w:val="right"/>
              <w:rPr/>
            </w:pPr>
            <w:r>
              <w:rPr/>
              <w:t xml:space="preserve">30.3 </w:t>
            </w:r>
          </w:p>
        </w:tc>
        <w:tc>
          <w:tcPr>
            <w:tcW w:w="161" w:type="dxa"/>
            <w:tcBorders/>
            <w:shd w:fill="FFFF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40" w:type="dxa"/>
            <w:tcBorders/>
            <w:shd w:fill="CCEEFF" w:val="clear"/>
            <w:vAlign w:val="bottom"/>
          </w:tcPr>
          <w:p>
            <w:pPr>
              <w:pStyle w:val="TableContents"/>
              <w:spacing w:before="0" w:after="0"/>
              <w:ind w:left="400" w:right="0" w:hanging="200"/>
              <w:jc w:val="left"/>
              <w:rPr>
                <w:sz w:val="17"/>
              </w:rPr>
            </w:pPr>
            <w:r>
              <w:rPr>
                <w:sz w:val="17"/>
              </w:rPr>
              <w:t xml:space="preserve">Total purchase price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2,455.7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investment banking fees, costs associated with a severance plan in conjunction with the acquisition and various other direct acquisition costs.</w:t>
            </w:r>
          </w:p>
        </w:tc>
      </w:tr>
    </w:tbl>
    <w:p>
      <w:pPr>
        <w:pStyle w:val="TextBody"/>
        <w:spacing w:before="12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8626"/>
        <w:gridCol w:w="211"/>
        <w:gridCol w:w="206"/>
        <w:gridCol w:w="1001"/>
        <w:gridCol w:w="161"/>
      </w:tblGrid>
      <w:tr>
        <w:trPr/>
        <w:tc>
          <w:tcPr>
            <w:tcW w:w="8626"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pPr>
            <w:r>
              <w:rPr/>
              <w:t> </w:t>
            </w:r>
          </w:p>
        </w:tc>
        <w:tc>
          <w:tcPr>
            <w:tcW w:w="1001"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62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1"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1001" w:type="dxa"/>
            <w:tcBorders/>
            <w:shd w:fill="FFFFFF" w:val="cle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26" w:type="dxa"/>
            <w:tcBorders/>
            <w:shd w:fill="FFFFFF" w:val="clear"/>
            <w:vAlign w:val="bottom"/>
          </w:tcPr>
          <w:p>
            <w:pPr>
              <w:pStyle w:val="TableContents"/>
              <w:spacing w:before="0" w:after="0"/>
              <w:ind w:left="200" w:right="0" w:hanging="200"/>
              <w:jc w:val="left"/>
              <w:rPr/>
            </w:pPr>
            <w:r>
              <w:rPr>
                <w:b/>
                <w:sz w:val="17"/>
              </w:rPr>
              <w:t>Purchase Price Allocation</w:t>
            </w:r>
            <w:r>
              <w:rPr/>
              <w:t xml:space="preserve">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1" w:type="dxa"/>
            <w:tcBorders/>
            <w:shd w:fill="FFFFFF" w:val="clear"/>
            <w:vAlign w:val="bottom"/>
          </w:tcPr>
          <w:p>
            <w:pPr>
              <w:pStyle w:val="TableContents"/>
              <w:spacing w:before="0" w:after="283"/>
              <w:jc w:val="right"/>
              <w:rPr/>
            </w:pPr>
            <w:r>
              <w:rPr/>
              <w:t xml:space="preserve">  </w:t>
            </w:r>
          </w:p>
        </w:tc>
        <w:tc>
          <w:tcPr>
            <w:tcW w:w="161" w:type="dxa"/>
            <w:tcBorders/>
            <w:shd w:fill="FFFFFF" w:val="clear"/>
            <w:vAlign w:val="bottom"/>
          </w:tcPr>
          <w:p>
            <w:pPr>
              <w:pStyle w:val="TableContents"/>
              <w:spacing w:before="0" w:after="283"/>
              <w:jc w:val="left"/>
              <w:rPr/>
            </w:pPr>
            <w:r>
              <w:rPr/>
              <w:t xml:space="preserve">  </w:t>
            </w:r>
          </w:p>
        </w:tc>
      </w:tr>
      <w:tr>
        <w:trPr/>
        <w:tc>
          <w:tcPr>
            <w:tcW w:w="8626" w:type="dxa"/>
            <w:tcBorders/>
            <w:shd w:fill="CCEEFF" w:val="clear"/>
            <w:vAlign w:val="bottom"/>
          </w:tcPr>
          <w:p>
            <w:pPr>
              <w:pStyle w:val="TableContents"/>
              <w:spacing w:before="0" w:after="0"/>
              <w:ind w:left="200" w:right="0" w:hanging="200"/>
              <w:jc w:val="left"/>
              <w:rPr>
                <w:sz w:val="17"/>
              </w:rPr>
            </w:pPr>
            <w:r>
              <w:rPr>
                <w:sz w:val="17"/>
              </w:rPr>
              <w:t xml:space="preserve">Property, plant and equipment, net </w:t>
            </w:r>
          </w:p>
        </w:tc>
        <w:tc>
          <w:tcPr>
            <w:tcW w:w="211"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1" w:type="dxa"/>
            <w:tcBorders/>
            <w:shd w:fill="CCEEFF" w:val="clear"/>
            <w:vAlign w:val="bottom"/>
          </w:tcPr>
          <w:p>
            <w:pPr>
              <w:pStyle w:val="TableContents"/>
              <w:spacing w:before="0" w:after="283"/>
              <w:jc w:val="right"/>
              <w:rPr/>
            </w:pPr>
            <w:r>
              <w:rPr/>
              <w:t xml:space="preserve">1,411.7 </w:t>
            </w:r>
          </w:p>
        </w:tc>
        <w:tc>
          <w:tcPr>
            <w:tcW w:w="161" w:type="dxa"/>
            <w:tcBorders/>
            <w:shd w:fill="CCEE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0"/>
              <w:ind w:left="200" w:right="0" w:hanging="200"/>
              <w:jc w:val="left"/>
              <w:rPr>
                <w:sz w:val="17"/>
              </w:rPr>
            </w:pPr>
            <w:r>
              <w:rPr>
                <w:sz w:val="17"/>
              </w:rPr>
              <w:t xml:space="preserve">Investment in Frontier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1" w:type="dxa"/>
            <w:tcBorders/>
            <w:shd w:fill="FFFFFF" w:val="clear"/>
            <w:vAlign w:val="bottom"/>
          </w:tcPr>
          <w:p>
            <w:pPr>
              <w:pStyle w:val="TableContents"/>
              <w:spacing w:before="0" w:after="283"/>
              <w:jc w:val="right"/>
              <w:rPr/>
            </w:pPr>
            <w:r>
              <w:rPr/>
              <w:t xml:space="preserve">8.7 </w:t>
            </w:r>
          </w:p>
        </w:tc>
        <w:tc>
          <w:tcPr>
            <w:tcW w:w="161" w:type="dxa"/>
            <w:tcBorders/>
            <w:shd w:fill="FFFFFF" w:val="clear"/>
            <w:vAlign w:val="bottom"/>
          </w:tcPr>
          <w:p>
            <w:pPr>
              <w:pStyle w:val="TableContents"/>
              <w:spacing w:before="0" w:after="283"/>
              <w:jc w:val="left"/>
              <w:rPr/>
            </w:pPr>
            <w:r>
              <w:rPr/>
              <w:t xml:space="preserve">  </w:t>
            </w:r>
          </w:p>
        </w:tc>
      </w:tr>
      <w:tr>
        <w:trPr/>
        <w:tc>
          <w:tcPr>
            <w:tcW w:w="8626" w:type="dxa"/>
            <w:tcBorders/>
            <w:shd w:fill="CCEEFF" w:val="clear"/>
            <w:vAlign w:val="bottom"/>
          </w:tcPr>
          <w:p>
            <w:pPr>
              <w:pStyle w:val="TableContents"/>
              <w:spacing w:before="0" w:after="0"/>
              <w:ind w:left="200" w:right="0" w:hanging="200"/>
              <w:jc w:val="left"/>
              <w:rPr>
                <w:sz w:val="17"/>
              </w:rPr>
            </w:pPr>
            <w:r>
              <w:rPr>
                <w:sz w:val="17"/>
              </w:rPr>
              <w:t xml:space="preserve">Inventory </w:t>
            </w:r>
          </w:p>
        </w:tc>
        <w:tc>
          <w:tcPr>
            <w:tcW w:w="211"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1" w:type="dxa"/>
            <w:tcBorders/>
            <w:shd w:fill="CCEEFF" w:val="clear"/>
            <w:vAlign w:val="bottom"/>
          </w:tcPr>
          <w:p>
            <w:pPr>
              <w:pStyle w:val="TableContents"/>
              <w:spacing w:before="0" w:after="283"/>
              <w:jc w:val="right"/>
              <w:rPr/>
            </w:pPr>
            <w:r>
              <w:rPr/>
              <w:t xml:space="preserve">32.6 </w:t>
            </w:r>
          </w:p>
        </w:tc>
        <w:tc>
          <w:tcPr>
            <w:tcW w:w="161" w:type="dxa"/>
            <w:tcBorders/>
            <w:shd w:fill="CCEE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0"/>
              <w:ind w:left="200" w:right="0" w:hanging="200"/>
              <w:jc w:val="left"/>
              <w:rPr>
                <w:sz w:val="17"/>
              </w:rPr>
            </w:pPr>
            <w:r>
              <w:rPr>
                <w:sz w:val="17"/>
              </w:rPr>
              <w:t xml:space="preserve">Pipeline linefill and inventory in third party assets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1" w:type="dxa"/>
            <w:tcBorders/>
            <w:shd w:fill="FFFFFF" w:val="clear"/>
            <w:vAlign w:val="bottom"/>
          </w:tcPr>
          <w:p>
            <w:pPr>
              <w:pStyle w:val="TableContents"/>
              <w:spacing w:before="0" w:after="283"/>
              <w:jc w:val="right"/>
              <w:rPr/>
            </w:pPr>
            <w:r>
              <w:rPr/>
              <w:t xml:space="preserve">63.6 </w:t>
            </w:r>
          </w:p>
        </w:tc>
        <w:tc>
          <w:tcPr>
            <w:tcW w:w="161" w:type="dxa"/>
            <w:tcBorders/>
            <w:shd w:fill="FFFFFF" w:val="clear"/>
            <w:vAlign w:val="bottom"/>
          </w:tcPr>
          <w:p>
            <w:pPr>
              <w:pStyle w:val="TableContents"/>
              <w:spacing w:before="0" w:after="283"/>
              <w:jc w:val="left"/>
              <w:rPr/>
            </w:pPr>
            <w:r>
              <w:rPr/>
              <w:t xml:space="preserve">  </w:t>
            </w:r>
          </w:p>
        </w:tc>
      </w:tr>
      <w:tr>
        <w:trPr/>
        <w:tc>
          <w:tcPr>
            <w:tcW w:w="8626" w:type="dxa"/>
            <w:tcBorders/>
            <w:shd w:fill="CCEEFF" w:val="clear"/>
            <w:vAlign w:val="bottom"/>
          </w:tcPr>
          <w:p>
            <w:pPr>
              <w:pStyle w:val="TableContents"/>
              <w:spacing w:before="0" w:after="0"/>
              <w:ind w:left="200" w:right="0" w:hanging="200"/>
              <w:jc w:val="left"/>
              <w:rPr>
                <w:sz w:val="17"/>
              </w:rPr>
            </w:pPr>
            <w:r>
              <w:rPr>
                <w:sz w:val="17"/>
              </w:rPr>
              <w:t xml:space="preserve">Intangible assets </w:t>
            </w:r>
          </w:p>
        </w:tc>
        <w:tc>
          <w:tcPr>
            <w:tcW w:w="211"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1" w:type="dxa"/>
            <w:tcBorders/>
            <w:shd w:fill="CCEEFF" w:val="clear"/>
            <w:vAlign w:val="bottom"/>
          </w:tcPr>
          <w:p>
            <w:pPr>
              <w:pStyle w:val="TableContents"/>
              <w:spacing w:before="0" w:after="283"/>
              <w:jc w:val="right"/>
              <w:rPr/>
            </w:pPr>
            <w:r>
              <w:rPr/>
              <w:t xml:space="preserve">72.3 </w:t>
            </w:r>
          </w:p>
        </w:tc>
        <w:tc>
          <w:tcPr>
            <w:tcW w:w="161" w:type="dxa"/>
            <w:tcBorders/>
            <w:shd w:fill="CCEE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0"/>
              <w:ind w:left="200" w:right="0" w:hanging="200"/>
              <w:jc w:val="left"/>
              <w:rPr>
                <w:sz w:val="17"/>
              </w:rPr>
            </w:pPr>
            <w:r>
              <w:rPr>
                <w:sz w:val="17"/>
              </w:rPr>
              <w:t xml:space="preserve">Goodwill(1)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1" w:type="dxa"/>
            <w:tcBorders/>
            <w:shd w:fill="FFFFFF" w:val="clear"/>
            <w:vAlign w:val="bottom"/>
          </w:tcPr>
          <w:p>
            <w:pPr>
              <w:pStyle w:val="TableContents"/>
              <w:spacing w:before="0" w:after="283"/>
              <w:jc w:val="right"/>
              <w:rPr/>
            </w:pPr>
            <w:r>
              <w:rPr/>
              <w:t xml:space="preserve">843.2 </w:t>
            </w:r>
          </w:p>
        </w:tc>
        <w:tc>
          <w:tcPr>
            <w:tcW w:w="161" w:type="dxa"/>
            <w:tcBorders/>
            <w:shd w:fill="FFFFFF" w:val="clear"/>
            <w:vAlign w:val="bottom"/>
          </w:tcPr>
          <w:p>
            <w:pPr>
              <w:pStyle w:val="TableContents"/>
              <w:spacing w:before="0" w:after="283"/>
              <w:jc w:val="left"/>
              <w:rPr/>
            </w:pPr>
            <w:r>
              <w:rPr/>
              <w:t xml:space="preserve">  </w:t>
            </w:r>
          </w:p>
        </w:tc>
      </w:tr>
      <w:tr>
        <w:trPr/>
        <w:tc>
          <w:tcPr>
            <w:tcW w:w="8626" w:type="dxa"/>
            <w:tcBorders/>
            <w:shd w:fill="CCEEFF" w:val="clear"/>
            <w:vAlign w:val="bottom"/>
          </w:tcPr>
          <w:p>
            <w:pPr>
              <w:pStyle w:val="TableContents"/>
              <w:spacing w:before="0" w:after="0"/>
              <w:ind w:left="200" w:right="0" w:hanging="200"/>
              <w:jc w:val="left"/>
              <w:rPr>
                <w:sz w:val="17"/>
              </w:rPr>
            </w:pPr>
            <w:r>
              <w:rPr>
                <w:sz w:val="17"/>
              </w:rPr>
              <w:t xml:space="preserve">Assumption of working capital and other long-term assets and liabilities, including $20.0 of cash </w:t>
            </w:r>
          </w:p>
        </w:tc>
        <w:tc>
          <w:tcPr>
            <w:tcW w:w="211"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1" w:type="dxa"/>
            <w:tcBorders/>
            <w:shd w:fill="CCEEFF" w:val="clear"/>
            <w:vAlign w:val="bottom"/>
          </w:tcPr>
          <w:p>
            <w:pPr>
              <w:pStyle w:val="TableContents"/>
              <w:spacing w:before="0" w:after="283"/>
              <w:jc w:val="right"/>
              <w:rPr/>
            </w:pPr>
            <w:r>
              <w:rPr/>
              <w:t xml:space="preserve">23.6 </w:t>
            </w:r>
          </w:p>
        </w:tc>
        <w:tc>
          <w:tcPr>
            <w:tcW w:w="161" w:type="dxa"/>
            <w:tcBorders/>
            <w:shd w:fill="CCEE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26" w:type="dxa"/>
            <w:tcBorders/>
            <w:shd w:fill="FFFFFF" w:val="clear"/>
            <w:vAlign w:val="bottom"/>
          </w:tcPr>
          <w:p>
            <w:pPr>
              <w:pStyle w:val="TableContents"/>
              <w:spacing w:before="0" w:after="0"/>
              <w:ind w:left="400" w:right="0" w:hanging="200"/>
              <w:jc w:val="left"/>
              <w:rPr>
                <w:sz w:val="17"/>
              </w:rPr>
            </w:pPr>
            <w:r>
              <w:rPr>
                <w:sz w:val="17"/>
              </w:rPr>
              <w:t xml:space="preserve">Total purchase price </w:t>
            </w:r>
          </w:p>
        </w:tc>
        <w:tc>
          <w:tcPr>
            <w:tcW w:w="211"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1" w:type="dxa"/>
            <w:tcBorders/>
            <w:shd w:fill="FFFFFF" w:val="clear"/>
            <w:vAlign w:val="bottom"/>
          </w:tcPr>
          <w:p>
            <w:pPr>
              <w:pStyle w:val="TableContents"/>
              <w:spacing w:before="0" w:after="283"/>
              <w:jc w:val="right"/>
              <w:rPr/>
            </w:pPr>
            <w:r>
              <w:rPr/>
              <w:t xml:space="preserve">2,455.7 </w:t>
            </w:r>
          </w:p>
        </w:tc>
        <w:tc>
          <w:tcPr>
            <w:tcW w:w="161" w:type="dxa"/>
            <w:tcBorders/>
            <w:shd w:fill="FFFFFF" w:val="clear"/>
            <w:vAlign w:val="bottom"/>
          </w:tcPr>
          <w:p>
            <w:pPr>
              <w:pStyle w:val="TableContents"/>
              <w:spacing w:before="0" w:after="283"/>
              <w:jc w:val="left"/>
              <w:rPr/>
            </w:pPr>
            <w:r>
              <w:rPr/>
              <w:t xml:space="preserve">  </w:t>
            </w:r>
          </w:p>
        </w:tc>
      </w:tr>
      <w:tr>
        <w:trPr/>
        <w:tc>
          <w:tcPr>
            <w:tcW w:w="862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Represents the preliminary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majority of the acquisition costs associated with the Pacific acquisition was incurred as of December 31, 2006, resulting in total cash paid during 2006 of approximately $723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our calculation of the sources of funding for the acquisition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32"/>
        <w:gridCol w:w="216"/>
        <w:gridCol w:w="202"/>
        <w:gridCol w:w="994"/>
        <w:gridCol w:w="161"/>
      </w:tblGrid>
      <w:tr>
        <w:trPr/>
        <w:tc>
          <w:tcPr>
            <w:tcW w:w="8632"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99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632" w:type="dxa"/>
            <w:tcBorders/>
            <w:shd w:fill="CCEEFF" w:val="clear"/>
            <w:vAlign w:val="bottom"/>
          </w:tcPr>
          <w:p>
            <w:pPr>
              <w:pStyle w:val="TableContents"/>
              <w:spacing w:before="0" w:after="0"/>
              <w:ind w:left="200" w:right="0" w:hanging="200"/>
              <w:jc w:val="left"/>
              <w:rPr>
                <w:sz w:val="17"/>
              </w:rPr>
            </w:pPr>
            <w:r>
              <w:rPr>
                <w:sz w:val="17"/>
              </w:rPr>
              <w:t xml:space="preserve">Fair value of Plains common units issued in exchange for Pacific common units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1,001.6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0"/>
              <w:ind w:left="200" w:right="0" w:hanging="200"/>
              <w:jc w:val="left"/>
              <w:rPr>
                <w:sz w:val="17"/>
              </w:rPr>
            </w:pPr>
            <w:r>
              <w:rPr>
                <w:sz w:val="17"/>
              </w:rPr>
              <w:t xml:space="preserve">Plains general partner capital contribution </w:t>
            </w:r>
          </w:p>
        </w:tc>
        <w:tc>
          <w:tcPr>
            <w:tcW w:w="21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94" w:type="dxa"/>
            <w:tcBorders/>
            <w:shd w:fill="FFFFFF" w:val="clear"/>
            <w:vAlign w:val="bottom"/>
          </w:tcPr>
          <w:p>
            <w:pPr>
              <w:pStyle w:val="TableContents"/>
              <w:spacing w:before="0" w:after="283"/>
              <w:jc w:val="right"/>
              <w:rPr/>
            </w:pPr>
            <w:r>
              <w:rPr/>
              <w:t xml:space="preserve">21.6 </w:t>
            </w:r>
          </w:p>
        </w:tc>
        <w:tc>
          <w:tcPr>
            <w:tcW w:w="161" w:type="dxa"/>
            <w:tcBorders/>
            <w:shd w:fill="FFFFFF" w:val="clear"/>
            <w:vAlign w:val="bottom"/>
          </w:tcPr>
          <w:p>
            <w:pPr>
              <w:pStyle w:val="TableContents"/>
              <w:spacing w:before="0" w:after="283"/>
              <w:jc w:val="left"/>
              <w:rPr/>
            </w:pPr>
            <w:r>
              <w:rPr/>
              <w:t xml:space="preserve">  </w:t>
            </w:r>
          </w:p>
        </w:tc>
      </w:tr>
      <w:tr>
        <w:trPr/>
        <w:tc>
          <w:tcPr>
            <w:tcW w:w="8632" w:type="dxa"/>
            <w:tcBorders/>
            <w:shd w:fill="CCEEFF" w:val="clear"/>
            <w:vAlign w:val="bottom"/>
          </w:tcPr>
          <w:p>
            <w:pPr>
              <w:pStyle w:val="TableContents"/>
              <w:spacing w:before="0" w:after="0"/>
              <w:ind w:left="200" w:right="0" w:hanging="200"/>
              <w:jc w:val="left"/>
              <w:rPr>
                <w:sz w:val="17"/>
              </w:rPr>
            </w:pPr>
            <w:r>
              <w:rPr>
                <w:sz w:val="17"/>
              </w:rPr>
              <w:t xml:space="preserve">Assumption of Pacific debt (at estimated fair value), net of repayment of Pacific credit facility(1)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433.1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0"/>
              <w:ind w:left="200" w:right="0" w:hanging="200"/>
              <w:jc w:val="left"/>
              <w:rPr>
                <w:sz w:val="17"/>
              </w:rPr>
            </w:pPr>
            <w:r>
              <w:rPr>
                <w:sz w:val="17"/>
              </w:rPr>
              <w:t xml:space="preserve">Plains new debt incurred </w:t>
            </w:r>
          </w:p>
        </w:tc>
        <w:tc>
          <w:tcPr>
            <w:tcW w:w="21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94" w:type="dxa"/>
            <w:tcBorders/>
            <w:shd w:fill="FFFFFF" w:val="clear"/>
            <w:vAlign w:val="bottom"/>
          </w:tcPr>
          <w:p>
            <w:pPr>
              <w:pStyle w:val="TableContents"/>
              <w:spacing w:before="0" w:after="283"/>
              <w:jc w:val="right"/>
              <w:rPr/>
            </w:pPr>
            <w:r>
              <w:rPr/>
              <w:t xml:space="preserve">999.4 </w:t>
            </w:r>
          </w:p>
        </w:tc>
        <w:tc>
          <w:tcPr>
            <w:tcW w:w="161" w:type="dxa"/>
            <w:tcBorders/>
            <w:shd w:fill="FFFF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32" w:type="dxa"/>
            <w:tcBorders/>
            <w:shd w:fill="CCEEFF" w:val="clear"/>
            <w:vAlign w:val="bottom"/>
          </w:tcPr>
          <w:p>
            <w:pPr>
              <w:pStyle w:val="TableContents"/>
              <w:spacing w:before="0" w:after="0"/>
              <w:ind w:left="400" w:right="0" w:hanging="200"/>
              <w:jc w:val="left"/>
              <w:rPr>
                <w:sz w:val="17"/>
              </w:rPr>
            </w:pPr>
            <w:r>
              <w:rPr>
                <w:sz w:val="17"/>
              </w:rPr>
              <w:t xml:space="preserve">Total sources of funding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2,455.7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assumption of Pacifics debt and credit facility at fair value was $433.1 million and $290.7 million, respectively. We paid off the credit facility in connection with closing of the transaction.</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Other 2006 Acquisitions.</w:t>
      </w:r>
      <w:r>
        <w:rPr>
          <w:rFonts w:ascii="Times New Roman;Times" w:hAnsi="Times New Roman;Times"/>
          <w:color w:val="000000"/>
          <w:sz w:val="17"/>
          <w:highlight w:val="white"/>
        </w:rPr>
        <w:t xml:space="preserve">  During 2006, we completed six additional acquisitions for aggregate consideration of approximately $565 million. These acquisitions included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(SemCrude), (iii) interests in various crude oil pipeline systems in Canada and the U.S. including a 100% interest in the BOA Pipeline, various interests in HIPS and a 64.35% interest in the CAM Pipeline system, and (iv) three refined products pipeline systems.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in November 2006, we purchased a 50% interest in Settoon Towing for approximately $33 million. Settoon Towing owns and operates a fleet of 57 transport and storage barges as well as 30 transport tugs. Its core business is the gathering and transportation of crude oil and produced water from inland production facilities across the Gulf Coast.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65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2005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completed six small transactions in 2005 for aggregate consideration of approximately $40.3 million. The transactions included crude oil trucking operations and several crude oil pipeline systems along the Gulf Coast as well as in Canada. We also acquired an LPG pipeline and terminal in Oklahoma. These acquisitions did not materially impact our results of operations, either individually or in the aggregate. The following table summarizes our acquisitions that were completed in 2005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710"/>
        <w:gridCol w:w="152"/>
        <w:gridCol w:w="153"/>
        <w:gridCol w:w="1092"/>
        <w:gridCol w:w="153"/>
        <w:gridCol w:w="203"/>
        <w:gridCol w:w="337"/>
        <w:gridCol w:w="1074"/>
        <w:gridCol w:w="153"/>
        <w:gridCol w:w="203"/>
        <w:gridCol w:w="2975"/>
      </w:tblGrid>
      <w:tr>
        <w:trPr/>
        <w:tc>
          <w:tcPr>
            <w:tcW w:w="371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pPr>
            <w:r>
              <w:rPr/>
              <w:t> </w:t>
            </w:r>
          </w:p>
        </w:tc>
        <w:tc>
          <w:tcPr>
            <w:tcW w:w="1092"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jc w:val="right"/>
              <w:rPr/>
            </w:pPr>
            <w:r>
              <w:rPr/>
              <w:t> </w:t>
            </w:r>
          </w:p>
        </w:tc>
        <w:tc>
          <w:tcPr>
            <w:tcW w:w="1074"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2975" w:type="dxa"/>
            <w:tcBorders/>
            <w:shd w:fill="FFFFFF" w:val="clear"/>
            <w:vAlign w:val="bottom"/>
          </w:tcPr>
          <w:p>
            <w:pPr>
              <w:pStyle w:val="TableContents"/>
              <w:spacing w:before="0" w:after="283"/>
              <w:rPr/>
            </w:pPr>
            <w:r>
              <w:rPr/>
              <w:t> </w:t>
            </w:r>
          </w:p>
        </w:tc>
      </w:tr>
      <w:tr>
        <w:trPr/>
        <w:tc>
          <w:tcPr>
            <w:tcW w:w="3710"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1245" w:type="dxa"/>
            <w:gridSpan w:val="2"/>
            <w:tcBorders/>
            <w:shd w:fill="FFFFFF" w:val="clear"/>
            <w:vAlign w:val="bottom"/>
          </w:tcPr>
          <w:p>
            <w:pPr>
              <w:pStyle w:val="TableContents"/>
              <w:spacing w:before="0" w:after="283"/>
              <w:jc w:val="center"/>
              <w:rPr>
                <w:b/>
              </w:rPr>
            </w:pPr>
            <w:r>
              <w:rPr>
                <w:b/>
              </w:rPr>
              <w:t>Effective</w:t>
            </w:r>
          </w:p>
        </w:tc>
        <w:tc>
          <w:tcPr>
            <w:tcW w:w="153"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1411" w:type="dxa"/>
            <w:gridSpan w:val="2"/>
            <w:tcBorders/>
            <w:shd w:fill="FFFFFF" w:val="clear"/>
            <w:vAlign w:val="bottom"/>
          </w:tcPr>
          <w:p>
            <w:pPr>
              <w:pStyle w:val="TableContents"/>
              <w:spacing w:before="0" w:after="283"/>
              <w:jc w:val="center"/>
              <w:rPr>
                <w:b/>
              </w:rPr>
            </w:pPr>
            <w:r>
              <w:rPr>
                <w:b/>
              </w:rPr>
              <w:t>Acquisition</w:t>
            </w:r>
          </w:p>
        </w:tc>
        <w:tc>
          <w:tcPr>
            <w:tcW w:w="153"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2975" w:type="dxa"/>
            <w:tcBorders/>
            <w:shd w:fill="FFFFFF" w:val="clear"/>
            <w:vAlign w:val="bottom"/>
          </w:tcPr>
          <w:p>
            <w:pPr>
              <w:pStyle w:val="TableContents"/>
              <w:spacing w:before="0" w:after="283"/>
              <w:jc w:val="center"/>
              <w:rPr/>
            </w:pPr>
            <w:r>
              <w:rPr/>
              <w:t xml:space="preserve">  </w:t>
            </w:r>
          </w:p>
        </w:tc>
      </w:tr>
      <w:tr>
        <w:trPr/>
        <w:tc>
          <w:tcPr>
            <w:tcW w:w="3710" w:type="dxa"/>
            <w:tcBorders/>
            <w:shd w:fill="FFFFFF" w:val="clear"/>
            <w:vAlign w:val="bottom"/>
          </w:tcPr>
          <w:p>
            <w:pPr>
              <w:pStyle w:val="TableContents"/>
              <w:spacing w:before="0" w:after="0"/>
              <w:jc w:val="left"/>
              <w:rPr>
                <w:bdr w:val="single" w:sz="2" w:space="1" w:color="000000"/>
              </w:rPr>
            </w:pPr>
            <w:r>
              <w:rPr>
                <w:b/>
                <w:bdr w:val="single" w:sz="2" w:space="1" w:color="000000"/>
              </w:rPr>
              <w:t>Acquisition</w:t>
            </w:r>
            <w:r>
              <w:rPr>
                <w:bdr w:val="single" w:sz="2" w:space="1" w:color="000000"/>
              </w:rPr>
              <w:t xml:space="preserve"> </w:t>
            </w:r>
          </w:p>
        </w:tc>
        <w:tc>
          <w:tcPr>
            <w:tcW w:w="152" w:type="dxa"/>
            <w:tcBorders/>
            <w:shd w:fill="FFFFFF" w:val="clear"/>
            <w:vAlign w:val="bottom"/>
          </w:tcPr>
          <w:p>
            <w:pPr>
              <w:pStyle w:val="TableContents"/>
              <w:spacing w:before="0" w:after="283"/>
              <w:jc w:val="center"/>
              <w:rPr/>
            </w:pPr>
            <w:r>
              <w:rPr/>
              <w:t xml:space="preserve">  </w:t>
            </w:r>
          </w:p>
        </w:tc>
        <w:tc>
          <w:tcPr>
            <w:tcW w:w="12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Date</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141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Price</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203" w:type="dxa"/>
            <w:tcBorders/>
            <w:shd w:fill="FFFFFF" w:val="clear"/>
            <w:vAlign w:val="bottom"/>
          </w:tcPr>
          <w:p>
            <w:pPr>
              <w:pStyle w:val="TableContents"/>
              <w:spacing w:before="0" w:after="283"/>
              <w:jc w:val="center"/>
              <w:rPr/>
            </w:pPr>
            <w:r>
              <w:rPr/>
              <w:t xml:space="preserve">  </w:t>
            </w:r>
          </w:p>
        </w:tc>
        <w:tc>
          <w:tcPr>
            <w:tcW w:w="2975" w:type="dxa"/>
            <w:tcBorders>
              <w:bottom w:val="single" w:sz="2" w:space="0" w:color="000000"/>
            </w:tcBorders>
            <w:shd w:fill="FFFFFF" w:val="clear"/>
            <w:tcMar>
              <w:bottom w:w="28" w:type="dxa"/>
            </w:tcMar>
            <w:vAlign w:val="bottom"/>
          </w:tcPr>
          <w:p>
            <w:pPr>
              <w:pStyle w:val="TableContents"/>
              <w:spacing w:before="0" w:after="283"/>
              <w:jc w:val="center"/>
              <w:rPr/>
            </w:pPr>
            <w:r>
              <w:rPr>
                <w:b/>
              </w:rPr>
              <w:t>Operating Segment</w:t>
            </w:r>
            <w:r>
              <w:rPr/>
              <w:t xml:space="preserve"> </w:t>
            </w:r>
          </w:p>
        </w:tc>
      </w:tr>
      <w:tr>
        <w:trPr/>
        <w:tc>
          <w:tcPr>
            <w:tcW w:w="3710" w:type="dxa"/>
            <w:tcBorders/>
            <w:shd w:fill="FFFFFF" w:val="clear"/>
            <w:vAlign w:val="center"/>
          </w:tcPr>
          <w:p>
            <w:pPr>
              <w:pStyle w:val="TableContents"/>
              <w:spacing w:before="0" w:after="283"/>
              <w:rPr/>
            </w:pPr>
            <w:r>
              <w:rPr/>
              <w:t xml:space="preserve">  </w:t>
            </w:r>
          </w:p>
        </w:tc>
        <w:tc>
          <w:tcPr>
            <w:tcW w:w="6495" w:type="dxa"/>
            <w:gridSpan w:val="10"/>
            <w:tcBorders/>
            <w:shd w:fill="FFFFFF" w:val="clear"/>
          </w:tcPr>
          <w:p>
            <w:pPr>
              <w:pStyle w:val="TableContents"/>
              <w:spacing w:before="0" w:after="283"/>
              <w:rPr>
                <w:sz w:val="4"/>
                <w:szCs w:val="4"/>
              </w:rPr>
            </w:pPr>
            <w:r>
              <w:rPr>
                <w:sz w:val="4"/>
                <w:szCs w:val="4"/>
              </w:rPr>
            </w:r>
          </w:p>
        </w:tc>
      </w:tr>
      <w:tr>
        <w:trPr/>
        <w:tc>
          <w:tcPr>
            <w:tcW w:w="3710" w:type="dxa"/>
            <w:tcBorders/>
            <w:shd w:fill="CCEEFF" w:val="clear"/>
            <w:vAlign w:val="bottom"/>
          </w:tcPr>
          <w:p>
            <w:pPr>
              <w:pStyle w:val="TableContents"/>
              <w:spacing w:before="0" w:after="0"/>
              <w:ind w:left="200" w:right="0" w:hanging="200"/>
              <w:jc w:val="left"/>
              <w:rPr>
                <w:sz w:val="17"/>
              </w:rPr>
            </w:pPr>
            <w:r>
              <w:rPr>
                <w:sz w:val="17"/>
              </w:rPr>
              <w:t xml:space="preserve">Shell Gulf Coast Pipeline Systems(1) </w:t>
            </w:r>
          </w:p>
        </w:tc>
        <w:tc>
          <w:tcPr>
            <w:tcW w:w="152" w:type="dxa"/>
            <w:tcBorders/>
            <w:shd w:fill="CCEEFF" w:val="clear"/>
            <w:vAlign w:val="bottom"/>
          </w:tcPr>
          <w:p>
            <w:pPr>
              <w:pStyle w:val="TableContents"/>
              <w:spacing w:before="0" w:after="283"/>
              <w:rPr/>
            </w:pPr>
            <w:r>
              <w:rPr/>
              <w:t xml:space="preserve">  </w:t>
            </w:r>
          </w:p>
        </w:tc>
        <w:tc>
          <w:tcPr>
            <w:tcW w:w="153" w:type="dxa"/>
            <w:tcBorders/>
            <w:shd w:fill="CCEEFF" w:val="clear"/>
            <w:vAlign w:val="bottom"/>
          </w:tcPr>
          <w:p>
            <w:pPr>
              <w:pStyle w:val="TableContents"/>
              <w:spacing w:before="0" w:after="283"/>
              <w:jc w:val="left"/>
              <w:rPr/>
            </w:pPr>
            <w:r>
              <w:rPr/>
              <w:t xml:space="preserve">  </w:t>
            </w:r>
          </w:p>
        </w:tc>
        <w:tc>
          <w:tcPr>
            <w:tcW w:w="1092" w:type="dxa"/>
            <w:tcBorders/>
            <w:shd w:fill="CCEEFF" w:val="clear"/>
            <w:vAlign w:val="bottom"/>
          </w:tcPr>
          <w:p>
            <w:pPr>
              <w:pStyle w:val="TableContents"/>
              <w:spacing w:before="0" w:after="283"/>
              <w:jc w:val="right"/>
              <w:rPr/>
            </w:pPr>
            <w:r>
              <w:rPr/>
              <w:t xml:space="preserve">1/1/2005 </w:t>
            </w:r>
          </w:p>
        </w:tc>
        <w:tc>
          <w:tcPr>
            <w:tcW w:w="153"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337" w:type="dxa"/>
            <w:tcBorders/>
            <w:shd w:fill="CCEEFF" w:val="clear"/>
            <w:vAlign w:val="bottom"/>
          </w:tcPr>
          <w:p>
            <w:pPr>
              <w:pStyle w:val="TableContents"/>
              <w:spacing w:before="0" w:after="283"/>
              <w:jc w:val="left"/>
              <w:rPr/>
            </w:pPr>
            <w:r>
              <w:rPr/>
              <w:t xml:space="preserve">$ </w:t>
            </w:r>
          </w:p>
        </w:tc>
        <w:tc>
          <w:tcPr>
            <w:tcW w:w="1074" w:type="dxa"/>
            <w:tcBorders/>
            <w:shd w:fill="CCEEFF" w:val="clear"/>
            <w:vAlign w:val="bottom"/>
          </w:tcPr>
          <w:p>
            <w:pPr>
              <w:pStyle w:val="TableContents"/>
              <w:spacing w:before="0" w:after="283"/>
              <w:jc w:val="right"/>
              <w:rPr/>
            </w:pPr>
            <w:r>
              <w:rPr/>
              <w:t xml:space="preserve">12.0 </w:t>
            </w:r>
          </w:p>
        </w:tc>
        <w:tc>
          <w:tcPr>
            <w:tcW w:w="153"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975" w:type="dxa"/>
            <w:tcBorders/>
            <w:shd w:fill="CCEEFF" w:val="clear"/>
            <w:vAlign w:val="bottom"/>
          </w:tcPr>
          <w:p>
            <w:pPr>
              <w:pStyle w:val="TableContents"/>
              <w:spacing w:before="0" w:after="283"/>
              <w:jc w:val="center"/>
              <w:rPr>
                <w:sz w:val="17"/>
              </w:rPr>
            </w:pPr>
            <w:r>
              <w:rPr>
                <w:sz w:val="17"/>
              </w:rPr>
              <w:t xml:space="preserve">Transportation </w:t>
            </w:r>
          </w:p>
        </w:tc>
      </w:tr>
      <w:tr>
        <w:trPr/>
        <w:tc>
          <w:tcPr>
            <w:tcW w:w="3710" w:type="dxa"/>
            <w:tcBorders/>
            <w:shd w:fill="FFFFFF" w:val="clear"/>
            <w:vAlign w:val="bottom"/>
          </w:tcPr>
          <w:p>
            <w:pPr>
              <w:pStyle w:val="TableContents"/>
              <w:spacing w:before="0" w:after="0"/>
              <w:ind w:left="200" w:right="0" w:hanging="200"/>
              <w:jc w:val="left"/>
              <w:rPr>
                <w:sz w:val="17"/>
              </w:rPr>
            </w:pPr>
            <w:r>
              <w:rPr>
                <w:sz w:val="17"/>
              </w:rPr>
              <w:t xml:space="preserve">Tulsa LPG Pipeline </w:t>
            </w:r>
          </w:p>
        </w:tc>
        <w:tc>
          <w:tcPr>
            <w:tcW w:w="15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092" w:type="dxa"/>
            <w:tcBorders/>
            <w:shd w:fill="FFFFFF" w:val="clear"/>
            <w:vAlign w:val="bottom"/>
          </w:tcPr>
          <w:p>
            <w:pPr>
              <w:pStyle w:val="TableContents"/>
              <w:spacing w:before="0" w:after="283"/>
              <w:jc w:val="right"/>
              <w:rPr/>
            </w:pPr>
            <w:r>
              <w:rPr/>
              <w:t xml:space="preserve">3/2/2005 </w:t>
            </w:r>
          </w:p>
        </w:tc>
        <w:tc>
          <w:tcPr>
            <w:tcW w:w="153"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337" w:type="dxa"/>
            <w:tcBorders/>
            <w:shd w:fill="FFFFFF" w:val="clear"/>
            <w:vAlign w:val="bottom"/>
          </w:tcPr>
          <w:p>
            <w:pPr>
              <w:pStyle w:val="TableContents"/>
              <w:spacing w:before="0" w:after="283"/>
              <w:jc w:val="left"/>
              <w:rPr/>
            </w:pPr>
            <w:r>
              <w:rPr/>
              <w:t xml:space="preserve">  </w:t>
            </w:r>
          </w:p>
        </w:tc>
        <w:tc>
          <w:tcPr>
            <w:tcW w:w="1074" w:type="dxa"/>
            <w:tcBorders/>
            <w:shd w:fill="FFFFFF" w:val="clear"/>
            <w:vAlign w:val="bottom"/>
          </w:tcPr>
          <w:p>
            <w:pPr>
              <w:pStyle w:val="TableContents"/>
              <w:spacing w:before="0" w:after="283"/>
              <w:jc w:val="right"/>
              <w:rPr/>
            </w:pPr>
            <w:r>
              <w:rPr/>
              <w:t xml:space="preserve">10.0 </w:t>
            </w:r>
          </w:p>
        </w:tc>
        <w:tc>
          <w:tcPr>
            <w:tcW w:w="153"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975" w:type="dxa"/>
            <w:tcBorders/>
            <w:shd w:fill="FFFFFF" w:val="clear"/>
            <w:vAlign w:val="bottom"/>
          </w:tcPr>
          <w:p>
            <w:pPr>
              <w:pStyle w:val="TableContents"/>
              <w:spacing w:before="0" w:after="283"/>
              <w:jc w:val="center"/>
              <w:rPr>
                <w:sz w:val="17"/>
              </w:rPr>
            </w:pPr>
            <w:r>
              <w:rPr>
                <w:sz w:val="17"/>
              </w:rPr>
              <w:t xml:space="preserve">Marketing </w:t>
            </w:r>
          </w:p>
        </w:tc>
      </w:tr>
      <w:tr>
        <w:trPr/>
        <w:tc>
          <w:tcPr>
            <w:tcW w:w="3710" w:type="dxa"/>
            <w:tcBorders/>
            <w:shd w:fill="CCEEFF" w:val="clear"/>
            <w:vAlign w:val="bottom"/>
          </w:tcPr>
          <w:p>
            <w:pPr>
              <w:pStyle w:val="TableContents"/>
              <w:spacing w:before="0" w:after="0"/>
              <w:ind w:left="200" w:right="0" w:hanging="200"/>
              <w:jc w:val="left"/>
              <w:rPr>
                <w:sz w:val="17"/>
              </w:rPr>
            </w:pPr>
            <w:r>
              <w:rPr>
                <w:sz w:val="17"/>
              </w:rPr>
              <w:t xml:space="preserve">Other acquisitions </w:t>
            </w:r>
          </w:p>
        </w:tc>
        <w:tc>
          <w:tcPr>
            <w:tcW w:w="152" w:type="dxa"/>
            <w:tcBorders/>
            <w:shd w:fill="CCEEFF" w:val="clear"/>
            <w:vAlign w:val="bottom"/>
          </w:tcPr>
          <w:p>
            <w:pPr>
              <w:pStyle w:val="TableContents"/>
              <w:spacing w:before="0" w:after="283"/>
              <w:rPr/>
            </w:pPr>
            <w:r>
              <w:rPr/>
              <w:t xml:space="preserve">  </w:t>
            </w:r>
          </w:p>
        </w:tc>
        <w:tc>
          <w:tcPr>
            <w:tcW w:w="153" w:type="dxa"/>
            <w:tcBorders/>
            <w:shd w:fill="CCEEFF" w:val="clear"/>
            <w:vAlign w:val="bottom"/>
          </w:tcPr>
          <w:p>
            <w:pPr>
              <w:pStyle w:val="TableContents"/>
              <w:spacing w:before="0" w:after="283"/>
              <w:jc w:val="left"/>
              <w:rPr/>
            </w:pPr>
            <w:r>
              <w:rPr/>
              <w:t xml:space="preserve">  </w:t>
            </w:r>
          </w:p>
        </w:tc>
        <w:tc>
          <w:tcPr>
            <w:tcW w:w="1092" w:type="dxa"/>
            <w:tcBorders/>
            <w:shd w:fill="CCEEFF" w:val="clear"/>
            <w:vAlign w:val="bottom"/>
          </w:tcPr>
          <w:p>
            <w:pPr>
              <w:pStyle w:val="TableContents"/>
              <w:spacing w:before="0" w:after="283"/>
              <w:jc w:val="right"/>
              <w:rPr/>
            </w:pPr>
            <w:r>
              <w:rPr/>
              <w:t xml:space="preserve">Various </w:t>
            </w:r>
          </w:p>
        </w:tc>
        <w:tc>
          <w:tcPr>
            <w:tcW w:w="153"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337" w:type="dxa"/>
            <w:tcBorders/>
            <w:shd w:fill="CCEEFF" w:val="clear"/>
            <w:vAlign w:val="bottom"/>
          </w:tcPr>
          <w:p>
            <w:pPr>
              <w:pStyle w:val="TableContents"/>
              <w:spacing w:before="0" w:after="283"/>
              <w:jc w:val="left"/>
              <w:rPr/>
            </w:pPr>
            <w:r>
              <w:rPr/>
              <w:t xml:space="preserve">  </w:t>
            </w:r>
          </w:p>
        </w:tc>
        <w:tc>
          <w:tcPr>
            <w:tcW w:w="1074" w:type="dxa"/>
            <w:tcBorders/>
            <w:shd w:fill="CCEEFF" w:val="clear"/>
            <w:vAlign w:val="bottom"/>
          </w:tcPr>
          <w:p>
            <w:pPr>
              <w:pStyle w:val="TableContents"/>
              <w:spacing w:before="0" w:after="283"/>
              <w:jc w:val="right"/>
              <w:rPr/>
            </w:pPr>
            <w:r>
              <w:rPr/>
              <w:t xml:space="preserve">18.3 </w:t>
            </w:r>
          </w:p>
        </w:tc>
        <w:tc>
          <w:tcPr>
            <w:tcW w:w="153" w:type="dxa"/>
            <w:tcBorders/>
            <w:shd w:fill="CCEEFF" w:val="clear"/>
            <w:vAlign w:val="bottom"/>
          </w:tcPr>
          <w:p>
            <w:pPr>
              <w:pStyle w:val="TableContents"/>
              <w:spacing w:before="0" w:after="283"/>
              <w:jc w:val="left"/>
              <w:rPr/>
            </w:pPr>
            <w:r>
              <w:rPr/>
              <w:t xml:space="preserve">  </w:t>
            </w:r>
          </w:p>
        </w:tc>
        <w:tc>
          <w:tcPr>
            <w:tcW w:w="203" w:type="dxa"/>
            <w:tcBorders/>
            <w:shd w:fill="CCEEFF" w:val="clear"/>
            <w:vAlign w:val="bottom"/>
          </w:tcPr>
          <w:p>
            <w:pPr>
              <w:pStyle w:val="TableContents"/>
              <w:spacing w:before="0" w:after="283"/>
              <w:rPr/>
            </w:pPr>
            <w:r>
              <w:rPr/>
              <w:t xml:space="preserve">  </w:t>
            </w:r>
          </w:p>
        </w:tc>
        <w:tc>
          <w:tcPr>
            <w:tcW w:w="2975" w:type="dxa"/>
            <w:tcBorders/>
            <w:shd w:fill="CCEEFF" w:val="clear"/>
            <w:vAlign w:val="bottom"/>
          </w:tcPr>
          <w:p>
            <w:pPr>
              <w:pStyle w:val="TableContents"/>
              <w:spacing w:before="0" w:after="283"/>
              <w:jc w:val="center"/>
              <w:rPr>
                <w:sz w:val="17"/>
              </w:rPr>
            </w:pPr>
            <w:r>
              <w:rPr>
                <w:sz w:val="17"/>
              </w:rPr>
              <w:t>Transportation, Facilities,</w:t>
              <w:br/>
              <w:t xml:space="preserve">Marketing </w:t>
            </w:r>
          </w:p>
        </w:tc>
      </w:tr>
      <w:tr>
        <w:trPr/>
        <w:tc>
          <w:tcPr>
            <w:tcW w:w="3710" w:type="dxa"/>
            <w:tcBorders/>
            <w:shd w:fill="FFFFFF" w:val="cle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109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3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975" w:type="dxa"/>
            <w:tcBorders/>
            <w:shd w:fill="FFFFFF" w:val="clear"/>
            <w:vAlign w:val="bottom"/>
          </w:tcPr>
          <w:p>
            <w:pPr>
              <w:pStyle w:val="TableContents"/>
              <w:spacing w:before="0" w:after="283"/>
              <w:rPr/>
            </w:pPr>
            <w:r>
              <w:rPr/>
              <w:t xml:space="preserve">  </w:t>
            </w:r>
          </w:p>
        </w:tc>
      </w:tr>
      <w:tr>
        <w:trPr/>
        <w:tc>
          <w:tcPr>
            <w:tcW w:w="3710"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5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092"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337" w:type="dxa"/>
            <w:tcBorders/>
            <w:shd w:fill="FFFFFF" w:val="clear"/>
            <w:vAlign w:val="bottom"/>
          </w:tcPr>
          <w:p>
            <w:pPr>
              <w:pStyle w:val="TableContents"/>
              <w:spacing w:before="0" w:after="283"/>
              <w:jc w:val="left"/>
              <w:rPr/>
            </w:pPr>
            <w:r>
              <w:rPr/>
              <w:t xml:space="preserve">$ </w:t>
            </w:r>
          </w:p>
        </w:tc>
        <w:tc>
          <w:tcPr>
            <w:tcW w:w="1074" w:type="dxa"/>
            <w:tcBorders/>
            <w:shd w:fill="FFFFFF" w:val="clear"/>
            <w:vAlign w:val="bottom"/>
          </w:tcPr>
          <w:p>
            <w:pPr>
              <w:pStyle w:val="TableContents"/>
              <w:spacing w:before="0" w:after="283"/>
              <w:jc w:val="right"/>
              <w:rPr/>
            </w:pPr>
            <w:r>
              <w:rPr/>
              <w:t xml:space="preserve">40.3 </w:t>
            </w:r>
          </w:p>
        </w:tc>
        <w:tc>
          <w:tcPr>
            <w:tcW w:w="153" w:type="dxa"/>
            <w:tcBorders/>
            <w:shd w:fill="FFFFFF" w:val="clear"/>
            <w:vAlign w:val="bottom"/>
          </w:tcPr>
          <w:p>
            <w:pPr>
              <w:pStyle w:val="TableContents"/>
              <w:spacing w:before="0" w:after="283"/>
              <w:jc w:val="left"/>
              <w:rPr/>
            </w:pPr>
            <w:r>
              <w:rPr/>
              <w:t xml:space="preserve">  </w:t>
            </w:r>
          </w:p>
        </w:tc>
        <w:tc>
          <w:tcPr>
            <w:tcW w:w="203" w:type="dxa"/>
            <w:tcBorders/>
            <w:shd w:fill="FFFFFF" w:val="clear"/>
            <w:vAlign w:val="bottom"/>
          </w:tcPr>
          <w:p>
            <w:pPr>
              <w:pStyle w:val="TableContents"/>
              <w:spacing w:before="0" w:after="283"/>
              <w:rPr/>
            </w:pPr>
            <w:r>
              <w:rPr/>
              <w:t xml:space="preserve">  </w:t>
            </w:r>
          </w:p>
        </w:tc>
        <w:tc>
          <w:tcPr>
            <w:tcW w:w="2975" w:type="dxa"/>
            <w:tcBorders/>
            <w:shd w:fill="FFFFFF" w:val="clear"/>
            <w:vAlign w:val="bottom"/>
          </w:tcPr>
          <w:p>
            <w:pPr>
              <w:pStyle w:val="TableContents"/>
              <w:spacing w:before="0" w:after="283"/>
              <w:jc w:val="center"/>
              <w:rPr/>
            </w:pPr>
            <w:r>
              <w:rPr/>
              <w:t xml:space="preserve">  </w:t>
            </w:r>
          </w:p>
        </w:tc>
      </w:tr>
      <w:tr>
        <w:trPr/>
        <w:tc>
          <w:tcPr>
            <w:tcW w:w="3710" w:type="dxa"/>
            <w:tcBorders/>
            <w:shd w:fill="FFFFFF" w:val="cle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1092"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3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297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 $12 million deposit for the Shell Gulf Coast Pipeline Systems acquisition was paid into escrow in December 2004.</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in September 2005, PAA/Vulcan acquired Energy Center Investments LLC (ECI), an indirect subsidiary of Sempra Energy, for approximately $250 million. ECI develops and operates underground natural gas storage facilities. We own 50% of PAA/Vulcan and the remaining 50% is owned by a subsidiary of Vulcan Capital. We made a $112.5 million capital contribution to PAA/Vulcan and we account for the investment in PAA/Vulcan under the equity method in accordance with Accounting Principles Board Opinion No. 18, The Equity Method of Accounting for Investments in Common Stock.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2004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2004, we completed several acquisitions for aggregate consideration of approximately $563.9 million. The Link and Capline acquisitions were material to our operations. See Note 3 to our Consolidated Financial Statements. The following table summarizes our acquisitions that were completed in 2004, and a description of our material acquisitions follows the table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852"/>
        <w:gridCol w:w="156"/>
        <w:gridCol w:w="151"/>
        <w:gridCol w:w="1074"/>
        <w:gridCol w:w="151"/>
        <w:gridCol w:w="156"/>
        <w:gridCol w:w="287"/>
        <w:gridCol w:w="1103"/>
        <w:gridCol w:w="151"/>
        <w:gridCol w:w="156"/>
        <w:gridCol w:w="2968"/>
      </w:tblGrid>
      <w:tr>
        <w:trPr/>
        <w:tc>
          <w:tcPr>
            <w:tcW w:w="3852"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right"/>
              <w:rPr/>
            </w:pPr>
            <w:r>
              <w:rPr/>
              <w:t> </w:t>
            </w:r>
          </w:p>
        </w:tc>
        <w:tc>
          <w:tcPr>
            <w:tcW w:w="1074"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rPr/>
            </w:pPr>
            <w:r>
              <w:rPr/>
              <w:t> </w:t>
            </w:r>
          </w:p>
        </w:tc>
        <w:tc>
          <w:tcPr>
            <w:tcW w:w="287" w:type="dxa"/>
            <w:tcBorders/>
            <w:shd w:fill="FFFFFF" w:val="clear"/>
            <w:vAlign w:val="bottom"/>
          </w:tcPr>
          <w:p>
            <w:pPr>
              <w:pStyle w:val="TableContents"/>
              <w:spacing w:before="0" w:after="283"/>
              <w:jc w:val="right"/>
              <w:rPr/>
            </w:pPr>
            <w:r>
              <w:rPr/>
              <w:t> </w:t>
            </w:r>
          </w:p>
        </w:tc>
        <w:tc>
          <w:tcPr>
            <w:tcW w:w="1103"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156" w:type="dxa"/>
            <w:tcBorders/>
            <w:shd w:fill="FFFFFF" w:val="clear"/>
            <w:vAlign w:val="bottom"/>
          </w:tcPr>
          <w:p>
            <w:pPr>
              <w:pStyle w:val="TableContents"/>
              <w:spacing w:before="0" w:after="283"/>
              <w:rPr/>
            </w:pPr>
            <w:r>
              <w:rPr/>
              <w:t> </w:t>
            </w:r>
          </w:p>
        </w:tc>
        <w:tc>
          <w:tcPr>
            <w:tcW w:w="2968" w:type="dxa"/>
            <w:tcBorders/>
            <w:shd w:fill="FFFFFF" w:val="clear"/>
            <w:vAlign w:val="bottom"/>
          </w:tcPr>
          <w:p>
            <w:pPr>
              <w:pStyle w:val="TableContents"/>
              <w:spacing w:before="0" w:after="283"/>
              <w:rPr/>
            </w:pPr>
            <w:r>
              <w:rPr/>
              <w:t> </w:t>
            </w:r>
          </w:p>
        </w:tc>
      </w:tr>
      <w:tr>
        <w:trPr/>
        <w:tc>
          <w:tcPr>
            <w:tcW w:w="3852"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1225" w:type="dxa"/>
            <w:gridSpan w:val="2"/>
            <w:tcBorders/>
            <w:shd w:fill="FFFFFF" w:val="clear"/>
            <w:vAlign w:val="bottom"/>
          </w:tcPr>
          <w:p>
            <w:pPr>
              <w:pStyle w:val="TableContents"/>
              <w:spacing w:before="0" w:after="283"/>
              <w:jc w:val="center"/>
              <w:rPr>
                <w:b/>
              </w:rPr>
            </w:pPr>
            <w:r>
              <w:rPr>
                <w:b/>
              </w:rPr>
              <w:t>Effective</w:t>
            </w:r>
          </w:p>
        </w:tc>
        <w:tc>
          <w:tcPr>
            <w:tcW w:w="151"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1390" w:type="dxa"/>
            <w:gridSpan w:val="2"/>
            <w:tcBorders/>
            <w:shd w:fill="FFFFFF" w:val="clear"/>
            <w:vAlign w:val="bottom"/>
          </w:tcPr>
          <w:p>
            <w:pPr>
              <w:pStyle w:val="TableContents"/>
              <w:spacing w:before="0" w:after="283"/>
              <w:jc w:val="center"/>
              <w:rPr>
                <w:b/>
              </w:rPr>
            </w:pPr>
            <w:r>
              <w:rPr>
                <w:b/>
              </w:rPr>
              <w:t>Acquisition</w:t>
            </w:r>
          </w:p>
        </w:tc>
        <w:tc>
          <w:tcPr>
            <w:tcW w:w="151"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2968" w:type="dxa"/>
            <w:tcBorders/>
            <w:shd w:fill="FFFFFF" w:val="clear"/>
            <w:vAlign w:val="bottom"/>
          </w:tcPr>
          <w:p>
            <w:pPr>
              <w:pStyle w:val="TableContents"/>
              <w:spacing w:before="0" w:after="283"/>
              <w:jc w:val="center"/>
              <w:rPr/>
            </w:pPr>
            <w:r>
              <w:rPr/>
              <w:t xml:space="preserve">  </w:t>
            </w:r>
          </w:p>
        </w:tc>
      </w:tr>
      <w:tr>
        <w:trPr/>
        <w:tc>
          <w:tcPr>
            <w:tcW w:w="3852" w:type="dxa"/>
            <w:tcBorders/>
            <w:shd w:fill="FFFFFF" w:val="clear"/>
            <w:vAlign w:val="bottom"/>
          </w:tcPr>
          <w:p>
            <w:pPr>
              <w:pStyle w:val="TableContents"/>
              <w:spacing w:before="0" w:after="0"/>
              <w:jc w:val="left"/>
              <w:rPr>
                <w:bdr w:val="single" w:sz="2" w:space="1" w:color="000000"/>
              </w:rPr>
            </w:pPr>
            <w:r>
              <w:rPr>
                <w:b/>
                <w:bdr w:val="single" w:sz="2" w:space="1" w:color="000000"/>
              </w:rPr>
              <w:t>Acquisition</w:t>
            </w:r>
            <w:r>
              <w:rPr>
                <w:bdr w:val="single" w:sz="2" w:space="1" w:color="000000"/>
              </w:rPr>
              <w:t xml:space="preserve"> </w:t>
            </w:r>
          </w:p>
        </w:tc>
        <w:tc>
          <w:tcPr>
            <w:tcW w:w="156" w:type="dxa"/>
            <w:tcBorders/>
            <w:shd w:fill="FFFFFF" w:val="clear"/>
            <w:vAlign w:val="bottom"/>
          </w:tcPr>
          <w:p>
            <w:pPr>
              <w:pStyle w:val="TableContents"/>
              <w:spacing w:before="0" w:after="283"/>
              <w:jc w:val="center"/>
              <w:rPr/>
            </w:pPr>
            <w:r>
              <w:rPr/>
              <w:t xml:space="preserve">  </w:t>
            </w:r>
          </w:p>
        </w:tc>
        <w:tc>
          <w:tcPr>
            <w:tcW w:w="122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Date</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139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Price</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2968" w:type="dxa"/>
            <w:tcBorders>
              <w:bottom w:val="single" w:sz="2" w:space="0" w:color="000000"/>
            </w:tcBorders>
            <w:shd w:fill="FFFFFF" w:val="clear"/>
            <w:tcMar>
              <w:bottom w:w="28" w:type="dxa"/>
            </w:tcMar>
            <w:vAlign w:val="bottom"/>
          </w:tcPr>
          <w:p>
            <w:pPr>
              <w:pStyle w:val="TableContents"/>
              <w:spacing w:before="0" w:after="283"/>
              <w:jc w:val="center"/>
              <w:rPr/>
            </w:pPr>
            <w:r>
              <w:rPr>
                <w:b/>
              </w:rPr>
              <w:t>Operating Segment</w:t>
            </w:r>
            <w:r>
              <w:rPr/>
              <w:t xml:space="preserve"> </w:t>
            </w:r>
          </w:p>
        </w:tc>
      </w:tr>
      <w:tr>
        <w:trPr/>
        <w:tc>
          <w:tcPr>
            <w:tcW w:w="3852" w:type="dxa"/>
            <w:tcBorders/>
            <w:shd w:fill="FFFFFF" w:val="clear"/>
            <w:vAlign w:val="center"/>
          </w:tcPr>
          <w:p>
            <w:pPr>
              <w:pStyle w:val="TableContents"/>
              <w:spacing w:before="0" w:after="283"/>
              <w:rPr/>
            </w:pPr>
            <w:r>
              <w:rPr/>
              <w:t xml:space="preserve">  </w:t>
            </w:r>
          </w:p>
        </w:tc>
        <w:tc>
          <w:tcPr>
            <w:tcW w:w="6353" w:type="dxa"/>
            <w:gridSpan w:val="10"/>
            <w:tcBorders/>
            <w:shd w:fill="FFFFFF" w:val="clear"/>
          </w:tcPr>
          <w:p>
            <w:pPr>
              <w:pStyle w:val="TableContents"/>
              <w:spacing w:before="0" w:after="283"/>
              <w:rPr>
                <w:sz w:val="4"/>
                <w:szCs w:val="4"/>
              </w:rPr>
            </w:pPr>
            <w:r>
              <w:rPr>
                <w:sz w:val="4"/>
                <w:szCs w:val="4"/>
              </w:rPr>
            </w:r>
          </w:p>
        </w:tc>
      </w:tr>
      <w:tr>
        <w:trPr/>
        <w:tc>
          <w:tcPr>
            <w:tcW w:w="3852" w:type="dxa"/>
            <w:tcBorders/>
            <w:shd w:fill="CCEEFF" w:val="clear"/>
            <w:vAlign w:val="bottom"/>
          </w:tcPr>
          <w:p>
            <w:pPr>
              <w:pStyle w:val="TableContents"/>
              <w:spacing w:before="0" w:after="0"/>
              <w:ind w:left="200" w:right="0" w:hanging="200"/>
              <w:jc w:val="left"/>
              <w:rPr>
                <w:sz w:val="17"/>
              </w:rPr>
            </w:pPr>
            <w:r>
              <w:rPr>
                <w:sz w:val="17"/>
              </w:rPr>
              <w:t xml:space="preserve">Capline and Capwood Pipeline Systems (Capline acquisition)(1) </w:t>
            </w:r>
          </w:p>
        </w:tc>
        <w:tc>
          <w:tcPr>
            <w:tcW w:w="156"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1074" w:type="dxa"/>
            <w:tcBorders/>
            <w:shd w:fill="CCEEFF" w:val="clear"/>
            <w:vAlign w:val="bottom"/>
          </w:tcPr>
          <w:p>
            <w:pPr>
              <w:pStyle w:val="TableContents"/>
              <w:spacing w:before="0" w:after="283"/>
              <w:jc w:val="right"/>
              <w:rPr/>
            </w:pPr>
            <w:r>
              <w:rPr/>
              <w:t xml:space="preserve">03/01/04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103" w:type="dxa"/>
            <w:tcBorders/>
            <w:shd w:fill="CCEEFF" w:val="clear"/>
            <w:vAlign w:val="bottom"/>
          </w:tcPr>
          <w:p>
            <w:pPr>
              <w:pStyle w:val="TableContents"/>
              <w:spacing w:before="0" w:after="283"/>
              <w:jc w:val="right"/>
              <w:rPr/>
            </w:pPr>
            <w:r>
              <w:rPr/>
              <w:t xml:space="preserve">158.5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968" w:type="dxa"/>
            <w:tcBorders/>
            <w:shd w:fill="CCEEFF" w:val="clear"/>
            <w:vAlign w:val="bottom"/>
          </w:tcPr>
          <w:p>
            <w:pPr>
              <w:pStyle w:val="TableContents"/>
              <w:spacing w:before="0" w:after="283"/>
              <w:jc w:val="center"/>
              <w:rPr>
                <w:sz w:val="17"/>
              </w:rPr>
            </w:pPr>
            <w:r>
              <w:rPr>
                <w:sz w:val="17"/>
              </w:rPr>
              <w:t xml:space="preserve">Transportation </w:t>
            </w:r>
          </w:p>
        </w:tc>
      </w:tr>
      <w:tr>
        <w:trPr/>
        <w:tc>
          <w:tcPr>
            <w:tcW w:w="3852" w:type="dxa"/>
            <w:tcBorders/>
            <w:shd w:fill="FFFFFF" w:val="clear"/>
            <w:vAlign w:val="bottom"/>
          </w:tcPr>
          <w:p>
            <w:pPr>
              <w:pStyle w:val="TableContents"/>
              <w:spacing w:before="0" w:after="0"/>
              <w:ind w:left="200" w:right="0" w:hanging="200"/>
              <w:jc w:val="left"/>
              <w:rPr>
                <w:sz w:val="17"/>
              </w:rPr>
            </w:pPr>
            <w:r>
              <w:rPr>
                <w:sz w:val="17"/>
              </w:rPr>
              <w:t xml:space="preserve">Link Energy LLC (Link acquisition)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1074" w:type="dxa"/>
            <w:tcBorders/>
            <w:shd w:fill="FFFFFF" w:val="clear"/>
            <w:vAlign w:val="bottom"/>
          </w:tcPr>
          <w:p>
            <w:pPr>
              <w:pStyle w:val="TableContents"/>
              <w:spacing w:before="0" w:after="283"/>
              <w:jc w:val="right"/>
              <w:rPr/>
            </w:pPr>
            <w:r>
              <w:rPr/>
              <w:t xml:space="preserve">04/01/04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103" w:type="dxa"/>
            <w:tcBorders/>
            <w:shd w:fill="FFFFFF" w:val="clear"/>
            <w:vAlign w:val="bottom"/>
          </w:tcPr>
          <w:p>
            <w:pPr>
              <w:pStyle w:val="TableContents"/>
              <w:spacing w:before="0" w:after="283"/>
              <w:jc w:val="right"/>
              <w:rPr/>
            </w:pPr>
            <w:r>
              <w:rPr/>
              <w:t xml:space="preserve">332.3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968" w:type="dxa"/>
            <w:tcBorders/>
            <w:shd w:fill="FFFFFF" w:val="clear"/>
            <w:vAlign w:val="bottom"/>
          </w:tcPr>
          <w:p>
            <w:pPr>
              <w:pStyle w:val="TableContents"/>
              <w:spacing w:before="0" w:after="283"/>
              <w:jc w:val="center"/>
              <w:rPr>
                <w:sz w:val="17"/>
              </w:rPr>
            </w:pPr>
            <w:r>
              <w:rPr>
                <w:sz w:val="17"/>
              </w:rPr>
              <w:t>Transportation, Facilities,</w:t>
              <w:br/>
              <w:t xml:space="preserve">Marketing </w:t>
            </w:r>
          </w:p>
        </w:tc>
      </w:tr>
      <w:tr>
        <w:trPr/>
        <w:tc>
          <w:tcPr>
            <w:tcW w:w="3852" w:type="dxa"/>
            <w:tcBorders/>
            <w:shd w:fill="CCEEFF" w:val="clear"/>
            <w:vAlign w:val="bottom"/>
          </w:tcPr>
          <w:p>
            <w:pPr>
              <w:pStyle w:val="TableContents"/>
              <w:spacing w:before="0" w:after="0"/>
              <w:ind w:left="200" w:right="0" w:hanging="200"/>
              <w:jc w:val="left"/>
              <w:rPr>
                <w:sz w:val="17"/>
              </w:rPr>
            </w:pPr>
            <w:r>
              <w:rPr>
                <w:sz w:val="17"/>
              </w:rPr>
              <w:t xml:space="preserve">Cal Ven Pipeline System </w:t>
            </w:r>
          </w:p>
        </w:tc>
        <w:tc>
          <w:tcPr>
            <w:tcW w:w="156"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1074" w:type="dxa"/>
            <w:tcBorders/>
            <w:shd w:fill="CCEEFF" w:val="clear"/>
            <w:vAlign w:val="bottom"/>
          </w:tcPr>
          <w:p>
            <w:pPr>
              <w:pStyle w:val="TableContents"/>
              <w:spacing w:before="0" w:after="283"/>
              <w:jc w:val="right"/>
              <w:rPr/>
            </w:pPr>
            <w:r>
              <w:rPr/>
              <w:t xml:space="preserve">05/01/04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103" w:type="dxa"/>
            <w:tcBorders/>
            <w:shd w:fill="CCEEFF" w:val="clear"/>
            <w:vAlign w:val="bottom"/>
          </w:tcPr>
          <w:p>
            <w:pPr>
              <w:pStyle w:val="TableContents"/>
              <w:spacing w:before="0" w:after="283"/>
              <w:jc w:val="right"/>
              <w:rPr/>
            </w:pPr>
            <w:r>
              <w:rPr/>
              <w:t xml:space="preserve">19.0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968" w:type="dxa"/>
            <w:tcBorders/>
            <w:shd w:fill="CCEEFF" w:val="clear"/>
            <w:vAlign w:val="bottom"/>
          </w:tcPr>
          <w:p>
            <w:pPr>
              <w:pStyle w:val="TableContents"/>
              <w:spacing w:before="0" w:after="283"/>
              <w:jc w:val="center"/>
              <w:rPr>
                <w:sz w:val="17"/>
              </w:rPr>
            </w:pPr>
            <w:r>
              <w:rPr>
                <w:sz w:val="17"/>
              </w:rPr>
              <w:t xml:space="preserve">Transportation </w:t>
            </w:r>
          </w:p>
        </w:tc>
      </w:tr>
      <w:tr>
        <w:trPr/>
        <w:tc>
          <w:tcPr>
            <w:tcW w:w="3852" w:type="dxa"/>
            <w:tcBorders/>
            <w:shd w:fill="FFFFFF" w:val="clear"/>
            <w:vAlign w:val="bottom"/>
          </w:tcPr>
          <w:p>
            <w:pPr>
              <w:pStyle w:val="TableContents"/>
              <w:spacing w:before="0" w:after="0"/>
              <w:ind w:left="200" w:right="0" w:hanging="200"/>
              <w:jc w:val="left"/>
              <w:rPr>
                <w:sz w:val="17"/>
              </w:rPr>
            </w:pPr>
            <w:r>
              <w:rPr>
                <w:sz w:val="17"/>
              </w:rPr>
              <w:t xml:space="preserve">Schaefferstown Propane Storage Facility(2)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1074" w:type="dxa"/>
            <w:tcBorders/>
            <w:shd w:fill="FFFFFF" w:val="clear"/>
            <w:vAlign w:val="bottom"/>
          </w:tcPr>
          <w:p>
            <w:pPr>
              <w:pStyle w:val="TableContents"/>
              <w:spacing w:before="0" w:after="283"/>
              <w:jc w:val="right"/>
              <w:rPr/>
            </w:pPr>
            <w:r>
              <w:rPr/>
              <w:t xml:space="preserve">08/25/04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103" w:type="dxa"/>
            <w:tcBorders/>
            <w:shd w:fill="FFFFFF" w:val="clear"/>
            <w:vAlign w:val="bottom"/>
          </w:tcPr>
          <w:p>
            <w:pPr>
              <w:pStyle w:val="TableContents"/>
              <w:spacing w:before="0" w:after="283"/>
              <w:jc w:val="right"/>
              <w:rPr/>
            </w:pPr>
            <w:r>
              <w:rPr/>
              <w:t xml:space="preserve">46.4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968" w:type="dxa"/>
            <w:tcBorders/>
            <w:shd w:fill="FFFFFF" w:val="clear"/>
            <w:vAlign w:val="bottom"/>
          </w:tcPr>
          <w:p>
            <w:pPr>
              <w:pStyle w:val="TableContents"/>
              <w:spacing w:before="0" w:after="283"/>
              <w:jc w:val="center"/>
              <w:rPr>
                <w:sz w:val="17"/>
              </w:rPr>
            </w:pPr>
            <w:r>
              <w:rPr>
                <w:sz w:val="17"/>
              </w:rPr>
              <w:t xml:space="preserve">Facilities </w:t>
            </w:r>
          </w:p>
        </w:tc>
      </w:tr>
      <w:tr>
        <w:trPr/>
        <w:tc>
          <w:tcPr>
            <w:tcW w:w="3852" w:type="dxa"/>
            <w:tcBorders/>
            <w:shd w:fill="CCEEFF" w:val="clear"/>
            <w:vAlign w:val="bottom"/>
          </w:tcPr>
          <w:p>
            <w:pPr>
              <w:pStyle w:val="TableContents"/>
              <w:spacing w:before="0" w:after="0"/>
              <w:ind w:left="200" w:right="0" w:hanging="200"/>
              <w:jc w:val="left"/>
              <w:rPr>
                <w:sz w:val="17"/>
              </w:rPr>
            </w:pPr>
            <w:r>
              <w:rPr>
                <w:sz w:val="17"/>
              </w:rPr>
              <w:t xml:space="preserve">Other </w:t>
            </w:r>
          </w:p>
        </w:tc>
        <w:tc>
          <w:tcPr>
            <w:tcW w:w="156" w:type="dxa"/>
            <w:tcBorders/>
            <w:shd w:fill="CCEEFF" w:val="clear"/>
            <w:vAlign w:val="bottom"/>
          </w:tcPr>
          <w:p>
            <w:pPr>
              <w:pStyle w:val="TableContents"/>
              <w:spacing w:before="0" w:after="283"/>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1074" w:type="dxa"/>
            <w:tcBorders/>
            <w:shd w:fill="CCEEFF" w:val="clear"/>
            <w:vAlign w:val="bottom"/>
          </w:tcPr>
          <w:p>
            <w:pPr>
              <w:pStyle w:val="TableContents"/>
              <w:spacing w:before="0" w:after="283"/>
              <w:jc w:val="right"/>
              <w:rPr/>
            </w:pPr>
            <w:r>
              <w:rPr/>
              <w:t xml:space="preserve">various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87" w:type="dxa"/>
            <w:tcBorders/>
            <w:shd w:fill="CCEEFF" w:val="clear"/>
            <w:vAlign w:val="bottom"/>
          </w:tcPr>
          <w:p>
            <w:pPr>
              <w:pStyle w:val="TableContents"/>
              <w:spacing w:before="0" w:after="283"/>
              <w:jc w:val="left"/>
              <w:rPr/>
            </w:pPr>
            <w:r>
              <w:rPr/>
              <w:t xml:space="preserve">  </w:t>
            </w:r>
          </w:p>
        </w:tc>
        <w:tc>
          <w:tcPr>
            <w:tcW w:w="1103" w:type="dxa"/>
            <w:tcBorders/>
            <w:shd w:fill="CCEEFF" w:val="clear"/>
            <w:vAlign w:val="bottom"/>
          </w:tcPr>
          <w:p>
            <w:pPr>
              <w:pStyle w:val="TableContents"/>
              <w:spacing w:before="0" w:after="283"/>
              <w:jc w:val="right"/>
              <w:rPr/>
            </w:pPr>
            <w:r>
              <w:rPr/>
              <w:t xml:space="preserve">7.7 </w:t>
            </w:r>
          </w:p>
        </w:tc>
        <w:tc>
          <w:tcPr>
            <w:tcW w:w="151"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968" w:type="dxa"/>
            <w:tcBorders/>
            <w:shd w:fill="CCEEFF" w:val="clear"/>
            <w:vAlign w:val="bottom"/>
          </w:tcPr>
          <w:p>
            <w:pPr>
              <w:pStyle w:val="TableContents"/>
              <w:spacing w:before="0" w:after="283"/>
              <w:jc w:val="center"/>
              <w:rPr>
                <w:sz w:val="17"/>
              </w:rPr>
            </w:pPr>
            <w:r>
              <w:rPr>
                <w:sz w:val="17"/>
              </w:rPr>
              <w:t xml:space="preserve">Facilities, Marketing </w:t>
            </w:r>
          </w:p>
        </w:tc>
      </w:tr>
      <w:tr>
        <w:trPr/>
        <w:tc>
          <w:tcPr>
            <w:tcW w:w="3852"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074"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968" w:type="dxa"/>
            <w:tcBorders/>
            <w:shd w:fill="FFFFFF" w:val="clear"/>
            <w:vAlign w:val="bottom"/>
          </w:tcPr>
          <w:p>
            <w:pPr>
              <w:pStyle w:val="TableContents"/>
              <w:spacing w:before="0" w:after="283"/>
              <w:rPr/>
            </w:pPr>
            <w:r>
              <w:rPr/>
              <w:t xml:space="preserve">  </w:t>
            </w:r>
          </w:p>
        </w:tc>
      </w:tr>
      <w:tr>
        <w:trPr/>
        <w:tc>
          <w:tcPr>
            <w:tcW w:w="3852"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1074" w:type="dxa"/>
            <w:tcBorders/>
            <w:shd w:fill="FFFFFF" w:val="clear"/>
            <w:vAlign w:val="bottom"/>
          </w:tcPr>
          <w:p>
            <w:pPr>
              <w:pStyle w:val="TableContents"/>
              <w:spacing w:before="0" w:after="283"/>
              <w:jc w:val="right"/>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jc w:val="left"/>
              <w:rPr/>
            </w:pPr>
            <w:r>
              <w:rPr/>
              <w:t xml:space="preserve">$ </w:t>
            </w:r>
          </w:p>
        </w:tc>
        <w:tc>
          <w:tcPr>
            <w:tcW w:w="1103" w:type="dxa"/>
            <w:tcBorders/>
            <w:shd w:fill="FFFFFF" w:val="clear"/>
            <w:vAlign w:val="bottom"/>
          </w:tcPr>
          <w:p>
            <w:pPr>
              <w:pStyle w:val="TableContents"/>
              <w:spacing w:before="0" w:after="283"/>
              <w:jc w:val="right"/>
              <w:rPr/>
            </w:pPr>
            <w:r>
              <w:rPr/>
              <w:t xml:space="preserve">563.9 </w:t>
            </w:r>
          </w:p>
        </w:tc>
        <w:tc>
          <w:tcPr>
            <w:tcW w:w="151" w:type="dxa"/>
            <w:tcBorders/>
            <w:shd w:fill="FFFFFF" w:val="clear"/>
            <w:vAlign w:val="bottom"/>
          </w:tcPr>
          <w:p>
            <w:pPr>
              <w:pStyle w:val="TableContents"/>
              <w:spacing w:before="0" w:after="283"/>
              <w:jc w:val="left"/>
              <w:rPr/>
            </w:pPr>
            <w:r>
              <w:rPr/>
              <w:t xml:space="preserve">  </w:t>
            </w:r>
          </w:p>
        </w:tc>
        <w:tc>
          <w:tcPr>
            <w:tcW w:w="156" w:type="dxa"/>
            <w:tcBorders/>
            <w:shd w:fill="FFFFFF" w:val="clear"/>
            <w:vAlign w:val="bottom"/>
          </w:tcPr>
          <w:p>
            <w:pPr>
              <w:pStyle w:val="TableContents"/>
              <w:spacing w:before="0" w:after="283"/>
              <w:rPr/>
            </w:pPr>
            <w:r>
              <w:rPr/>
              <w:t xml:space="preserve">  </w:t>
            </w:r>
          </w:p>
        </w:tc>
        <w:tc>
          <w:tcPr>
            <w:tcW w:w="2968" w:type="dxa"/>
            <w:tcBorders/>
            <w:shd w:fill="FFFFFF" w:val="clear"/>
            <w:vAlign w:val="bottom"/>
          </w:tcPr>
          <w:p>
            <w:pPr>
              <w:pStyle w:val="TableContents"/>
              <w:spacing w:before="0" w:after="283"/>
              <w:jc w:val="center"/>
              <w:rPr/>
            </w:pPr>
            <w:r>
              <w:rPr/>
              <w:t xml:space="preserve">  </w:t>
            </w:r>
          </w:p>
        </w:tc>
      </w:tr>
      <w:tr>
        <w:trPr/>
        <w:tc>
          <w:tcPr>
            <w:tcW w:w="3852"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074" w:type="dxa"/>
            <w:tcBorders/>
            <w:shd w:fill="FFFFFF" w:val="cle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968"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a deposit of approximately $16 million which was paid in December 2003 for the Capline acquisition.</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approximately $14.4 million of LPG operating inventory acquired.</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Capline and Capwood Pipeline Systems.</w:t>
      </w:r>
      <w:r>
        <w:rPr>
          <w:rFonts w:ascii="Times New Roman;Times" w:hAnsi="Times New Roman;Times"/>
          <w:color w:val="000000"/>
          <w:sz w:val="17"/>
          <w:highlight w:val="white"/>
        </w:rPr>
        <w:t xml:space="preserve">  The principal assets acquired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Capwood Pipeline System is a 58-mile, 20-inch mainline crude oil pipeline originating in Patoka, Illinois, and terminating in Wood River, Illinois. These pipelines provide one of the primary transportation routes for crude oil shipped into the Midwestern U.S. and delivered to several refineries and other pipelines.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Link Energy LLC.</w:t>
      </w:r>
      <w:r>
        <w:rPr>
          <w:rFonts w:ascii="Times New Roman;Times" w:hAnsi="Times New Roman;Times"/>
          <w:color w:val="000000"/>
          <w:sz w:val="17"/>
          <w:highlight w:val="white"/>
        </w:rPr>
        <w:t xml:space="preserve">  The Link crude oil business we acquired consisted of approximately 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Critical Accounting Policies and Estimates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Critical Accounting Policies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adopted various accounting policies to prepare our consolidated financial statements in accordance with generally accepted accounting principles in the United States. These critical accounting policies are discussed in Note 2 to the Consolidated Financial Statements.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Critical Accounting Estimates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preparation of financial statements in conformity with accounting principles generally accepted in the United States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The critical accounting policies that we have identified are discussed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Purchase and Sales Accruals.</w:t>
      </w:r>
      <w:r>
        <w:rPr>
          <w:rFonts w:ascii="Times New Roman;Times" w:hAnsi="Times New Roman;Times"/>
          <w:color w:val="000000"/>
          <w:sz w:val="17"/>
          <w:highlight w:val="white"/>
        </w:rPr>
        <w:t xml:space="preserve">  We routinely make accruals based on estimates for certain components of our revenues and cost of sales due to the timing of compiling billing information, receiving third 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We currently estimate that less than 2% of total annual revenues and cost of sales are recorded using estimates. Accordingly, a variance from this estimate of 10% would impact the respective line items by less than 1% on an annual basis. In addition, we estimate that less than 4% of total operating income and less than 5% of total net income are recorded using estimates.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Mark-to-Market Accrual.</w:t>
      </w:r>
      <w:r>
        <w:rPr>
          <w:rFonts w:ascii="Times New Roman;Times" w:hAnsi="Times New Roman;Times"/>
          <w:color w:val="000000"/>
          <w:sz w:val="17"/>
          <w:highlight w:val="white"/>
        </w:rPr>
        <w:t xml:space="preserve">  In situations where we are required to mark-to-market derivatives pursuant to SFAS 133, the estimates of gains or losses at a particular period end do not reflect the end results of particular transactions, and will most likely not reflect the actual gain or loss at the conclusion of a transaction. We reflect estimates for these items based on our internal records and information from third parties. A portion of the estimates we use are based on internal models or models of third parties because they are not quoted on a national market. Additionally, values may vary among different models due to a difference in assumptions applied, such as the estimate of prevailing market prices, volatility, correlations and other factors and may not be reflective of the price at which they can be settled due to the lack of a liquid market. Less than 1% of total annual revenues are based on estimates derived from these models. Although the resolution of these uncertainties has not historically had a material impact on our results of operations or financial condition, we cannot provide assurance that actual amounts will not vary significantly from estimated amounts.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Contingent Liability Accruals.</w:t>
      </w:r>
      <w:r>
        <w:rPr>
          <w:rFonts w:ascii="Times New Roman;Times" w:hAnsi="Times New Roman;Times"/>
          <w:color w:val="000000"/>
          <w:sz w:val="17"/>
          <w:highlight w:val="white"/>
        </w:rPr>
        <w:t xml:space="preserve">  We accrue reserves for contingent liabilities including, but not limited to, environmental remediation and governmental penalties, insurance claims, asset retirement obligations, taxes,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costs of medical care associated with workers compensation and employee health insurance claims, and the possibility of existing legal claims giving rise to additional claims. Our estimates for contingent liability accruals are increased or decreased as additional information is obtained or resolution is achieved. A variance of 10% in our aggregate estimate for the contingent liabilities discussed above would have an approximate $5.2 million impact on earnings. Although the resolution of these uncertainties has not historically had a material impact on our results of operations or financial condition, we cannot provide assurance that actual amounts will not vary significantly from estimated amounts.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Fair Value of Assets and Liabilities Acquired and Identification of Associated Goodwill and Intangible Assets.</w:t>
      </w:r>
      <w:r>
        <w:rPr>
          <w:rFonts w:ascii="Times New Roman;Times" w:hAnsi="Times New Roman;Times"/>
          <w:color w:val="000000"/>
          <w:sz w:val="17"/>
          <w:highlight w:val="white"/>
        </w:rPr>
        <w:t xml:space="preserve">  In conjunction with each acquisition, we must allocate the cost of the acquired entity to the assets and liabilities assumed based on their estimated fair values at the date of acquisition. We also estimate the amount of transaction costs that will be incurred in connection with each acquisition. As additional information becomes available, we may adjust the original estimates within a short time period subsequent to the acquisition. In addition, in conjunction with the adoption of SFAS 141, we are required to recognize intangible assets separately from goodwill. Goodwill and intangible assets with indefinite lives are not amortized but instead are periodically assessed for impairment. The impairment testing entails estimating future net cash flows relating to the asset, based on managements estimate of market conditions including pricing, demand, competition, operating costs and other factors. Intangible assets with finite lives are amortized over the estimated useful life determined by management.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The purchase price allocation related to the Pacific acquisition is preliminary and subject to change. See Note 3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Long-Term Incentive Plan Accruals.</w:t>
      </w:r>
      <w:r>
        <w:rPr>
          <w:rFonts w:ascii="Times New Roman;Times" w:hAnsi="Times New Roman;Times"/>
          <w:color w:val="000000"/>
          <w:sz w:val="17"/>
          <w:highlight w:val="white"/>
        </w:rPr>
        <w:t xml:space="preserve">  We also make accruals to recognize the fair value of our outstanding LTIP awards as compensation expense. Under generally accepted accounting principles, we are required to estimate the fair value of our outstanding LTIP awards and recognize that fair value as compensation expense over the course of the LTIP awards vesting period. For LTIP awards that contain a performance condition, the fair value of the LTIP award is recognized as compensation expense only if the attainment of the performance condition is considered probable. The amount of the actual charge to compensation expense will be determined by the unit price on the date vesting occurs (or, in some cases, the average unit price for a range of dates preceding the vesting date) multiplied by the number of units, plus our share of associated employment taxes. Uncertainties involved in this estimate include the actual unit price at time of settlement, whether or not a performance condition will be attained and the continued employment of personnel subject to the vestings.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achieved a $3.20 annualized distribution rate and therefore we are accruing compensation expense for LTIP awards that vest upon the attainment of that rate. We recognized total compensation expense of approximately $42.7 million in 2006 and $26.1 million in 2005 related to awards granted under our various LTIP plans. We cannot provide assurance that the actual fair value of our LTIP awards will not vary significantly from estimated amounts. See Note 10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Goodwill.</w:t>
      </w:r>
      <w:r>
        <w:rPr>
          <w:rFonts w:ascii="Times New Roman;Times" w:hAnsi="Times New Roman;Times"/>
          <w:color w:val="000000"/>
          <w:sz w:val="17"/>
          <w:highlight w:val="white"/>
        </w:rPr>
        <w:t xml:space="preserve">  We perform our goodwill impairment test annually (as of June 30) and when events or changes in circumstances indicate that the carrying value may not be recoverable. We consider the estimate of fair value to be a critical accounting estimate because (a) a goodwill impairment could have a material impact on our financial position and results of operations and (b) the estimate is based on a number of highly subjective judgments and assumptions.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Property, Plant and Equipment and Depreciation Expense.</w:t>
      </w:r>
      <w:r>
        <w:rPr>
          <w:rFonts w:ascii="Times New Roman;Times" w:hAnsi="Times New Roman;Times"/>
          <w:color w:val="000000"/>
          <w:sz w:val="17"/>
          <w:highlight w:val="white"/>
        </w:rPr>
        <w:t xml:space="preserve">  We compute depreciation using the straight-line method based on estimated useful lives. We periodically evaluate property, plant and equipment for impairment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when events or circumstances indicate that the carrying value of these assets may not be recoverable. The evaluation is highly dependent on the underlying assumptions of related cash flows. We consider the fair value estimate used to calculate impairment of property, plant and equipment a critical accounting estimate. In determining the existence of an impairment in carrying value, we make a number of subjective assumptions as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whether there is an indication of impairment;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grouping of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intention of holding versus selling an asset;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forecast of undiscounted expected future cash flow over the assets estimated useful life;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an impairment exists, the fair value of the asset or asset group.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Asset Retirement Obligation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account for asset retirement obligations under SFAS No. 143 Accounting for Asset Retirement Obligations. SFAS 143 establishes accounting requirements for retirement obligations associated with tangible long-lived assets, including estimates related to (1) the time of the liability recognition, (2) initial measurement of the liability, (3) allocation of asset retirement cost to expense and (4) subsequent measurement of the liability. SFAS 143 requires that the cost for asset retirement should be capitalized as part of the cost of the related long-lived asset and subsequently allocated to expense using a systematic and rational method.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Some of our assets, primarily related to our transportation segment,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 timing of the obligations is determined relative to the date on which the asset is abandoned.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Many of our pipelines are trunk and interstate systems that transport crude oil. The pipelines with indeterminate settlement dates have been in existence for many years and with regular maintenance will continue to be in service for many years to come. Also, it is not possible to predict when demands for this transportation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 A small portion of our contractual or regulatory obligations are related to assets that are inactive or that we plan to take out of service and although the ultimate timing and costs to settle these obligations are not known with certainty, we can reasonably estimate the obligation.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Recent Accounting Pronouncements and Change in Accounting Principle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Recent Accounting Pronouncements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discussion of recent accounting pronouncements that will impact us, see Note 2 to our Consolidated Financial Statements.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Accounting Principle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Stock-Based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2004, SFAS 123(R) was issued, which amends SFAS No. 123, Accounting for Stock-Based Compensation, and establishes accounting for transactions in which an entity exchanges its equity instruments for goods or services. This statement requires that the cost resulting from such share-based payment transactions be recognized in the financial statements at fair value. Following our general partners adoption of Emerging Issues Task Force Issue No. 04-05, Determining Whether a General Partner, or the General Partners as a Group, Controls a Limited Partnership or Similar Entity When the Limited Partners Have Certain Rights, we are now part of the same consolidated group and thus SFAS 123(R) is applicable to our general partners long-term incentive plan. We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adopted SFAS 123(R) on January 1, 2006 under the modified prospective transition method, as defined in SFAS 123(R), and recognized a cumulative effect of change in accounting principle of approximately $6 million. The cumulative effect adjustment represents a decrease to our LTIP life-to-date accrued expense and related liability under our previous cash-plan, probability-based accounting model and adjusts our aggregate liability to the appropriate fair-value based liability as calculated under a SFAS 123(R) methodology. Our LTIPs are administered by our general partner. We are required to reimburse all costs incurred by our general partner through LTIP settlements. As a result, our LTIP awards are classified as liabilities under SFAS 123(R). Under the modified prospective transition method, we are not required to adjust our prior period financial statements for our LTIP awards.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Linefill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second quarter of 2004, we changed our method of accounting for pipeline linefill in third party assets. Historically, we viewed pipeline linefill, whether in our assets or third party assets, as having long-term characteristics rather than characteristics typically associated with the short-term classification of operating inventory. Therefore, previously we did not include linefill barrels in the same average costing calculation as our operating inventory, but instead carried linefill at historical cost. Following this change in accounting principle, the linefill in third party assets that we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 current asset), at average cost, and into Inventory in Third-Party Assets (a long-term asset), which is now reflected as a separate line item on the consolidated balance sheet.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change in accounting principle was effective January 1, 2004 and is reflected as a cumulative change in our consolidated statement of operations for the year ended December 31, 2004. The cumulative effect of this change in accounting principle as of January 1, 2004, is a charge of approximately $3.1 million, representing a reduction in Inventory of approximately $1.7 million, a reduction in Pipeline Linefill of approximately $30.3 million and an increase in Inventory in Third-Party Assets of $28.9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Results of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Analysis of Operating Segments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the fourth quarter of 2006, we managed our operations through two segments. Due to our growth, especially in the facilities portion of our business most notably in conjunction with the Pacific acquisition, we have revised the manner in which we internally evaluate our segment performance and decide how to allocate resources to our segments. As a result, we now manage our operations through three operating segments: (i) Transportation, (ii) Facilities, and (iii) Marketing. Prior period disclosures have been revised to reflect our change in segments.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evaluate segment performance based on segment profit and maintenance capital. We define segment profit as revenues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 maintenance capital. Repair and maintenance expenditures associated with existing assets that do not extend the useful life or expand the operating capacity are charged to expense as incurred. See Note 15 to our Consolidated Financial Statements for a reconciliation of segment profit to consolidated income before cumulative effect of change in accounting principle.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segment analysis involves an element of judgment relating to the allocations between segments. In connection with its operations, the marketing segment secures transportation and facilities services from the Partnerships other two segments as well as third-party service providers under month-to-month and multi-year arrangements. Inter-segment transportation service rates are based on posted tariffs for pipeline transportation services. Facilities segment services are also obtained at rates consistent with rates charged to third parties for similar services; however, certain terminalling and storage rates are discounted to our marketing segment to reflect the fact that these services may be canceled on short notice to enable the facilities segment to provide services to third parties. We believe that the estimates with respect to the rates that are charged by our facilities segment to our marketing segment are reasonable. We also allocate certain operating expense and general and administrative overheads between segments. We believe that the estimates with respect to the allocations are reasonable.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Transportation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owned approximately 20,000 miles of active gathering and mainline crude oil and refined products pipelines located throughout the United States and Canada as well as approximately 60 million barrels of active above-ground crude oil, refined products and LPG storage tanks, of which approximately 30 million barrels are utilized in our transportation segment. Our activities from transportation operations generally consist of transporting crude oil and refined products for a fee and third-party leases of pipeline capacity (collectively referred to as tariff activities), as well as barrel exchanges and buy/sell arrangements (collectively referred to as pipeline margin activities). In addition, we transport crude oil for third parties for a fee using our trucks and barges. These barge transportation services are provided through our 50% owned entity, Settoon Towing. Our transportation segment also includes our equity in earnings from our investment in Settoon Towing, Butte and Frontier. Butte and Frontier are pipeline systems in which we own approximately 22% and 22%, respectively. In connection with certain of our merchant activities conducted under our marketing business, we are also shippers on a number of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barrel exchanges and buy/sell arrangements generally reflect a negotiated amount.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our operating results from our transportation segment for the periods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195"/>
        <w:gridCol w:w="178"/>
        <w:gridCol w:w="201"/>
        <w:gridCol w:w="738"/>
        <w:gridCol w:w="171"/>
        <w:gridCol w:w="247"/>
        <w:gridCol w:w="201"/>
        <w:gridCol w:w="738"/>
        <w:gridCol w:w="171"/>
        <w:gridCol w:w="247"/>
        <w:gridCol w:w="201"/>
        <w:gridCol w:w="738"/>
        <w:gridCol w:w="179"/>
      </w:tblGrid>
      <w:tr>
        <w:trPr/>
        <w:tc>
          <w:tcPr>
            <w:tcW w:w="6195"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738"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738"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738"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r>
      <w:tr>
        <w:trPr/>
        <w:tc>
          <w:tcPr>
            <w:tcW w:w="6195"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3653"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79" w:type="dxa"/>
            <w:tcBorders/>
            <w:shd w:fill="FFFFFF" w:val="clear"/>
            <w:vAlign w:val="bottom"/>
          </w:tcPr>
          <w:p>
            <w:pPr>
              <w:pStyle w:val="TableContents"/>
              <w:spacing w:before="0" w:after="283"/>
              <w:jc w:val="center"/>
              <w:rPr/>
            </w:pPr>
            <w:r>
              <w:rPr/>
              <w:t xml:space="preserve">  </w:t>
            </w:r>
          </w:p>
        </w:tc>
      </w:tr>
      <w:tr>
        <w:trPr/>
        <w:tc>
          <w:tcPr>
            <w:tcW w:w="6195"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9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9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9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9" w:type="dxa"/>
            <w:tcBorders/>
            <w:shd w:fill="FFFFFF" w:val="clear"/>
            <w:vAlign w:val="bottom"/>
          </w:tcPr>
          <w:p>
            <w:pPr>
              <w:pStyle w:val="TableContents"/>
              <w:spacing w:before="0" w:after="283"/>
              <w:jc w:val="center"/>
              <w:rPr/>
            </w:pPr>
            <w:r>
              <w:rPr/>
              <w:t xml:space="preserve">  </w:t>
            </w:r>
          </w:p>
        </w:tc>
      </w:tr>
      <w:tr>
        <w:trPr/>
        <w:tc>
          <w:tcPr>
            <w:tcW w:w="6195"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3653" w:type="dxa"/>
            <w:gridSpan w:val="10"/>
            <w:tcBorders/>
            <w:shd w:fill="FFFFFF" w:val="clear"/>
            <w:vAlign w:val="bottom"/>
          </w:tcPr>
          <w:p>
            <w:pPr>
              <w:pStyle w:val="TableContents"/>
              <w:spacing w:before="0" w:after="283"/>
              <w:jc w:val="center"/>
              <w:rPr/>
            </w:pPr>
            <w:r>
              <w:rPr>
                <w:b/>
              </w:rPr>
              <w:t>(In millions)</w:t>
            </w:r>
            <w:r>
              <w:rPr/>
              <w:t xml:space="preserve"> </w:t>
            </w:r>
          </w:p>
        </w:tc>
        <w:tc>
          <w:tcPr>
            <w:tcW w:w="179" w:type="dxa"/>
            <w:tcBorders/>
            <w:shd w:fill="FFFFFF" w:val="clear"/>
            <w:vAlign w:val="bottom"/>
          </w:tcPr>
          <w:p>
            <w:pPr>
              <w:pStyle w:val="TableContents"/>
              <w:spacing w:before="0" w:after="283"/>
              <w:jc w:val="center"/>
              <w:rPr/>
            </w:pPr>
            <w:r>
              <w:rPr/>
              <w:t xml:space="preserve">  </w:t>
            </w:r>
          </w:p>
        </w:tc>
      </w:tr>
      <w:tr>
        <w:trPr/>
        <w:tc>
          <w:tcPr>
            <w:tcW w:w="6195" w:type="dxa"/>
            <w:tcBorders/>
            <w:shd w:fill="FFFFFF" w:val="clear"/>
            <w:vAlign w:val="center"/>
          </w:tcPr>
          <w:p>
            <w:pPr>
              <w:pStyle w:val="TableContents"/>
              <w:spacing w:before="0" w:after="283"/>
              <w:rPr/>
            </w:pPr>
            <w:r>
              <w:rPr/>
              <w:t xml:space="preserve">  </w:t>
            </w:r>
          </w:p>
        </w:tc>
        <w:tc>
          <w:tcPr>
            <w:tcW w:w="4010" w:type="dxa"/>
            <w:gridSpan w:val="12"/>
            <w:tcBorders/>
            <w:shd w:fill="FFFFFF" w:val="clear"/>
          </w:tcPr>
          <w:p>
            <w:pPr>
              <w:pStyle w:val="TableContents"/>
              <w:spacing w:before="0" w:after="283"/>
              <w:rPr>
                <w:sz w:val="4"/>
                <w:szCs w:val="4"/>
              </w:rPr>
            </w:pPr>
            <w:r>
              <w:rPr>
                <w:sz w:val="4"/>
                <w:szCs w:val="4"/>
              </w:rPr>
            </w:r>
          </w:p>
        </w:tc>
      </w:tr>
      <w:tr>
        <w:trPr/>
        <w:tc>
          <w:tcPr>
            <w:tcW w:w="6195" w:type="dxa"/>
            <w:tcBorders/>
            <w:shd w:fill="CCEEFF" w:val="clear"/>
            <w:vAlign w:val="bottom"/>
          </w:tcPr>
          <w:p>
            <w:pPr>
              <w:pStyle w:val="TableContents"/>
              <w:spacing w:before="0" w:after="283"/>
              <w:jc w:val="left"/>
              <w:rPr/>
            </w:pPr>
            <w:r>
              <w:rPr/>
              <w:t xml:space="preserve">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200" w:right="0" w:hanging="200"/>
              <w:jc w:val="left"/>
              <w:rPr/>
            </w:pPr>
            <w:r>
              <w:rPr>
                <w:b/>
                <w:sz w:val="17"/>
              </w:rPr>
              <w:t>Operating Results(1)</w:t>
            </w: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400" w:right="0" w:hanging="200"/>
              <w:jc w:val="left"/>
              <w:rPr>
                <w:sz w:val="17"/>
              </w:rPr>
            </w:pPr>
            <w:r>
              <w:rPr>
                <w:sz w:val="17"/>
              </w:rPr>
              <w:t xml:space="preserve">Revenues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Tariff revenue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449.5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381.1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309.9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Pipeline margin activities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23.6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20.0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18.1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Third-party trucking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60.9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34.1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20.9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CCEEFF" w:val="clear"/>
            <w:vAlign w:val="bottom"/>
          </w:tcPr>
          <w:p>
            <w:pPr>
              <w:pStyle w:val="TableContents"/>
              <w:spacing w:before="0" w:after="0"/>
              <w:ind w:left="400" w:right="0" w:hanging="200"/>
              <w:jc w:val="left"/>
              <w:rPr>
                <w:sz w:val="17"/>
              </w:rPr>
            </w:pPr>
            <w:r>
              <w:rPr>
                <w:sz w:val="17"/>
              </w:rPr>
              <w:t xml:space="preserve">Total pipeline operations revenues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534.0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435.2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348.9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400" w:right="0" w:hanging="200"/>
              <w:jc w:val="left"/>
              <w:rPr>
                <w:sz w:val="17"/>
              </w:rPr>
            </w:pPr>
            <w:r>
              <w:rPr>
                <w:sz w:val="17"/>
              </w:rPr>
              <w:t xml:space="preserve">Costs and Expenses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Pipeline margin activities purchases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(3.2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(2.0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(1.5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Third-party trucking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(68.1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(48.2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(26.4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Field operating costs (excluding LTIP charge)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(200.7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(164.5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(131.0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LTIP charge  operations(3)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(4.5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(1.0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(0.6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Segment G&amp;A expenses (excluding LTIP charge)(2)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(42.9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(40.2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(36.6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LTIP charge  general and administrative(3)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(16.3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(10.6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(3.4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400" w:right="0" w:hanging="200"/>
              <w:jc w:val="left"/>
              <w:rPr>
                <w:sz w:val="17"/>
              </w:rPr>
            </w:pPr>
            <w:r>
              <w:rPr>
                <w:sz w:val="17"/>
              </w:rPr>
              <w:t xml:space="preserve">Equity in earnings from unconsolidated entities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1.9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0.8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0.5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FFFFFF" w:val="clear"/>
            <w:vAlign w:val="bottom"/>
          </w:tcPr>
          <w:p>
            <w:pPr>
              <w:pStyle w:val="TableContents"/>
              <w:spacing w:before="0" w:after="0"/>
              <w:ind w:left="400" w:right="0" w:hanging="200"/>
              <w:jc w:val="left"/>
              <w:rPr>
                <w:sz w:val="17"/>
              </w:rPr>
            </w:pPr>
            <w:r>
              <w:rPr>
                <w:sz w:val="17"/>
              </w:rPr>
              <w:t xml:space="preserve">Segment profit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200.2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169.5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149.9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CCEEFF" w:val="clear"/>
            <w:vAlign w:val="bottom"/>
          </w:tcPr>
          <w:p>
            <w:pPr>
              <w:pStyle w:val="TableContents"/>
              <w:spacing w:before="0" w:after="0"/>
              <w:ind w:left="400" w:right="0" w:hanging="200"/>
              <w:jc w:val="left"/>
              <w:rPr>
                <w:sz w:val="17"/>
              </w:rPr>
            </w:pPr>
            <w:r>
              <w:rPr>
                <w:sz w:val="17"/>
              </w:rPr>
              <w:t xml:space="preserve">Maintenance capital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20.0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8.5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7.7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FFFFFF" w:val="clear"/>
            <w:vAlign w:val="bottom"/>
          </w:tcPr>
          <w:p>
            <w:pPr>
              <w:pStyle w:val="TableContents"/>
              <w:spacing w:before="0" w:after="0"/>
              <w:ind w:left="400" w:right="0" w:hanging="200"/>
              <w:jc w:val="left"/>
              <w:rPr>
                <w:sz w:val="17"/>
              </w:rPr>
            </w:pPr>
            <w:r>
              <w:rPr>
                <w:sz w:val="17"/>
              </w:rPr>
              <w:t xml:space="preserve">Segment profit per barrel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0.26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0.26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0.28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CCEEFF" w:val="clear"/>
            <w:vAlign w:val="bottom"/>
          </w:tcPr>
          <w:p>
            <w:pPr>
              <w:pStyle w:val="TableContents"/>
              <w:spacing w:before="0" w:after="0"/>
              <w:ind w:left="200" w:right="0" w:hanging="200"/>
              <w:jc w:val="left"/>
              <w:rPr/>
            </w:pPr>
            <w:r>
              <w:rPr>
                <w:b/>
                <w:sz w:val="17"/>
              </w:rPr>
              <w:t xml:space="preserve">Average Daily Volumes </w:t>
            </w:r>
            <w:r>
              <w:rPr>
                <w:sz w:val="17"/>
              </w:rPr>
              <w:t xml:space="preserve">(thousands of barrels per day)(4)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400" w:right="0" w:hanging="200"/>
              <w:jc w:val="left"/>
              <w:rPr>
                <w:sz w:val="17"/>
              </w:rPr>
            </w:pPr>
            <w:r>
              <w:rPr>
                <w:sz w:val="17"/>
              </w:rPr>
              <w:t xml:space="preserve">Tariff activities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All American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49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51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54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Basin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332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290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265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BOA/CAM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89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N/A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N/A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Capline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160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132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123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Cushing to Broome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73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66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N/A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North Dakota/Trenton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89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77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39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West Texas/New Mexico Area Systems(5)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433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428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338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0"/>
              <w:ind w:left="600" w:right="0" w:hanging="200"/>
              <w:jc w:val="left"/>
              <w:rPr>
                <w:sz w:val="17"/>
              </w:rPr>
            </w:pPr>
            <w:r>
              <w:rPr>
                <w:sz w:val="17"/>
              </w:rPr>
              <w:t xml:space="preserve">Canada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272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255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263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600" w:right="0" w:hanging="200"/>
              <w:jc w:val="left"/>
              <w:rPr>
                <w:sz w:val="17"/>
              </w:rPr>
            </w:pPr>
            <w:r>
              <w:rPr>
                <w:sz w:val="17"/>
              </w:rPr>
              <w:t xml:space="preserve">Other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521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426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330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FFFFFF" w:val="clear"/>
            <w:vAlign w:val="bottom"/>
          </w:tcPr>
          <w:p>
            <w:pPr>
              <w:pStyle w:val="TableContents"/>
              <w:spacing w:before="0" w:after="0"/>
              <w:ind w:left="400" w:right="0" w:hanging="200"/>
              <w:jc w:val="left"/>
              <w:rPr>
                <w:sz w:val="17"/>
              </w:rPr>
            </w:pPr>
            <w:r>
              <w:rPr>
                <w:sz w:val="17"/>
              </w:rPr>
              <w:t xml:space="preserve">Total tariff activities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2,018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1,725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1,412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CCEEFF" w:val="clear"/>
            <w:vAlign w:val="bottom"/>
          </w:tcPr>
          <w:p>
            <w:pPr>
              <w:pStyle w:val="TableContents"/>
              <w:spacing w:before="0" w:after="0"/>
              <w:ind w:left="200" w:right="0" w:hanging="200"/>
              <w:jc w:val="left"/>
              <w:rPr>
                <w:sz w:val="17"/>
              </w:rPr>
            </w:pPr>
            <w:r>
              <w:rPr>
                <w:sz w:val="17"/>
              </w:rPr>
              <w:t xml:space="preserve">Pipeline margin activities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88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74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738" w:type="dxa"/>
            <w:tcBorders/>
            <w:shd w:fill="CCEEFF" w:val="clear"/>
            <w:vAlign w:val="bottom"/>
          </w:tcPr>
          <w:p>
            <w:pPr>
              <w:pStyle w:val="TableContents"/>
              <w:spacing w:before="0" w:after="283"/>
              <w:jc w:val="right"/>
              <w:rPr/>
            </w:pPr>
            <w:r>
              <w:rPr/>
              <w:t xml:space="preserve">74 </w:t>
            </w:r>
          </w:p>
        </w:tc>
        <w:tc>
          <w:tcPr>
            <w:tcW w:w="179" w:type="dxa"/>
            <w:tcBorders/>
            <w:shd w:fill="CCEE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r>
        <w:trPr/>
        <w:tc>
          <w:tcPr>
            <w:tcW w:w="6195" w:type="dxa"/>
            <w:tcBorders/>
            <w:shd w:fill="FFFFFF" w:val="clear"/>
            <w:vAlign w:val="bottom"/>
          </w:tcPr>
          <w:p>
            <w:pPr>
              <w:pStyle w:val="TableContents"/>
              <w:spacing w:before="0" w:after="0"/>
              <w:ind w:left="800" w:right="0" w:hanging="200"/>
              <w:jc w:val="left"/>
              <w:rPr/>
            </w:pPr>
            <w:r>
              <w:rPr>
                <w:b/>
                <w:sz w:val="17"/>
              </w:rPr>
              <w:t>Transportation Activities Total</w:t>
            </w: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2,106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1,799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738" w:type="dxa"/>
            <w:tcBorders/>
            <w:shd w:fill="FFFFFF" w:val="clear"/>
            <w:vAlign w:val="bottom"/>
          </w:tcPr>
          <w:p>
            <w:pPr>
              <w:pStyle w:val="TableContents"/>
              <w:spacing w:before="0" w:after="283"/>
              <w:jc w:val="right"/>
              <w:rPr/>
            </w:pPr>
            <w:r>
              <w:rPr/>
              <w:t xml:space="preserve">1,486 </w:t>
            </w:r>
          </w:p>
        </w:tc>
        <w:tc>
          <w:tcPr>
            <w:tcW w:w="179" w:type="dxa"/>
            <w:tcBorders/>
            <w:shd w:fill="FFFFFF" w:val="clear"/>
            <w:vAlign w:val="bottom"/>
          </w:tcPr>
          <w:p>
            <w:pPr>
              <w:pStyle w:val="TableContents"/>
              <w:spacing w:before="0" w:after="283"/>
              <w:jc w:val="left"/>
              <w:rPr/>
            </w:pPr>
            <w:r>
              <w:rPr/>
              <w:t xml:space="preserve">  </w:t>
            </w:r>
          </w:p>
        </w:tc>
      </w:tr>
      <w:tr>
        <w:trPr/>
        <w:tc>
          <w:tcPr>
            <w:tcW w:w="6195"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Revenues and purchases include intersegment amounts.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Compensation expense related to our 1998 Long-Term Incentive Plan (1998 LTIP), our 2005 Long-Term Incentive Plan (2005 LTIP), and our 2006 Long-Term Incentive Tracking Unit Plan (2006 Plan and, together with the 1998 Plan and 2005 Plan, the Long-Term Incentive Plans or LTIP).</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Volumes associated with acquisitions represent total volumes transported for the number of days we actually owned the assets divided by the number of days in the period.</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The aggregate of multiple systems in the West Texas/New Mexico area.</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our primary measure of segment performance, was impacted by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8"/>
        <w:gridCol w:w="9541"/>
      </w:tblGrid>
      <w:tr>
        <w:trPr/>
        <w:tc>
          <w:tcPr>
            <w:tcW w:w="39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volumes and related tariff revenues  The increase in tariff revenues resulted from (i) higher volumes primarily from multi-year contracts on our Basin and Capline systems entered into during the third quarter of 2006 and the second quarter of 2006, respectively, (ii) increased volumes associated with the acquisition of the BOA/CAM/HIPS systems, (iii) higher volumes on various other systems, and (iv) increased revenues from loss allowance oil.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subsequent sales of allowance oil barrels are also included in tariff revenues. Increased volumes and higher crude oil prices during 2006 as compared to 2005 have resulted in increased revenues related to loss allowance oil. The average NYMEX crude oil price for 2006 was $66.27 per barrel versus $56.65 in 2005 and $41.29 in 2004. The increase in volumes and related tariff revenues in 2005 versus 2004 is primarily related to the Link acquisition and other acquisitions completed during 2005 and 2004. The increase primarily resulted from the inclusion of the related assets for the entire 2005 period versus only a portion of the 2004 period.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field operating costs  Field operating costs have increased for most categories of costs for 2006 as we have continued to grow through acquisitions and expansion projects. The most significant cost increases in 2006 have been related to (i) payroll and benefits, (ii) utilities, (iii) integrity work, and (iv) property taxes. Utilities increased approximately $10 million in 2006 over the prior year due to a variety of factors including (i) an increase in electricity consumption related to increased volumes, partially offset by lower electricity market prices and (ii) a true-up of prior and current accruals following receipt of final billing information upon expiration of an existing term arrangement with a significant electricity provider. Our costs increased in 2005 as compared to 2004, primarily from the Link acquisition and other acquisitions completed during 2004. The 2005 increased costs primarily relate to (i) payroll and benefits, (ii) emergency response and environmental remediation of pipeline releases, (iii) maintenance and (iv) utilities.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segment G&amp;A expenses  Segment G&amp;A expenses excluding LTIP charges were relatively flat in 2006 compared to 2005. The increase in segment G&amp;A expenses in 2005 is primarily related to the acquisition activity.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LTIP expenses  LTIP charges included in field operating costs and segment G&amp;A expenses increased approximately $9 million in 2006 over 2005, primarily as a result of an increase in our unit price to $51.20 at December 31, 2006 from $39.57 at December 31, 2005. LTIP-related charges increased approximately $8 million in 2005 over 2004, primarily as a result of LTIP grants made in 2005 and an increase in our unit price. Our unit price at December 31, 2004 was $37.74 per unit. See Note 10 to our Consolidated Financial Statements.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discussed above, the increase in transportation segment profit is largely related to our acquisition activities. We have completed a number of acquisitions during 2006, 2005 and 2004 that have impacted our results of operations. The following table summarizes the year-over-year impact that recent acquisitions and expansion projects have had on tariff revenue and volumes: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458"/>
        <w:gridCol w:w="135"/>
        <w:gridCol w:w="353"/>
        <w:gridCol w:w="828"/>
        <w:gridCol w:w="147"/>
        <w:gridCol w:w="177"/>
        <w:gridCol w:w="228"/>
        <w:gridCol w:w="833"/>
        <w:gridCol w:w="147"/>
        <w:gridCol w:w="177"/>
        <w:gridCol w:w="353"/>
        <w:gridCol w:w="828"/>
        <w:gridCol w:w="147"/>
        <w:gridCol w:w="177"/>
        <w:gridCol w:w="228"/>
        <w:gridCol w:w="832"/>
        <w:gridCol w:w="157"/>
      </w:tblGrid>
      <w:tr>
        <w:trPr/>
        <w:tc>
          <w:tcPr>
            <w:tcW w:w="4458"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rPr/>
            </w:pPr>
            <w:r>
              <w:rPr/>
              <w:t> </w:t>
            </w:r>
          </w:p>
        </w:tc>
        <w:tc>
          <w:tcPr>
            <w:tcW w:w="353" w:type="dxa"/>
            <w:tcBorders/>
            <w:shd w:fill="FFFFFF" w:val="clear"/>
            <w:vAlign w:val="bottom"/>
          </w:tcPr>
          <w:p>
            <w:pPr>
              <w:pStyle w:val="TableContents"/>
              <w:spacing w:before="0" w:after="283"/>
              <w:jc w:val="right"/>
              <w:rPr/>
            </w:pPr>
            <w:r>
              <w:rPr/>
              <w:t> </w:t>
            </w:r>
          </w:p>
        </w:tc>
        <w:tc>
          <w:tcPr>
            <w:tcW w:w="828"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833"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353" w:type="dxa"/>
            <w:tcBorders/>
            <w:shd w:fill="FFFFFF" w:val="clear"/>
            <w:vAlign w:val="bottom"/>
          </w:tcPr>
          <w:p>
            <w:pPr>
              <w:pStyle w:val="TableContents"/>
              <w:spacing w:before="0" w:after="283"/>
              <w:jc w:val="right"/>
              <w:rPr/>
            </w:pPr>
            <w:r>
              <w:rPr/>
              <w:t> </w:t>
            </w:r>
          </w:p>
        </w:tc>
        <w:tc>
          <w:tcPr>
            <w:tcW w:w="828"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right"/>
              <w:rPr/>
            </w:pPr>
            <w:r>
              <w:rPr/>
              <w:t> </w:t>
            </w:r>
          </w:p>
        </w:tc>
        <w:tc>
          <w:tcPr>
            <w:tcW w:w="832"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r>
      <w:tr>
        <w:trPr/>
        <w:tc>
          <w:tcPr>
            <w:tcW w:w="4458" w:type="dxa"/>
            <w:tcBorders/>
            <w:shd w:fill="FFFFFF" w:val="clear"/>
            <w:vAlign w:val="bottom"/>
          </w:tcPr>
          <w:p>
            <w:pPr>
              <w:pStyle w:val="TableContents"/>
              <w:spacing w:before="0" w:after="283"/>
              <w:jc w:val="center"/>
              <w:rPr/>
            </w:pPr>
            <w:r>
              <w:rPr/>
              <w:t xml:space="preserve">  </w:t>
            </w:r>
          </w:p>
        </w:tc>
        <w:tc>
          <w:tcPr>
            <w:tcW w:w="135" w:type="dxa"/>
            <w:tcBorders/>
            <w:shd w:fill="FFFFFF" w:val="clear"/>
            <w:vAlign w:val="bottom"/>
          </w:tcPr>
          <w:p>
            <w:pPr>
              <w:pStyle w:val="TableContents"/>
              <w:spacing w:before="0" w:after="283"/>
              <w:jc w:val="center"/>
              <w:rPr/>
            </w:pPr>
            <w:r>
              <w:rPr/>
              <w:t xml:space="preserve">  </w:t>
            </w:r>
          </w:p>
        </w:tc>
        <w:tc>
          <w:tcPr>
            <w:tcW w:w="5455" w:type="dxa"/>
            <w:gridSpan w:val="14"/>
            <w:tcBorders>
              <w:bottom w:val="single" w:sz="2" w:space="0" w:color="000000"/>
            </w:tcBorders>
            <w:shd w:fill="FFFFFF" w:val="clear"/>
            <w:tcMar>
              <w:bottom w:w="28" w:type="dxa"/>
            </w:tcMar>
            <w:vAlign w:val="bottom"/>
          </w:tcPr>
          <w:p>
            <w:pPr>
              <w:pStyle w:val="TableContents"/>
              <w:spacing w:before="0" w:after="283"/>
              <w:jc w:val="center"/>
              <w:rPr/>
            </w:pPr>
            <w:r>
              <w:rPr>
                <w:b/>
              </w:rPr>
              <w:t>Change in the Periods for the Year Ended December 31,</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4458" w:type="dxa"/>
            <w:tcBorders/>
            <w:shd w:fill="FFFFFF" w:val="clear"/>
            <w:vAlign w:val="bottom"/>
          </w:tcPr>
          <w:p>
            <w:pPr>
              <w:pStyle w:val="TableContents"/>
              <w:spacing w:before="0" w:after="283"/>
              <w:jc w:val="center"/>
              <w:rPr/>
            </w:pPr>
            <w:r>
              <w:rPr/>
              <w:t xml:space="preserve">  </w:t>
            </w:r>
          </w:p>
        </w:tc>
        <w:tc>
          <w:tcPr>
            <w:tcW w:w="135" w:type="dxa"/>
            <w:tcBorders/>
            <w:shd w:fill="FFFFFF" w:val="clear"/>
            <w:vAlign w:val="bottom"/>
          </w:tcPr>
          <w:p>
            <w:pPr>
              <w:pStyle w:val="TableContents"/>
              <w:spacing w:before="0" w:after="283"/>
              <w:jc w:val="center"/>
              <w:rPr/>
            </w:pPr>
            <w:r>
              <w:rPr/>
              <w:t xml:space="preserve">  </w:t>
            </w:r>
          </w:p>
        </w:tc>
        <w:tc>
          <w:tcPr>
            <w:tcW w:w="256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2006 vs 2005</w:t>
            </w:r>
            <w:r>
              <w:rPr/>
              <w:t xml:space="preserve"> </w:t>
            </w:r>
          </w:p>
        </w:tc>
        <w:tc>
          <w:tcPr>
            <w:tcW w:w="147" w:type="dxa"/>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256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2005 vs 2004</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4458" w:type="dxa"/>
            <w:tcBorders/>
            <w:shd w:fill="FFFFFF" w:val="clear"/>
            <w:vAlign w:val="bottom"/>
          </w:tcPr>
          <w:p>
            <w:pPr>
              <w:pStyle w:val="TableContents"/>
              <w:spacing w:before="0" w:after="283"/>
              <w:jc w:val="center"/>
              <w:rPr/>
            </w:pPr>
            <w:r>
              <w:rPr/>
              <w:t xml:space="preserve">  </w:t>
            </w:r>
          </w:p>
        </w:tc>
        <w:tc>
          <w:tcPr>
            <w:tcW w:w="135" w:type="dxa"/>
            <w:tcBorders/>
            <w:shd w:fill="FFFFFF" w:val="clear"/>
            <w:vAlign w:val="bottom"/>
          </w:tcPr>
          <w:p>
            <w:pPr>
              <w:pStyle w:val="TableContents"/>
              <w:spacing w:before="0" w:after="283"/>
              <w:jc w:val="center"/>
              <w:rPr/>
            </w:pPr>
            <w:r>
              <w:rPr/>
              <w:t xml:space="preserve">  </w:t>
            </w:r>
          </w:p>
        </w:tc>
        <w:tc>
          <w:tcPr>
            <w:tcW w:w="11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Revenues</w:t>
            </w:r>
            <w:r>
              <w:rPr/>
              <w:t xml:space="preserve"> </w:t>
            </w:r>
          </w:p>
        </w:tc>
        <w:tc>
          <w:tcPr>
            <w:tcW w:w="147" w:type="dxa"/>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6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Volumes</w:t>
            </w:r>
            <w:r>
              <w:rPr/>
              <w:t xml:space="preserve"> </w:t>
            </w:r>
          </w:p>
        </w:tc>
        <w:tc>
          <w:tcPr>
            <w:tcW w:w="147" w:type="dxa"/>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18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Revenues</w:t>
            </w:r>
            <w:r>
              <w:rPr/>
              <w:t xml:space="preserve"> </w:t>
            </w:r>
          </w:p>
        </w:tc>
        <w:tc>
          <w:tcPr>
            <w:tcW w:w="147" w:type="dxa"/>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Volumes</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4458" w:type="dxa"/>
            <w:tcBorders/>
            <w:shd w:fill="FFFFFF" w:val="clear"/>
            <w:vAlign w:val="bottom"/>
          </w:tcPr>
          <w:p>
            <w:pPr>
              <w:pStyle w:val="TableContents"/>
              <w:spacing w:before="0" w:after="283"/>
              <w:jc w:val="center"/>
              <w:rPr/>
            </w:pPr>
            <w:r>
              <w:rPr/>
              <w:t xml:space="preserve">  </w:t>
            </w:r>
          </w:p>
        </w:tc>
        <w:tc>
          <w:tcPr>
            <w:tcW w:w="135" w:type="dxa"/>
            <w:tcBorders/>
            <w:shd w:fill="FFFFFF" w:val="clear"/>
            <w:vAlign w:val="bottom"/>
          </w:tcPr>
          <w:p>
            <w:pPr>
              <w:pStyle w:val="TableContents"/>
              <w:spacing w:before="0" w:after="283"/>
              <w:jc w:val="center"/>
              <w:rPr/>
            </w:pPr>
            <w:r>
              <w:rPr/>
              <w:t xml:space="preserve">  </w:t>
            </w:r>
          </w:p>
        </w:tc>
        <w:tc>
          <w:tcPr>
            <w:tcW w:w="5455" w:type="dxa"/>
            <w:gridSpan w:val="14"/>
            <w:tcBorders/>
            <w:shd w:fill="FFFFFF" w:val="clear"/>
            <w:vAlign w:val="bottom"/>
          </w:tcPr>
          <w:p>
            <w:pPr>
              <w:pStyle w:val="TableContents"/>
              <w:spacing w:before="0" w:after="283"/>
              <w:jc w:val="center"/>
              <w:rPr/>
            </w:pPr>
            <w:r>
              <w:rPr>
                <w:b/>
              </w:rPr>
              <w:t>(Volumes in thousands of barrels per day and revenues in millions)</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4458" w:type="dxa"/>
            <w:tcBorders/>
            <w:shd w:fill="FFFFFF" w:val="clear"/>
            <w:vAlign w:val="center"/>
          </w:tcPr>
          <w:p>
            <w:pPr>
              <w:pStyle w:val="TableContents"/>
              <w:spacing w:before="0" w:after="283"/>
              <w:rPr/>
            </w:pPr>
            <w:r>
              <w:rPr/>
              <w:t xml:space="preserve">  </w:t>
            </w:r>
          </w:p>
        </w:tc>
        <w:tc>
          <w:tcPr>
            <w:tcW w:w="5747" w:type="dxa"/>
            <w:gridSpan w:val="16"/>
            <w:tcBorders/>
            <w:shd w:fill="FFFFFF" w:val="clear"/>
          </w:tcPr>
          <w:p>
            <w:pPr>
              <w:pStyle w:val="TableContents"/>
              <w:spacing w:before="0" w:after="283"/>
              <w:rPr>
                <w:sz w:val="4"/>
                <w:szCs w:val="4"/>
              </w:rPr>
            </w:pPr>
            <w:r>
              <w:rPr>
                <w:sz w:val="4"/>
                <w:szCs w:val="4"/>
              </w:rPr>
            </w:r>
          </w:p>
        </w:tc>
      </w:tr>
      <w:tr>
        <w:trPr/>
        <w:tc>
          <w:tcPr>
            <w:tcW w:w="4458" w:type="dxa"/>
            <w:tcBorders/>
            <w:shd w:fill="CCEEFF" w:val="clear"/>
            <w:vAlign w:val="bottom"/>
          </w:tcPr>
          <w:p>
            <w:pPr>
              <w:pStyle w:val="TableContents"/>
              <w:spacing w:before="0" w:after="0"/>
              <w:ind w:left="200" w:right="0" w:hanging="200"/>
              <w:jc w:val="left"/>
              <w:rPr/>
            </w:pPr>
            <w:r>
              <w:rPr>
                <w:b/>
                <w:sz w:val="17"/>
              </w:rPr>
              <w:t>Tariff activities(1)(2)(3)</w:t>
            </w:r>
            <w:r>
              <w:rPr/>
              <w:t xml:space="preserve"> </w:t>
            </w:r>
          </w:p>
        </w:tc>
        <w:tc>
          <w:tcPr>
            <w:tcW w:w="135"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3" w:type="dxa"/>
            <w:tcBorders/>
            <w:shd w:fill="CCEEFF" w:val="clear"/>
            <w:vAlign w:val="bottom"/>
          </w:tcPr>
          <w:p>
            <w:pPr>
              <w:pStyle w:val="TableContents"/>
              <w:spacing w:before="0" w:after="283"/>
              <w:jc w:val="right"/>
              <w:rPr/>
            </w:pPr>
            <w:r>
              <w:rPr/>
              <w:t xml:space="preserve">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r>
      <w:tr>
        <w:trPr/>
        <w:tc>
          <w:tcPr>
            <w:tcW w:w="4458" w:type="dxa"/>
            <w:tcBorders/>
            <w:shd w:fill="FFFFFF" w:val="clear"/>
            <w:vAlign w:val="bottom"/>
          </w:tcPr>
          <w:p>
            <w:pPr>
              <w:pStyle w:val="TableContents"/>
              <w:spacing w:before="0" w:after="0"/>
              <w:ind w:left="400" w:right="0" w:hanging="200"/>
              <w:jc w:val="left"/>
              <w:rPr>
                <w:sz w:val="17"/>
              </w:rPr>
            </w:pPr>
            <w:r>
              <w:rPr>
                <w:sz w:val="17"/>
              </w:rPr>
              <w:t xml:space="preserve">2006 acquisitions/expansions </w:t>
            </w:r>
          </w:p>
        </w:tc>
        <w:tc>
          <w:tcPr>
            <w:tcW w:w="135"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32.8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3" w:type="dxa"/>
            <w:tcBorders/>
            <w:shd w:fill="FFFFFF" w:val="clear"/>
            <w:vAlign w:val="bottom"/>
          </w:tcPr>
          <w:p>
            <w:pPr>
              <w:pStyle w:val="TableContents"/>
              <w:spacing w:before="0" w:after="283"/>
              <w:jc w:val="right"/>
              <w:rPr/>
            </w:pPr>
            <w:r>
              <w:rPr/>
              <w:t xml:space="preserve">178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N/A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N/A </w:t>
            </w:r>
          </w:p>
        </w:tc>
        <w:tc>
          <w:tcPr>
            <w:tcW w:w="157" w:type="dxa"/>
            <w:tcBorders/>
            <w:shd w:fill="FFFFFF" w:val="clear"/>
            <w:vAlign w:val="bottom"/>
          </w:tcPr>
          <w:p>
            <w:pPr>
              <w:pStyle w:val="TableContents"/>
              <w:spacing w:before="0" w:after="283"/>
              <w:jc w:val="left"/>
              <w:rPr/>
            </w:pPr>
            <w:r>
              <w:rPr/>
              <w:t xml:space="preserve">  </w:t>
            </w:r>
          </w:p>
        </w:tc>
      </w:tr>
      <w:tr>
        <w:trPr/>
        <w:tc>
          <w:tcPr>
            <w:tcW w:w="4458" w:type="dxa"/>
            <w:tcBorders/>
            <w:shd w:fill="CCEEFF" w:val="clear"/>
            <w:vAlign w:val="bottom"/>
          </w:tcPr>
          <w:p>
            <w:pPr>
              <w:pStyle w:val="TableContents"/>
              <w:spacing w:before="0" w:after="0"/>
              <w:ind w:left="400" w:right="0" w:hanging="200"/>
              <w:jc w:val="left"/>
              <w:rPr>
                <w:sz w:val="17"/>
              </w:rPr>
            </w:pPr>
            <w:r>
              <w:rPr>
                <w:sz w:val="17"/>
              </w:rPr>
              <w:t xml:space="preserve">2005 acquisitions/expansions </w:t>
            </w:r>
          </w:p>
        </w:tc>
        <w:tc>
          <w:tcPr>
            <w:tcW w:w="135"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5.7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3" w:type="dxa"/>
            <w:tcBorders/>
            <w:shd w:fill="CCEEFF" w:val="clear"/>
            <w:vAlign w:val="bottom"/>
          </w:tcPr>
          <w:p>
            <w:pPr>
              <w:pStyle w:val="TableContents"/>
              <w:spacing w:before="0" w:after="283"/>
              <w:jc w:val="right"/>
              <w:rPr/>
            </w:pPr>
            <w:r>
              <w:rPr/>
              <w:t xml:space="preserve">8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14.1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96 </w:t>
            </w:r>
          </w:p>
        </w:tc>
        <w:tc>
          <w:tcPr>
            <w:tcW w:w="157" w:type="dxa"/>
            <w:tcBorders/>
            <w:shd w:fill="CCEEFF" w:val="clear"/>
            <w:vAlign w:val="bottom"/>
          </w:tcPr>
          <w:p>
            <w:pPr>
              <w:pStyle w:val="TableContents"/>
              <w:spacing w:before="0" w:after="283"/>
              <w:jc w:val="left"/>
              <w:rPr/>
            </w:pPr>
            <w:r>
              <w:rPr/>
              <w:t xml:space="preserve">  </w:t>
            </w:r>
          </w:p>
        </w:tc>
      </w:tr>
      <w:tr>
        <w:trPr/>
        <w:tc>
          <w:tcPr>
            <w:tcW w:w="4458" w:type="dxa"/>
            <w:tcBorders/>
            <w:shd w:fill="FFFFFF" w:val="clear"/>
            <w:vAlign w:val="bottom"/>
          </w:tcPr>
          <w:p>
            <w:pPr>
              <w:pStyle w:val="TableContents"/>
              <w:spacing w:before="0" w:after="0"/>
              <w:ind w:left="400" w:right="0" w:hanging="200"/>
              <w:jc w:val="left"/>
              <w:rPr>
                <w:sz w:val="17"/>
              </w:rPr>
            </w:pPr>
            <w:r>
              <w:rPr>
                <w:sz w:val="17"/>
              </w:rPr>
              <w:t xml:space="preserve">2004 acquisitions/expansions </w:t>
            </w:r>
          </w:p>
        </w:tc>
        <w:tc>
          <w:tcPr>
            <w:tcW w:w="135"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2.7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3" w:type="dxa"/>
            <w:tcBorders/>
            <w:shd w:fill="FFFFFF" w:val="clear"/>
            <w:vAlign w:val="bottom"/>
          </w:tcPr>
          <w:p>
            <w:pPr>
              <w:pStyle w:val="TableContents"/>
              <w:spacing w:before="0" w:after="283"/>
              <w:jc w:val="right"/>
              <w:rPr/>
            </w:pPr>
            <w:r>
              <w:rPr/>
              <w:t xml:space="preserve">28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22.6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140 </w:t>
            </w:r>
          </w:p>
        </w:tc>
        <w:tc>
          <w:tcPr>
            <w:tcW w:w="157" w:type="dxa"/>
            <w:tcBorders/>
            <w:shd w:fill="FFFFFF" w:val="clear"/>
            <w:vAlign w:val="bottom"/>
          </w:tcPr>
          <w:p>
            <w:pPr>
              <w:pStyle w:val="TableContents"/>
              <w:spacing w:before="0" w:after="283"/>
              <w:jc w:val="left"/>
              <w:rPr/>
            </w:pPr>
            <w:r>
              <w:rPr/>
              <w:t xml:space="preserve">  </w:t>
            </w:r>
          </w:p>
        </w:tc>
      </w:tr>
      <w:tr>
        <w:trPr/>
        <w:tc>
          <w:tcPr>
            <w:tcW w:w="4458" w:type="dxa"/>
            <w:tcBorders/>
            <w:shd w:fill="CCEEFF" w:val="clear"/>
            <w:vAlign w:val="bottom"/>
          </w:tcPr>
          <w:p>
            <w:pPr>
              <w:pStyle w:val="TableContents"/>
              <w:spacing w:before="0" w:after="0"/>
              <w:ind w:left="400" w:right="0" w:hanging="200"/>
              <w:jc w:val="left"/>
              <w:rPr>
                <w:sz w:val="17"/>
              </w:rPr>
            </w:pPr>
            <w:r>
              <w:rPr>
                <w:sz w:val="17"/>
              </w:rPr>
              <w:t xml:space="preserve">2003 acquisitions/expansions </w:t>
            </w:r>
          </w:p>
        </w:tc>
        <w:tc>
          <w:tcPr>
            <w:tcW w:w="135"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6.2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3" w:type="dxa"/>
            <w:tcBorders/>
            <w:shd w:fill="CCEEFF" w:val="clear"/>
            <w:vAlign w:val="bottom"/>
          </w:tcPr>
          <w:p>
            <w:pPr>
              <w:pStyle w:val="TableContents"/>
              <w:spacing w:before="0" w:after="283"/>
              <w:jc w:val="right"/>
              <w:rPr/>
            </w:pPr>
            <w:r>
              <w:rPr/>
              <w:t xml:space="preserve">10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13.0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17 </w:t>
            </w:r>
          </w:p>
        </w:tc>
        <w:tc>
          <w:tcPr>
            <w:tcW w:w="157" w:type="dxa"/>
            <w:tcBorders/>
            <w:shd w:fill="CCEEFF" w:val="clear"/>
            <w:vAlign w:val="bottom"/>
          </w:tcPr>
          <w:p>
            <w:pPr>
              <w:pStyle w:val="TableContents"/>
              <w:spacing w:before="0" w:after="283"/>
              <w:jc w:val="left"/>
              <w:rPr/>
            </w:pPr>
            <w:r>
              <w:rPr/>
              <w:t xml:space="preserve">  </w:t>
            </w:r>
          </w:p>
        </w:tc>
      </w:tr>
      <w:tr>
        <w:trPr/>
        <w:tc>
          <w:tcPr>
            <w:tcW w:w="4458" w:type="dxa"/>
            <w:tcBorders/>
            <w:shd w:fill="FFFFFF" w:val="clear"/>
            <w:vAlign w:val="bottom"/>
          </w:tcPr>
          <w:p>
            <w:pPr>
              <w:pStyle w:val="TableContents"/>
              <w:spacing w:before="0" w:after="0"/>
              <w:ind w:left="400" w:right="0" w:hanging="200"/>
              <w:jc w:val="left"/>
              <w:rPr>
                <w:sz w:val="17"/>
              </w:rPr>
            </w:pPr>
            <w:r>
              <w:rPr>
                <w:sz w:val="17"/>
              </w:rPr>
              <w:t xml:space="preserve">All other pipeline systems </w:t>
            </w:r>
          </w:p>
        </w:tc>
        <w:tc>
          <w:tcPr>
            <w:tcW w:w="135"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21.0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3" w:type="dxa"/>
            <w:tcBorders/>
            <w:shd w:fill="FFFFFF" w:val="clear"/>
            <w:vAlign w:val="bottom"/>
          </w:tcPr>
          <w:p>
            <w:pPr>
              <w:pStyle w:val="TableContents"/>
              <w:spacing w:before="0" w:after="283"/>
              <w:jc w:val="right"/>
              <w:rPr/>
            </w:pPr>
            <w:r>
              <w:rPr/>
              <w:t xml:space="preserve">69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21.5 </w:t>
            </w:r>
          </w:p>
        </w:tc>
        <w:tc>
          <w:tcPr>
            <w:tcW w:w="147"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jc w:val="left"/>
              <w:rPr/>
            </w:pPr>
            <w:r>
              <w:rPr/>
              <w:t xml:space="preserve">  </w:t>
            </w:r>
          </w:p>
        </w:tc>
        <w:tc>
          <w:tcPr>
            <w:tcW w:w="832" w:type="dxa"/>
            <w:tcBorders/>
            <w:shd w:fill="FFFFFF" w:val="clear"/>
            <w:vAlign w:val="bottom"/>
          </w:tcPr>
          <w:p>
            <w:pPr>
              <w:pStyle w:val="TableContents"/>
              <w:spacing w:before="0" w:after="283"/>
              <w:jc w:val="right"/>
              <w:rPr/>
            </w:pPr>
            <w:r>
              <w:rPr/>
              <w:t xml:space="preserve">60 </w:t>
            </w:r>
          </w:p>
        </w:tc>
        <w:tc>
          <w:tcPr>
            <w:tcW w:w="157" w:type="dxa"/>
            <w:tcBorders/>
            <w:shd w:fill="FFFFFF" w:val="clear"/>
            <w:vAlign w:val="bottom"/>
          </w:tcPr>
          <w:p>
            <w:pPr>
              <w:pStyle w:val="TableContents"/>
              <w:spacing w:before="0" w:after="283"/>
              <w:jc w:val="left"/>
              <w:rPr/>
            </w:pPr>
            <w:r>
              <w:rPr/>
              <w:t xml:space="preserve">  </w:t>
            </w:r>
          </w:p>
        </w:tc>
      </w:tr>
      <w:tr>
        <w:trPr/>
        <w:tc>
          <w:tcPr>
            <w:tcW w:w="4458"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r>
        <w:trPr/>
        <w:tc>
          <w:tcPr>
            <w:tcW w:w="4458" w:type="dxa"/>
            <w:tcBorders/>
            <w:shd w:fill="CCEEFF" w:val="clear"/>
            <w:vAlign w:val="bottom"/>
          </w:tcPr>
          <w:p>
            <w:pPr>
              <w:pStyle w:val="TableContents"/>
              <w:spacing w:before="0" w:after="0"/>
              <w:ind w:left="400" w:right="0" w:hanging="200"/>
              <w:jc w:val="left"/>
              <w:rPr/>
            </w:pPr>
            <w:r>
              <w:rPr>
                <w:b/>
                <w:sz w:val="17"/>
              </w:rPr>
              <w:t>Total tariff activities</w:t>
            </w:r>
            <w:r>
              <w:rPr/>
              <w:t xml:space="preserve"> </w:t>
            </w:r>
          </w:p>
        </w:tc>
        <w:tc>
          <w:tcPr>
            <w:tcW w:w="135"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68.4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3" w:type="dxa"/>
            <w:tcBorders/>
            <w:shd w:fill="CCEEFF" w:val="clear"/>
            <w:vAlign w:val="bottom"/>
          </w:tcPr>
          <w:p>
            <w:pPr>
              <w:pStyle w:val="TableContents"/>
              <w:spacing w:before="0" w:after="283"/>
              <w:jc w:val="right"/>
              <w:rPr/>
            </w:pPr>
            <w:r>
              <w:rPr/>
              <w:t xml:space="preserve">293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71.2 </w:t>
            </w:r>
          </w:p>
        </w:tc>
        <w:tc>
          <w:tcPr>
            <w:tcW w:w="14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228" w:type="dxa"/>
            <w:tcBorders/>
            <w:shd w:fill="CCEEFF" w:val="clear"/>
            <w:vAlign w:val="bottom"/>
          </w:tcPr>
          <w:p>
            <w:pPr>
              <w:pStyle w:val="TableContents"/>
              <w:spacing w:before="0" w:after="283"/>
              <w:jc w:val="left"/>
              <w:rPr/>
            </w:pPr>
            <w:r>
              <w:rPr/>
              <w:t xml:space="preserve">  </w:t>
            </w:r>
          </w:p>
        </w:tc>
        <w:tc>
          <w:tcPr>
            <w:tcW w:w="832" w:type="dxa"/>
            <w:tcBorders/>
            <w:shd w:fill="CCEEFF" w:val="clear"/>
            <w:vAlign w:val="bottom"/>
          </w:tcPr>
          <w:p>
            <w:pPr>
              <w:pStyle w:val="TableContents"/>
              <w:spacing w:before="0" w:after="283"/>
              <w:jc w:val="right"/>
              <w:rPr/>
            </w:pPr>
            <w:r>
              <w:rPr/>
              <w:t xml:space="preserve">313 </w:t>
            </w:r>
          </w:p>
        </w:tc>
        <w:tc>
          <w:tcPr>
            <w:tcW w:w="157" w:type="dxa"/>
            <w:tcBorders/>
            <w:shd w:fill="CCEEFF" w:val="clear"/>
            <w:vAlign w:val="bottom"/>
          </w:tcPr>
          <w:p>
            <w:pPr>
              <w:pStyle w:val="TableContents"/>
              <w:spacing w:before="0" w:after="283"/>
              <w:jc w:val="left"/>
              <w:rPr/>
            </w:pPr>
            <w:r>
              <w:rPr/>
              <w:t xml:space="preserve">  </w:t>
            </w:r>
          </w:p>
        </w:tc>
      </w:tr>
      <w:tr>
        <w:trPr/>
        <w:tc>
          <w:tcPr>
            <w:tcW w:w="4458"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2"/>
        <w:gridCol w:w="9695"/>
      </w:tblGrid>
      <w:tr>
        <w:trPr/>
        <w:tc>
          <w:tcPr>
            <w:tcW w:w="408"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pPr>
            <w:r>
              <w:rPr/>
              <w:t>Revenues include intersegment amounts.</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pPr>
            <w:r>
              <w:rPr/>
              <w:t>Volumes associated with acquisitions represent total volumes transported for the number of days we actually owned the assets divided by the number of days in the year.</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695" w:type="dxa"/>
            <w:tcBorders/>
            <w:shd w:fill="FFFFFF" w:val="clear"/>
            <w:vAlign w:val="bottom"/>
          </w:tcPr>
          <w:p>
            <w:pPr>
              <w:pStyle w:val="TableContents"/>
              <w:spacing w:before="0" w:after="283"/>
              <w:rPr/>
            </w:pPr>
            <w:r>
              <w:rPr/>
              <w:t>To the extent there has been an expansion to one of our existing pipeline systems, any incremental revenues and volumes from the expansion are included in the category for the period that the pipeline was acquired. For new pipeline systems that we construct, incremental revenues and volumes are included in the period the system became operational.</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2006, average daily volumes from our tariff activities increased by approximately 300 thousand barrels per day or 17% and tariff revenues increased by approximately $68 million or 18%. The increase in volumes and tariff revenues is attributable to a combination of the following factors: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Pipeline systems acquired or brought into service during 2006, which contributed approximately 178,000 barrels per day and $33 million of revenues during 2006;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Revenues from some of the Canadian pipeline systems increased approximately $9 million in 2006 primarily due to the appreciation of Canadian currency (the Canadian to US dollar exchange rate appreciated to an average of 1.13 to 1 for 2006 compared to an average of 1.21 to 1 in 2005);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An increase of approximately $7 million from our loss allowance oil primarily resulting from higher crude oil prices;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Volumes and revenues from pipeline systems in which we entered into new multi-year contracts with shippers, which contributed approximately 70,000 barrels per day and approximately $4 million of revenues during 2006;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Increased volumes and revenues from the North Dakota/Trenton pipeline system resulting from our expansion activities on that system.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2005, average daily volumes from our tariff activities increased by approximately 300 thousand barrels per day or 22% and revenues from our tariff activities increased by approximately $71 million or 23%. The increase in total revenues is attributable to a combination of the following factors: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Pipeline systems acquired or brought into service during 2005, which contributed approximately 96,000 barrels per day and $14.1 million of revenues during 2005. Approximately 66,000 barrels per day and $7.2 million of revenues are attributable to our recently constructed Cushing to Broome pipeline system.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75"/>
        <w:gridCol w:w="9521"/>
      </w:tblGrid>
      <w:tr>
        <w:trPr/>
        <w:tc>
          <w:tcPr>
            <w:tcW w:w="4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Volumes and revenues from pipeline systems acquired in 2004 increased in 2005 as compared to 2004, reflecting the following: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612"/>
        <w:gridCol w:w="305"/>
        <w:gridCol w:w="9288"/>
      </w:tblGrid>
      <w:tr>
        <w:trPr/>
        <w:tc>
          <w:tcPr>
            <w:tcW w:w="61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288" w:type="dxa"/>
            <w:tcBorders/>
            <w:shd w:fill="auto" w:val="clear"/>
            <w:vAlign w:val="center"/>
          </w:tcPr>
          <w:p>
            <w:pPr>
              <w:pStyle w:val="TableContents"/>
              <w:spacing w:before="0" w:after="283"/>
              <w:rPr>
                <w:sz w:val="4"/>
                <w:szCs w:val="4"/>
              </w:rPr>
            </w:pPr>
            <w:r>
              <w:rPr>
                <w:sz w:val="4"/>
                <w:szCs w:val="4"/>
              </w:rPr>
            </w:r>
          </w:p>
        </w:tc>
      </w:tr>
      <w:tr>
        <w:trPr/>
        <w:tc>
          <w:tcPr>
            <w:tcW w:w="612"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An increase of 118,000 barrels per day and $15.8 million of revenues from the pipelines acquired in the Link acquisition, reflecting the inclusion of these systems for the entire 2005 period as compared to only a portion of the 2004 period. The 2005 period also includes (i) increased revenues from our loss allowance oil resulting from higher crude oil prices and (ii) increased revenues from the North Dakota/Trenton pipeline system resulting from our expansion activities on that system. These increases were partially offset by the impact of a reduction in tariff rates that were voluntarily lowered to encourage third party shippers. Transportation segment profit was reduced by approximately $12.0 million because of these market rate adjustments. As a result of these lower tariffs on barrels shipped by us in connection with our gathering and marketing activities, segment profit from marketing was increased by a comparable amount, </w:t>
            </w:r>
          </w:p>
        </w:tc>
      </w:tr>
      <w:tr>
        <w:trPr/>
        <w:tc>
          <w:tcPr>
            <w:tcW w:w="612" w:type="dxa"/>
            <w:tcBorders/>
            <w:shd w:fill="auto" w:val="clear"/>
            <w:vAlign w:val="center"/>
          </w:tcPr>
          <w:p>
            <w:pPr>
              <w:pStyle w:val="TableContents"/>
              <w:spacing w:before="0" w:after="283"/>
              <w:rPr/>
            </w:pPr>
            <w:r>
              <w:rPr/>
              <w:t> </w:t>
            </w:r>
          </w:p>
        </w:tc>
        <w:tc>
          <w:tcPr>
            <w:tcW w:w="9593" w:type="dxa"/>
            <w:gridSpan w:val="2"/>
            <w:tcBorders/>
            <w:shd w:fill="auto" w:val="clear"/>
          </w:tcPr>
          <w:p>
            <w:pPr>
              <w:pStyle w:val="TableContents"/>
              <w:spacing w:before="0" w:after="283"/>
              <w:rPr>
                <w:sz w:val="4"/>
                <w:szCs w:val="4"/>
              </w:rPr>
            </w:pPr>
            <w:r>
              <w:rPr>
                <w:sz w:val="4"/>
                <w:szCs w:val="4"/>
              </w:rPr>
            </w:r>
          </w:p>
        </w:tc>
      </w:tr>
      <w:tr>
        <w:trPr/>
        <w:tc>
          <w:tcPr>
            <w:tcW w:w="612"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An increase of 17,000 barrels per day and $4.4 million of revenues from the pipelines acquired in the Capline acquisition, reflecting the inclusion of these systems for the entire 2005 period as compared to only a portion of the 2004 period, and </w:t>
            </w:r>
          </w:p>
        </w:tc>
      </w:tr>
      <w:tr>
        <w:trPr/>
        <w:tc>
          <w:tcPr>
            <w:tcW w:w="612" w:type="dxa"/>
            <w:tcBorders/>
            <w:shd w:fill="auto" w:val="clear"/>
            <w:vAlign w:val="center"/>
          </w:tcPr>
          <w:p>
            <w:pPr>
              <w:pStyle w:val="TableContents"/>
              <w:spacing w:before="0" w:after="283"/>
              <w:rPr/>
            </w:pPr>
            <w:r>
              <w:rPr/>
              <w:t> </w:t>
            </w:r>
          </w:p>
        </w:tc>
        <w:tc>
          <w:tcPr>
            <w:tcW w:w="9593" w:type="dxa"/>
            <w:gridSpan w:val="2"/>
            <w:tcBorders/>
            <w:shd w:fill="auto" w:val="clear"/>
          </w:tcPr>
          <w:p>
            <w:pPr>
              <w:pStyle w:val="TableContents"/>
              <w:spacing w:before="0" w:after="283"/>
              <w:rPr>
                <w:sz w:val="4"/>
                <w:szCs w:val="4"/>
              </w:rPr>
            </w:pPr>
            <w:r>
              <w:rPr>
                <w:sz w:val="4"/>
                <w:szCs w:val="4"/>
              </w:rPr>
            </w:r>
          </w:p>
        </w:tc>
      </w:tr>
      <w:tr>
        <w:trPr/>
        <w:tc>
          <w:tcPr>
            <w:tcW w:w="612"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8" w:type="dxa"/>
            <w:tcBorders/>
            <w:shd w:fill="FFFFFF" w:val="clear"/>
          </w:tcPr>
          <w:p>
            <w:pPr>
              <w:pStyle w:val="TableContents"/>
              <w:spacing w:before="0" w:after="283"/>
              <w:jc w:val="left"/>
              <w:rPr/>
            </w:pPr>
            <w:r>
              <w:rPr/>
              <w:t xml:space="preserve">An increase of 5,000 barrels per day and $2.4 million of revenues from other businesses acquired in 2004.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75"/>
        <w:gridCol w:w="9521"/>
      </w:tblGrid>
      <w:tr>
        <w:trPr/>
        <w:tc>
          <w:tcPr>
            <w:tcW w:w="4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Volumes and revenues from pipeline systems acquired in 2003 increased in 2005 as compared to 2004, reflecting the following: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611"/>
        <w:gridCol w:w="305"/>
        <w:gridCol w:w="9289"/>
      </w:tblGrid>
      <w:tr>
        <w:trPr/>
        <w:tc>
          <w:tcPr>
            <w:tcW w:w="61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9" w:type="dxa"/>
            <w:tcBorders/>
            <w:shd w:fill="FFFFFF" w:val="clear"/>
          </w:tcPr>
          <w:p>
            <w:pPr>
              <w:pStyle w:val="TableContents"/>
              <w:spacing w:before="0" w:after="283"/>
              <w:jc w:val="left"/>
              <w:rPr/>
            </w:pPr>
            <w:r>
              <w:rPr/>
              <w:t xml:space="preserve">An increase of 5,000 barrels per day and $5.2 million of revenues from the Red River pipeline system acquisition, reflecting increased tariff rates on the system, partially related to the quality of crude oil shipped, </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9" w:type="dxa"/>
            <w:tcBorders/>
            <w:shd w:fill="FFFFFF" w:val="clear"/>
          </w:tcPr>
          <w:p>
            <w:pPr>
              <w:pStyle w:val="TableContents"/>
              <w:spacing w:before="0" w:after="283"/>
              <w:jc w:val="left"/>
              <w:rPr/>
            </w:pPr>
            <w:r>
              <w:rPr/>
              <w:t xml:space="preserve">An increase of $3.0 million of revenues related to higher realized prices on our loss allowance oil, and </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9" w:type="dxa"/>
            <w:tcBorders/>
            <w:shd w:fill="FFFFFF" w:val="clear"/>
          </w:tcPr>
          <w:p>
            <w:pPr>
              <w:pStyle w:val="TableContents"/>
              <w:spacing w:before="0" w:after="283"/>
              <w:jc w:val="left"/>
              <w:rPr/>
            </w:pPr>
            <w:r>
              <w:rPr/>
              <w:t xml:space="preserve">An increase of 12,000 barrels per day and $4.8 million of revenues in 2005 compared to 2004 from other businesses acquired in 2003, primarily related to higher volumes.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75"/>
        <w:gridCol w:w="9521"/>
      </w:tblGrid>
      <w:tr>
        <w:trPr/>
        <w:tc>
          <w:tcPr>
            <w:tcW w:w="4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Revenues from all other pipeline systems also increased in 2005, along with a slight increase in volumes. The increase in revenues is related to several items including: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611"/>
        <w:gridCol w:w="305"/>
        <w:gridCol w:w="9289"/>
      </w:tblGrid>
      <w:tr>
        <w:trPr/>
        <w:tc>
          <w:tcPr>
            <w:tcW w:w="61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9" w:type="dxa"/>
            <w:tcBorders/>
            <w:shd w:fill="FFFFFF" w:val="clear"/>
          </w:tcPr>
          <w:p>
            <w:pPr>
              <w:pStyle w:val="TableContents"/>
              <w:spacing w:before="0" w:after="283"/>
              <w:jc w:val="left"/>
              <w:rPr/>
            </w:pPr>
            <w:r>
              <w:rPr/>
              <w:t xml:space="preserve">The appreciation of Canadian currency (the Canadian to U.S. dollar exchange rate appreciated to an average of 1.21 to 1 for 2005 compared to an average of 1.30 to 1 in 2004), and </w:t>
            </w:r>
          </w:p>
        </w:tc>
      </w:tr>
      <w:tr>
        <w:trPr/>
        <w:tc>
          <w:tcPr>
            <w:tcW w:w="611" w:type="dxa"/>
            <w:tcBorders/>
            <w:shd w:fill="auto" w:val="clear"/>
            <w:vAlign w:val="center"/>
          </w:tcPr>
          <w:p>
            <w:pPr>
              <w:pStyle w:val="TableContents"/>
              <w:spacing w:before="0" w:after="283"/>
              <w:rPr/>
            </w:pPr>
            <w:r>
              <w:rPr/>
              <w:t> </w:t>
            </w:r>
          </w:p>
        </w:tc>
        <w:tc>
          <w:tcPr>
            <w:tcW w:w="9594" w:type="dxa"/>
            <w:gridSpan w:val="2"/>
            <w:tcBorders/>
            <w:shd w:fill="auto" w:val="clear"/>
          </w:tcPr>
          <w:p>
            <w:pPr>
              <w:pStyle w:val="TableContents"/>
              <w:spacing w:before="0" w:after="283"/>
              <w:rPr>
                <w:sz w:val="4"/>
                <w:szCs w:val="4"/>
              </w:rPr>
            </w:pPr>
            <w:r>
              <w:rPr>
                <w:sz w:val="4"/>
                <w:szCs w:val="4"/>
              </w:rPr>
            </w:r>
          </w:p>
        </w:tc>
      </w:tr>
      <w:tr>
        <w:trPr/>
        <w:tc>
          <w:tcPr>
            <w:tcW w:w="611"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xml:space="preserve">  </w:t>
            </w:r>
          </w:p>
        </w:tc>
        <w:tc>
          <w:tcPr>
            <w:tcW w:w="9289" w:type="dxa"/>
            <w:tcBorders/>
            <w:shd w:fill="FFFFFF" w:val="clear"/>
          </w:tcPr>
          <w:p>
            <w:pPr>
              <w:pStyle w:val="TableContents"/>
              <w:spacing w:before="0" w:after="283"/>
              <w:jc w:val="left"/>
              <w:rPr/>
            </w:pPr>
            <w:r>
              <w:rPr/>
              <w:t xml:space="preserve">Volume increases on certain of our systems, partially related to a shift of certain minor pipeline systems from our marketing segment.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Maintenance Capital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years ended December 31, 2006, 2005 and 2004, maintenance capital expenditures for our transportation segment were approximately $20.0 million, $8.5 million and $7.7 million, respectively. The increase in 2006 is due to our continued growth through acquisitions and expansion projects.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Facilities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owned approximately 60 million barrels of active above-ground crude oil, refined products and LPG storage tanks, of which approximately 30 million barrels are included in our facilities segment. The remaining tanks are utilized in our transportation segment. At year end 2006, the Partnership was in the process of constructing approximately 12.5 million barrels of additional above ground terminalling and storage facilities, which we expect to place in service during 2007 and 2008.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facilities segment generally consists of fee-based activities associated with providing storage, terminalling and throughput services for crude oil, refined products and LPG, as well as LPG fractionation and isomerization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services. On a stand-alone basis, segment profit from facilities activities is dependent on the storage capacity leased, volume of throughput and the level of fees for such services.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generate fees through a combination of month-to-month and multi-year leases and processing arrangements. Fees generated in this segment include (i) storage fees that are generated when we lease tank capacity and (ii) terminalling fees, or throughput fees, that are generated when we receive crude oil or refined products from one connecting pipeline and redeliver crude oil or refined products to another connecting carrier.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facilities segment also includes our equity earnings from our investment in PAA/Vulcan. At December 31, 2006, PAA/Vulcan owned and operated approximately 25.7 billion cubic feet of underground storage capacity and was constructing an additional 24 billion cubic feet of underground storage capacity.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Total revenues for our facilities segment have increased over the three-year period ended December 31, 2006. The revenue increase in each period is driven primarily by increased volumes resulting from our acquisition activities and, to a lesser extent, tankage construction projects completed in 2005 and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our operating results from our facilities segment for the periods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404"/>
        <w:gridCol w:w="186"/>
        <w:gridCol w:w="200"/>
        <w:gridCol w:w="659"/>
        <w:gridCol w:w="171"/>
        <w:gridCol w:w="260"/>
        <w:gridCol w:w="200"/>
        <w:gridCol w:w="659"/>
        <w:gridCol w:w="171"/>
        <w:gridCol w:w="260"/>
        <w:gridCol w:w="200"/>
        <w:gridCol w:w="659"/>
        <w:gridCol w:w="176"/>
      </w:tblGrid>
      <w:tr>
        <w:trPr/>
        <w:tc>
          <w:tcPr>
            <w:tcW w:w="6404"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659"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659"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659"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r>
      <w:tr>
        <w:trPr/>
        <w:tc>
          <w:tcPr>
            <w:tcW w:w="6404"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3439"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6404"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85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60" w:type="dxa"/>
            <w:tcBorders/>
            <w:shd w:fill="FFFFFF" w:val="clear"/>
            <w:vAlign w:val="bottom"/>
          </w:tcPr>
          <w:p>
            <w:pPr>
              <w:pStyle w:val="TableContents"/>
              <w:spacing w:before="0" w:after="283"/>
              <w:jc w:val="center"/>
              <w:rPr/>
            </w:pPr>
            <w:r>
              <w:rPr/>
              <w:t xml:space="preserve">  </w:t>
            </w:r>
          </w:p>
        </w:tc>
        <w:tc>
          <w:tcPr>
            <w:tcW w:w="85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60" w:type="dxa"/>
            <w:tcBorders/>
            <w:shd w:fill="FFFFFF" w:val="clear"/>
            <w:vAlign w:val="bottom"/>
          </w:tcPr>
          <w:p>
            <w:pPr>
              <w:pStyle w:val="TableContents"/>
              <w:spacing w:before="0" w:after="283"/>
              <w:jc w:val="center"/>
              <w:rPr/>
            </w:pPr>
            <w:r>
              <w:rPr/>
              <w:t xml:space="preserve">  </w:t>
            </w:r>
          </w:p>
        </w:tc>
        <w:tc>
          <w:tcPr>
            <w:tcW w:w="85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6404"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3439" w:type="dxa"/>
            <w:gridSpan w:val="10"/>
            <w:tcBorders/>
            <w:shd w:fill="FFFFFF" w:val="clear"/>
            <w:vAlign w:val="bottom"/>
          </w:tcPr>
          <w:p>
            <w:pPr>
              <w:pStyle w:val="TableContents"/>
              <w:spacing w:before="0" w:after="283"/>
              <w:jc w:val="center"/>
              <w:rPr/>
            </w:pPr>
            <w:r>
              <w:rPr>
                <w:b/>
              </w:rPr>
              <w:t>(In millions, except per barrel amounts)</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6404" w:type="dxa"/>
            <w:tcBorders/>
            <w:shd w:fill="FFFFFF" w:val="clear"/>
            <w:vAlign w:val="center"/>
          </w:tcPr>
          <w:p>
            <w:pPr>
              <w:pStyle w:val="TableContents"/>
              <w:spacing w:before="0" w:after="283"/>
              <w:rPr/>
            </w:pPr>
            <w:r>
              <w:rPr/>
              <w:t xml:space="preserve">  </w:t>
            </w:r>
          </w:p>
        </w:tc>
        <w:tc>
          <w:tcPr>
            <w:tcW w:w="3801" w:type="dxa"/>
            <w:gridSpan w:val="12"/>
            <w:tcBorders/>
            <w:shd w:fill="FFFFFF" w:val="clear"/>
          </w:tcPr>
          <w:p>
            <w:pPr>
              <w:pStyle w:val="TableContents"/>
              <w:spacing w:before="0" w:after="283"/>
              <w:rPr>
                <w:sz w:val="4"/>
                <w:szCs w:val="4"/>
              </w:rPr>
            </w:pPr>
            <w:r>
              <w:rPr>
                <w:sz w:val="4"/>
                <w:szCs w:val="4"/>
              </w:rPr>
            </w:r>
          </w:p>
        </w:tc>
      </w:tr>
      <w:tr>
        <w:trPr/>
        <w:tc>
          <w:tcPr>
            <w:tcW w:w="6404" w:type="dxa"/>
            <w:tcBorders/>
            <w:shd w:fill="CCEEFF" w:val="clear"/>
            <w:vAlign w:val="bottom"/>
          </w:tcPr>
          <w:p>
            <w:pPr>
              <w:pStyle w:val="TableContents"/>
              <w:spacing w:before="0" w:after="0"/>
              <w:ind w:left="200" w:right="0" w:hanging="200"/>
              <w:jc w:val="left"/>
              <w:rPr/>
            </w:pPr>
            <w:r>
              <w:rPr>
                <w:b/>
                <w:sz w:val="17"/>
              </w:rPr>
              <w:t>Operating Results</w:t>
            </w:r>
            <w:r>
              <w:rPr/>
              <w:t xml:space="preserve">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Storage and Terminalling Revenues(1)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87.7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41.9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33.9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CCEEFF" w:val="clear"/>
            <w:vAlign w:val="bottom"/>
          </w:tcPr>
          <w:p>
            <w:pPr>
              <w:pStyle w:val="TableContents"/>
              <w:spacing w:before="0" w:after="0"/>
              <w:ind w:left="400" w:right="0" w:hanging="200"/>
              <w:jc w:val="left"/>
              <w:rPr>
                <w:sz w:val="17"/>
              </w:rPr>
            </w:pPr>
            <w:r>
              <w:rPr>
                <w:sz w:val="17"/>
              </w:rPr>
              <w:t xml:space="preserve">Field operating costs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(39.6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(17.8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(11.0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LTIP charge  operations(3)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(0.1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CCEEFF" w:val="clear"/>
            <w:vAlign w:val="bottom"/>
          </w:tcPr>
          <w:p>
            <w:pPr>
              <w:pStyle w:val="TableContents"/>
              <w:spacing w:before="0" w:after="0"/>
              <w:ind w:left="400" w:right="0" w:hanging="200"/>
              <w:jc w:val="left"/>
              <w:rPr>
                <w:sz w:val="17"/>
              </w:rPr>
            </w:pPr>
            <w:r>
              <w:rPr>
                <w:sz w:val="17"/>
              </w:rPr>
              <w:t xml:space="preserve">Segment G&amp;A expenses (excluding LTIP charge)(2)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(13.5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(7.7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(3.6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LTIP charge  general and administrative(3)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(5.7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(2.2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(1.1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CCEEFF" w:val="clear"/>
            <w:vAlign w:val="bottom"/>
          </w:tcPr>
          <w:p>
            <w:pPr>
              <w:pStyle w:val="TableContents"/>
              <w:spacing w:before="0" w:after="0"/>
              <w:ind w:left="400" w:right="0" w:hanging="200"/>
              <w:jc w:val="left"/>
              <w:rPr>
                <w:sz w:val="17"/>
              </w:rPr>
            </w:pPr>
            <w:r>
              <w:rPr>
                <w:sz w:val="17"/>
              </w:rPr>
              <w:t xml:space="preserve">Equity earnings in unconsolidated entities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5.8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1.0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Segment profit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34.6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15.2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18.2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6404" w:type="dxa"/>
            <w:tcBorders/>
            <w:shd w:fill="CCEEFF" w:val="clear"/>
            <w:vAlign w:val="bottom"/>
          </w:tcPr>
          <w:p>
            <w:pPr>
              <w:pStyle w:val="TableContents"/>
              <w:spacing w:before="0" w:after="0"/>
              <w:ind w:left="400" w:right="0" w:hanging="200"/>
              <w:jc w:val="left"/>
              <w:rPr>
                <w:sz w:val="17"/>
              </w:rPr>
            </w:pPr>
            <w:r>
              <w:rPr>
                <w:sz w:val="17"/>
              </w:rPr>
              <w:t xml:space="preserve">Maintenance capital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4.9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1.1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2.0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Segment profit per barrel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1.49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0.87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1.23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6404" w:type="dxa"/>
            <w:tcBorders/>
            <w:shd w:fill="CCEEFF" w:val="clear"/>
            <w:vAlign w:val="bottom"/>
          </w:tcPr>
          <w:p>
            <w:pPr>
              <w:pStyle w:val="TableContents"/>
              <w:spacing w:before="0" w:after="0"/>
              <w:ind w:left="200" w:right="0" w:hanging="200"/>
              <w:jc w:val="left"/>
              <w:rPr/>
            </w:pPr>
            <w:r>
              <w:rPr>
                <w:b/>
                <w:sz w:val="17"/>
              </w:rPr>
              <w:t xml:space="preserve">Volumes </w:t>
            </w:r>
            <w:r>
              <w:rPr>
                <w:sz w:val="17"/>
              </w:rPr>
              <w:t xml:space="preserve">(millions of barrels)(4)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Crude oil, refined products and LPG storage (average monthly capacity in millions of barrels)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20.7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16.8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14.8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6404" w:type="dxa"/>
            <w:tcBorders/>
            <w:shd w:fill="CCEEFF" w:val="clear"/>
            <w:vAlign w:val="bottom"/>
          </w:tcPr>
          <w:p>
            <w:pPr>
              <w:pStyle w:val="TableContents"/>
              <w:spacing w:before="0" w:after="0"/>
              <w:ind w:left="400" w:right="0" w:hanging="200"/>
              <w:jc w:val="left"/>
              <w:rPr>
                <w:sz w:val="17"/>
              </w:rPr>
            </w:pPr>
            <w:r>
              <w:rPr>
                <w:sz w:val="17"/>
              </w:rPr>
              <w:t xml:space="preserve">Natural gas storage, net to our 50% interest (average monthly capacity in billions of cubic feet)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12.9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4.3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0"/>
              <w:ind w:left="400" w:right="0" w:hanging="200"/>
              <w:jc w:val="left"/>
              <w:rPr>
                <w:sz w:val="17"/>
              </w:rPr>
            </w:pPr>
            <w:r>
              <w:rPr>
                <w:sz w:val="17"/>
              </w:rPr>
              <w:t xml:space="preserve">LPG processing (thousands of barrels per day) </w:t>
            </w:r>
          </w:p>
        </w:tc>
        <w:tc>
          <w:tcPr>
            <w:tcW w:w="18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12.2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r>
      <w:tr>
        <w:trPr/>
        <w:tc>
          <w:tcPr>
            <w:tcW w:w="6404" w:type="dxa"/>
            <w:tcBorders/>
            <w:shd w:fill="CCEEFF" w:val="clear"/>
            <w:vAlign w:val="bottom"/>
          </w:tcPr>
          <w:p>
            <w:pPr>
              <w:pStyle w:val="TableContents"/>
              <w:spacing w:before="0" w:after="0"/>
              <w:ind w:left="400" w:right="0" w:hanging="200"/>
              <w:jc w:val="left"/>
              <w:rPr/>
            </w:pPr>
            <w:r>
              <w:rPr>
                <w:b/>
                <w:sz w:val="17"/>
              </w:rPr>
              <w:t>Facilities activities total (average monthly capacity in millions of barrels)(5)</w:t>
            </w:r>
            <w:r>
              <w:rPr/>
              <w:t xml:space="preserve"> </w:t>
            </w:r>
          </w:p>
        </w:tc>
        <w:tc>
          <w:tcPr>
            <w:tcW w:w="18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23.2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17.5 </w:t>
            </w:r>
          </w:p>
        </w:tc>
        <w:tc>
          <w:tcPr>
            <w:tcW w:w="171"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14.8 </w:t>
            </w:r>
          </w:p>
        </w:tc>
        <w:tc>
          <w:tcPr>
            <w:tcW w:w="176" w:type="dxa"/>
            <w:tcBorders/>
            <w:shd w:fill="CCEEFF" w:val="clear"/>
            <w:vAlign w:val="bottom"/>
          </w:tcPr>
          <w:p>
            <w:pPr>
              <w:pStyle w:val="TableContents"/>
              <w:spacing w:before="0" w:after="283"/>
              <w:jc w:val="left"/>
              <w:rPr/>
            </w:pPr>
            <w:r>
              <w:rPr/>
              <w:t xml:space="preserve">  </w:t>
            </w:r>
          </w:p>
        </w:tc>
      </w:tr>
      <w:tr>
        <w:trPr/>
        <w:tc>
          <w:tcPr>
            <w:tcW w:w="6404"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Revenues include intersegment amounts.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Compensation expense related to our Long-Term Incentive Plans.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Volumes associated with acquisitions represent total volumes for the number of months we actually owned the assets divided by the number of months in the period.</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 xml:space="preserve">Calculated as the sum of: (i) crude oil, refined products and LPG storage capacity; (ii) natural gas storage capacity divided by 6 to account for the 6:1 mcf of gas to crude oil barrel ratio; and (iii) LPG processing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203"/>
        <w:gridCol w:w="100"/>
        <w:gridCol w:w="9902"/>
      </w:tblGrid>
      <w:tr>
        <w:trPr/>
        <w:tc>
          <w:tcPr>
            <w:tcW w:w="203"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902"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902" w:type="dxa"/>
            <w:tcBorders/>
            <w:shd w:fill="FFFFFF" w:val="clear"/>
            <w:vAlign w:val="bottom"/>
          </w:tcPr>
          <w:p>
            <w:pPr>
              <w:pStyle w:val="TableContents"/>
              <w:spacing w:before="0" w:after="283"/>
              <w:rPr/>
            </w:pPr>
            <w:r>
              <w:rPr/>
              <w:t>volumes multiplied by the number of days in the month and divided by 1,000 to convert to monthly volumes in millions.</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(our primary measure of segment performance) and revenues were impacted in 2006 by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Increased revenues from crude facilities  The increase in volumes and related revenues during 2006 primarily relates to (i) increased volumes stored due to a pronounced contango market, (ii) the Pacific acquisition and other acquisitions completed during 2006 and 2005, and (iii) the utilization of capacity at the Mobile facility that was acquired from Link in 2004 but not used extensively until 2006;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Increased revenues from LPG facilities  The increase in volumes and related revenues during 2006 primarily relates to four LPG facilities that were brought into service during 2005 but were operational for the entire 2006 period compared to only a portion of 2005;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Increased revenues from refined product storage and terminalling  The Pacific acquisition introduced a refined products storage and terminalling revenue stream in 2006, which contributed additional revenues of $5.3 million; and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Increased revenues from LPG processing  The acquisition of the Shafter processing facility during 2006 resulted in additional processing revenues of approximately $24 million.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was also impacted in 2006 by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8"/>
        <w:gridCol w:w="9541"/>
      </w:tblGrid>
      <w:tr>
        <w:trPr/>
        <w:tc>
          <w:tcPr>
            <w:tcW w:w="39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field operating costs  Our continued growth, primarily from the acquisitions completed during 2006 and 2005 and the additional tankage added in 2006 and 2005, is the principal cause of the increase in field operating costs in 2006. Of the total increase, $10.9 million relates to the operating costs associated with the Shafter processing facility. The remainder of the increase in operating costs primarily relate to (i) payroll and benefits, (ii) maintenance and (iii) utilities;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segment G&amp;A expenses  Segment G&amp;A expenses excluding LTIP charges increased in 2006 compared to 2005 primarily as a result of an increase in the indirect costs allocated to the facilities segment in 2006 as the operations have grown in that period;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LTIP expenses  LTIP charges included in field operating costs and segment G&amp;A expenses increased approximately $3.6 million in 2006 over 2005, primarily as a result of an increase in our unit price to $51.20 at December 31, 2006 from $39.57 at December 31, 2005. LTIP related charges increased approximately $1.1 million in 2005 over 2004 primarily as a result of LTIP grants made in 2005 and an increase in our unit price. Our unit price at December 31, 2004 was $37.74 per unit (see Note 10 to our Consolidated Financial Statements);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equity in earnings from unconsolidated entities  Our investment in PAA/Vulcan contributed $4.8 million in additional earnings, reflecting the inclusion of this investment for the entire 2006 period compared to only two months in 2005.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and revenues also increased in 2005 compared to 2004 and were impacted by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Increased revenues from crude facilities  The increase in volumes and related revenues during 2005 primarily relates to (i) increased volumes stored due to a pronounced contango market, (ii) acquisitions completed during 2005 and 2004, and (iii) increased throughput at our Cushing terminal;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Increased revenues from LPG facilities  The increase in volumes and related revenues during 2005 primarily relates to acquisitions of new facilities completed during 2005; at the end of 2005, we owned ten facilities compared to four at the beginning of 2004.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in 2005 was also impacted by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6"/>
        <w:gridCol w:w="9532"/>
      </w:tblGrid>
      <w:tr>
        <w:trPr/>
        <w:tc>
          <w:tcPr>
            <w:tcW w:w="40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Increased field operating costs  Our continued growth, primarily from the acquisitions completed during 2005 and 2004 and the additional tankage added in 2005 and 2004, is the principal cause of the increase in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2"/>
        <w:gridCol w:w="198"/>
        <w:gridCol w:w="9605"/>
      </w:tblGrid>
      <w:tr>
        <w:trPr/>
        <w:tc>
          <w:tcPr>
            <w:tcW w:w="40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605"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198" w:type="dxa"/>
            <w:tcBorders/>
            <w:shd w:fill="FFFFFF" w:val="clear"/>
          </w:tcPr>
          <w:p>
            <w:pPr>
              <w:pStyle w:val="TableContents"/>
              <w:spacing w:before="0" w:after="283"/>
              <w:rPr>
                <w:sz w:val="4"/>
                <w:szCs w:val="4"/>
              </w:rPr>
            </w:pPr>
            <w:r>
              <w:rPr>
                <w:sz w:val="4"/>
                <w:szCs w:val="4"/>
              </w:rPr>
            </w:r>
          </w:p>
        </w:tc>
        <w:tc>
          <w:tcPr>
            <w:tcW w:w="9605" w:type="dxa"/>
            <w:tcBorders/>
            <w:shd w:fill="FFFFFF" w:val="clear"/>
          </w:tcPr>
          <w:p>
            <w:pPr>
              <w:pStyle w:val="TableContents"/>
              <w:spacing w:before="0" w:after="283"/>
              <w:jc w:val="left"/>
              <w:rPr/>
            </w:pPr>
            <w:r>
              <w:rPr/>
              <w:t xml:space="preserve">field operating costs in 2005. The increased costs primarily relate to (i) payroll and benefits, (ii) maintenance and (iii) utilities;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8"/>
        <w:gridCol w:w="9541"/>
      </w:tblGrid>
      <w:tr>
        <w:trPr/>
        <w:tc>
          <w:tcPr>
            <w:tcW w:w="39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Increased segment G&amp;A expenses  Segment G&amp;A expenses excluding LTIP charges increased in 2005 compared to 2004 primarily as a result of an increase in the indirect costs allocated to the facilities segment in 2005 as the operations grew in that period. LTIP related charges increased approximately $1.1 million in 2005 over 2004 primarily as a result of LTIP grants made in 2005 and an increase in our unit price. Our unit price at December 31, 2004 was $37.74 per unit.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Maintenance Capital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years ended December 31, 2006, 2005 and 2004, maintenance capital expenditures for our facilities segment were approximately $4.9 million, $1.1 million and $2.0 million, respectively. The increase in 2006 is primarily due to additional maintenance requirements at our Alto and Shafter facilities.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Marketing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revenues from marketing activities reflect the sale of gathered and bulk-purchased crude oil and LPG volumes, as well as marketing of natural gas liquids,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We do not anticipate that future changes in revenues will be a primary driver of segment profit. Generally, we expect our segment profit to increase or decrease directionally with increases or decreases in our marketing segment volumes (which consist of (i) lease gathered volumes, (ii) LPG sales, and (iii) waterborne foreign crude imported) as well as the overall volatility and strength or weakness of market condition and the allocation of our assets among our various hedge positions. In addition, the execution of our risk management strategies in conjunction with our assets can provide upside in certain markets. Although we believe that the combination of our lease gathered business and our hedging activities provides a counter-cyclical balance that provides stability in our margins, these margins are not fixed and may vary from period to period.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Revenues from our marketing operations were approximately $22.1 billion, $30.9 billion and $20.8 billion for the years ended December 31, 2006, 2005 and 2004, respectively. Total revenues for our marketing segment decreased in 2006 as compared to 2005 due to a combination of the following factors: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 decrease in our 2006 revenues due to the adoption of EITF 04-13 which was equally offset with purchases and related costs and does not impact segment profit (see Note 2 to our Consolidated Financial Statements); offset by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 increase in the average NYMEX price for crude oil in 2006 as compared to 2005. The average NYMEX price for crude oil was $66.27, $56.65 and $41.29 per barrel for the years ended December 31, 2006, 2005 and 2004, respectively. Because the barrels that we buy and sell are generally indexed to the same pricing indices, revenues and purchases will increase and decrease with changes in market prices without significant changes to our margins related to those purchases and sales.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evaluate the performance of this segment, management focuses on the following metrics: (i) segment profit, (ii) marketing segment volumes and (iii) segment profit per barrel calculated on these volumes. The following table sets forth our operating results from our marketing segment for the comparable periods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29"/>
        <w:gridCol w:w="165"/>
        <w:gridCol w:w="200"/>
        <w:gridCol w:w="1182"/>
        <w:gridCol w:w="168"/>
        <w:gridCol w:w="227"/>
        <w:gridCol w:w="200"/>
        <w:gridCol w:w="1182"/>
        <w:gridCol w:w="168"/>
        <w:gridCol w:w="226"/>
        <w:gridCol w:w="200"/>
        <w:gridCol w:w="1182"/>
        <w:gridCol w:w="176"/>
      </w:tblGrid>
      <w:tr>
        <w:trPr/>
        <w:tc>
          <w:tcPr>
            <w:tcW w:w="4929" w:type="dxa"/>
            <w:tcBorders/>
            <w:shd w:fill="FFFFFF" w:val="clear"/>
            <w:vAlign w:val="bottom"/>
          </w:tcPr>
          <w:p>
            <w:pPr>
              <w:pStyle w:val="TableContents"/>
              <w:spacing w:before="0" w:after="283"/>
              <w:rPr/>
            </w:pPr>
            <w:r>
              <w:rPr/>
              <w:t> </w:t>
            </w:r>
          </w:p>
        </w:tc>
        <w:tc>
          <w:tcPr>
            <w:tcW w:w="165"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182"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227"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182"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22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182"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r>
      <w:tr>
        <w:trPr/>
        <w:tc>
          <w:tcPr>
            <w:tcW w:w="4929"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493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4929"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3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3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226" w:type="dxa"/>
            <w:tcBorders/>
            <w:shd w:fill="FFFFFF" w:val="clear"/>
            <w:vAlign w:val="bottom"/>
          </w:tcPr>
          <w:p>
            <w:pPr>
              <w:pStyle w:val="TableContents"/>
              <w:spacing w:before="0" w:after="283"/>
              <w:jc w:val="center"/>
              <w:rPr/>
            </w:pPr>
            <w:r>
              <w:rPr/>
              <w:t xml:space="preserve">  </w:t>
            </w:r>
          </w:p>
        </w:tc>
        <w:tc>
          <w:tcPr>
            <w:tcW w:w="13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4929"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4935" w:type="dxa"/>
            <w:gridSpan w:val="10"/>
            <w:tcBorders/>
            <w:shd w:fill="FFFFFF" w:val="clear"/>
            <w:vAlign w:val="bottom"/>
          </w:tcPr>
          <w:p>
            <w:pPr>
              <w:pStyle w:val="TableContents"/>
              <w:spacing w:before="0" w:after="283"/>
              <w:jc w:val="center"/>
              <w:rPr/>
            </w:pPr>
            <w:r>
              <w:rPr>
                <w:b/>
              </w:rPr>
              <w:t>(In millions, except per barrel amounts)</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4929" w:type="dxa"/>
            <w:tcBorders/>
            <w:shd w:fill="FFFFFF" w:val="clear"/>
            <w:vAlign w:val="center"/>
          </w:tcPr>
          <w:p>
            <w:pPr>
              <w:pStyle w:val="TableContents"/>
              <w:spacing w:before="0" w:after="283"/>
              <w:rPr/>
            </w:pPr>
            <w:r>
              <w:rPr/>
              <w:t xml:space="preserve">  </w:t>
            </w:r>
          </w:p>
        </w:tc>
        <w:tc>
          <w:tcPr>
            <w:tcW w:w="5276" w:type="dxa"/>
            <w:gridSpan w:val="12"/>
            <w:tcBorders/>
            <w:shd w:fill="FFFFFF" w:val="clear"/>
          </w:tcPr>
          <w:p>
            <w:pPr>
              <w:pStyle w:val="TableContents"/>
              <w:spacing w:before="0" w:after="283"/>
              <w:rPr>
                <w:sz w:val="4"/>
                <w:szCs w:val="4"/>
              </w:rPr>
            </w:pPr>
            <w:r>
              <w:rPr>
                <w:sz w:val="4"/>
                <w:szCs w:val="4"/>
              </w:rPr>
            </w:r>
          </w:p>
        </w:tc>
      </w:tr>
      <w:tr>
        <w:trPr/>
        <w:tc>
          <w:tcPr>
            <w:tcW w:w="4929" w:type="dxa"/>
            <w:tcBorders/>
            <w:shd w:fill="CCEEFF" w:val="clear"/>
            <w:vAlign w:val="bottom"/>
          </w:tcPr>
          <w:p>
            <w:pPr>
              <w:pStyle w:val="TableContents"/>
              <w:spacing w:before="0" w:after="0"/>
              <w:ind w:left="200" w:right="0" w:hanging="200"/>
              <w:jc w:val="left"/>
              <w:rPr/>
            </w:pPr>
            <w:r>
              <w:rPr>
                <w:b/>
                <w:sz w:val="17"/>
              </w:rPr>
              <w:t>Operating Results</w:t>
            </w:r>
            <w:r>
              <w:rPr>
                <w:sz w:val="17"/>
              </w:rPr>
              <w:t xml:space="preserve">(1)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0"/>
              <w:ind w:left="400" w:right="0" w:hanging="200"/>
              <w:jc w:val="left"/>
              <w:rPr>
                <w:sz w:val="17"/>
              </w:rPr>
            </w:pPr>
            <w:r>
              <w:rPr>
                <w:sz w:val="17"/>
              </w:rPr>
              <w:t xml:space="preserve">Revenues(2)(3)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22,060.8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30,893.0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20,750.7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CCEEFF" w:val="clear"/>
            <w:vAlign w:val="bottom"/>
          </w:tcPr>
          <w:p>
            <w:pPr>
              <w:pStyle w:val="TableContents"/>
              <w:spacing w:before="0" w:after="0"/>
              <w:ind w:left="400" w:right="0" w:hanging="200"/>
              <w:jc w:val="left"/>
              <w:rPr>
                <w:sz w:val="17"/>
              </w:rPr>
            </w:pPr>
            <w:r>
              <w:rPr>
                <w:sz w:val="17"/>
              </w:rPr>
              <w:t xml:space="preserve">Purchases and related costs(4)(5)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(21,640.6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(30,578.4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(20,551.2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0"/>
              <w:ind w:left="400" w:right="0" w:hanging="200"/>
              <w:jc w:val="left"/>
              <w:rPr>
                <w:sz w:val="17"/>
              </w:rPr>
            </w:pPr>
            <w:r>
              <w:rPr>
                <w:sz w:val="17"/>
              </w:rPr>
              <w:t xml:space="preserve">Field operating costs (excluding LTIP charge)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(136.6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(94.4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(80.9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CCEEFF" w:val="clear"/>
            <w:vAlign w:val="bottom"/>
          </w:tcPr>
          <w:p>
            <w:pPr>
              <w:pStyle w:val="TableContents"/>
              <w:spacing w:before="0" w:after="0"/>
              <w:ind w:left="400" w:right="0" w:hanging="200"/>
              <w:jc w:val="left"/>
              <w:rPr>
                <w:sz w:val="17"/>
              </w:rPr>
            </w:pPr>
            <w:r>
              <w:rPr>
                <w:sz w:val="17"/>
              </w:rPr>
              <w:t xml:space="preserve">LTIP charge  operations(6)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(0.1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(2.3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0"/>
              <w:ind w:left="400" w:right="0" w:hanging="200"/>
              <w:jc w:val="left"/>
              <w:rPr>
                <w:sz w:val="17"/>
              </w:rPr>
            </w:pPr>
            <w:r>
              <w:rPr>
                <w:sz w:val="17"/>
              </w:rPr>
              <w:t xml:space="preserve">Segment G&amp;A expenses (excluding LTIP charge)(7)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(39.5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(32.5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(35.2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CCEEFF" w:val="clear"/>
            <w:vAlign w:val="bottom"/>
          </w:tcPr>
          <w:p>
            <w:pPr>
              <w:pStyle w:val="TableContents"/>
              <w:spacing w:before="0" w:after="0"/>
              <w:ind w:left="400" w:right="0" w:hanging="200"/>
              <w:jc w:val="left"/>
              <w:rPr>
                <w:sz w:val="17"/>
              </w:rPr>
            </w:pPr>
            <w:r>
              <w:rPr>
                <w:sz w:val="17"/>
              </w:rPr>
              <w:t xml:space="preserve">LTIP charge  general and administrative(6)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(16.0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(10.0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(2.8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FFFFFF" w:val="clear"/>
            <w:vAlign w:val="bottom"/>
          </w:tcPr>
          <w:p>
            <w:pPr>
              <w:pStyle w:val="TableContents"/>
              <w:spacing w:before="0" w:after="0"/>
              <w:ind w:left="400" w:right="0" w:hanging="200"/>
              <w:jc w:val="left"/>
              <w:rPr>
                <w:sz w:val="17"/>
              </w:rPr>
            </w:pPr>
            <w:r>
              <w:rPr>
                <w:sz w:val="17"/>
              </w:rPr>
              <w:t xml:space="preserve">Segment profit(3)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228.0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175.4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80.6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CCEEFF" w:val="clear"/>
            <w:vAlign w:val="bottom"/>
          </w:tcPr>
          <w:p>
            <w:pPr>
              <w:pStyle w:val="TableContents"/>
              <w:spacing w:before="0" w:after="0"/>
              <w:ind w:left="400" w:right="0" w:hanging="200"/>
              <w:jc w:val="left"/>
              <w:rPr>
                <w:sz w:val="17"/>
              </w:rPr>
            </w:pPr>
            <w:r>
              <w:rPr>
                <w:sz w:val="17"/>
              </w:rPr>
              <w:t xml:space="preserve">SFAS 133 mark-to-market adjustment(3)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(4.4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(18.9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1.0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FFFFFF" w:val="clear"/>
            <w:vAlign w:val="bottom"/>
          </w:tcPr>
          <w:p>
            <w:pPr>
              <w:pStyle w:val="TableContents"/>
              <w:spacing w:before="0" w:after="0"/>
              <w:ind w:left="400" w:right="0" w:hanging="200"/>
              <w:jc w:val="left"/>
              <w:rPr>
                <w:sz w:val="17"/>
              </w:rPr>
            </w:pPr>
            <w:r>
              <w:rPr>
                <w:sz w:val="17"/>
              </w:rPr>
              <w:t xml:space="preserve">Maintenance capital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3.3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4.4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1.6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CCEEFF" w:val="clear"/>
            <w:vAlign w:val="bottom"/>
          </w:tcPr>
          <w:p>
            <w:pPr>
              <w:pStyle w:val="TableContents"/>
              <w:spacing w:before="0" w:after="0"/>
              <w:ind w:left="400" w:right="0" w:hanging="200"/>
              <w:jc w:val="left"/>
              <w:rPr>
                <w:sz w:val="17"/>
              </w:rPr>
            </w:pPr>
            <w:r>
              <w:rPr>
                <w:sz w:val="17"/>
              </w:rPr>
              <w:t xml:space="preserve">Segment profit per barrel(8)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0.80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0.66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0.34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FFFFFF" w:val="clear"/>
            <w:vAlign w:val="bottom"/>
          </w:tcPr>
          <w:p>
            <w:pPr>
              <w:pStyle w:val="TableContents"/>
              <w:spacing w:before="0" w:after="0"/>
              <w:ind w:left="200" w:right="0" w:hanging="200"/>
              <w:jc w:val="left"/>
              <w:rPr/>
            </w:pPr>
            <w:r>
              <w:rPr>
                <w:b/>
                <w:sz w:val="17"/>
              </w:rPr>
              <w:t xml:space="preserve">Average Daily Volumes </w:t>
            </w:r>
            <w:r>
              <w:rPr>
                <w:sz w:val="17"/>
              </w:rPr>
              <w:t xml:space="preserve">(thousands of barrels per day)(9)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CCEEFF" w:val="clear"/>
            <w:vAlign w:val="bottom"/>
          </w:tcPr>
          <w:p>
            <w:pPr>
              <w:pStyle w:val="TableContents"/>
              <w:spacing w:before="0" w:after="0"/>
              <w:ind w:left="200" w:right="0" w:hanging="200"/>
              <w:jc w:val="left"/>
              <w:rPr>
                <w:sz w:val="17"/>
              </w:rPr>
            </w:pPr>
            <w:r>
              <w:rPr>
                <w:sz w:val="17"/>
              </w:rPr>
              <w:t xml:space="preserve">Crude oil lease gathering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650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610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589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0"/>
              <w:ind w:left="200" w:right="0" w:hanging="200"/>
              <w:jc w:val="left"/>
              <w:rPr>
                <w:sz w:val="17"/>
              </w:rPr>
            </w:pPr>
            <w:r>
              <w:rPr>
                <w:sz w:val="17"/>
              </w:rPr>
              <w:t xml:space="preserve">LPG sales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70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56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48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CCEEFF" w:val="clear"/>
            <w:vAlign w:val="bottom"/>
          </w:tcPr>
          <w:p>
            <w:pPr>
              <w:pStyle w:val="TableContents"/>
              <w:spacing w:before="0" w:after="0"/>
              <w:ind w:left="200" w:right="0" w:hanging="200"/>
              <w:jc w:val="left"/>
              <w:rPr>
                <w:sz w:val="17"/>
              </w:rPr>
            </w:pPr>
            <w:r>
              <w:rPr>
                <w:sz w:val="17"/>
              </w:rPr>
              <w:t xml:space="preserve">Waterborne foreign crude imported </w:t>
            </w:r>
          </w:p>
        </w:tc>
        <w:tc>
          <w:tcPr>
            <w:tcW w:w="165"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63 </w:t>
            </w:r>
          </w:p>
        </w:tc>
        <w:tc>
          <w:tcPr>
            <w:tcW w:w="168"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59 </w:t>
            </w:r>
          </w:p>
        </w:tc>
        <w:tc>
          <w:tcPr>
            <w:tcW w:w="168"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12 </w:t>
            </w:r>
          </w:p>
        </w:tc>
        <w:tc>
          <w:tcPr>
            <w:tcW w:w="176" w:type="dxa"/>
            <w:tcBorders/>
            <w:shd w:fill="CCEE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4929" w:type="dxa"/>
            <w:tcBorders/>
            <w:shd w:fill="FFFFFF" w:val="clear"/>
            <w:vAlign w:val="bottom"/>
          </w:tcPr>
          <w:p>
            <w:pPr>
              <w:pStyle w:val="TableContents"/>
              <w:spacing w:before="0" w:after="0"/>
              <w:ind w:left="800" w:right="0" w:hanging="200"/>
              <w:jc w:val="left"/>
              <w:rPr/>
            </w:pPr>
            <w:r>
              <w:rPr>
                <w:b/>
                <w:sz w:val="17"/>
              </w:rPr>
              <w:t>Marketing Activities Total</w:t>
            </w: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783 </w:t>
            </w:r>
          </w:p>
        </w:tc>
        <w:tc>
          <w:tcPr>
            <w:tcW w:w="168"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725 </w:t>
            </w:r>
          </w:p>
        </w:tc>
        <w:tc>
          <w:tcPr>
            <w:tcW w:w="168"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649 </w:t>
            </w:r>
          </w:p>
        </w:tc>
        <w:tc>
          <w:tcPr>
            <w:tcW w:w="176" w:type="dxa"/>
            <w:tcBorders/>
            <w:shd w:fill="FFFFFF" w:val="clear"/>
            <w:vAlign w:val="bottom"/>
          </w:tcPr>
          <w:p>
            <w:pPr>
              <w:pStyle w:val="TableContents"/>
              <w:spacing w:before="0" w:after="283"/>
              <w:jc w:val="left"/>
              <w:rPr/>
            </w:pPr>
            <w:r>
              <w:rPr/>
              <w:t xml:space="preserve">  </w:t>
            </w:r>
          </w:p>
        </w:tc>
      </w:tr>
      <w:tr>
        <w:trPr/>
        <w:tc>
          <w:tcPr>
            <w:tcW w:w="4929"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Revenues and purchases and related costs include intersegment amounts.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revenues associated with buy/sell arrangements of $4,761.9 million, $16,274.9 million and $11,396.8 million for the years ended December 31, 2006, 2005 and 2004, respectively. Volumes associated with these arrangements were approximately 919,500, 851,900 and 800,700 barrels per day for the years ended December 31, 2006, 2005 and 2004, respectively. The previously referenced amounts include certain estimates based on managements judgment; such estimates are not expected to have a material impact on the balances. See Note 2 to our Consolidated Financial Statements.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Amounts related to SFAS 133 are included in revenues and impact segment profit.</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purchases associated with buy/sell arrangements of $4,795.1 million, $16,106.5 million and $11,280.2 million for the years ended December 31, 2006, 2005 and 2004, respectively. Volumes associated with these arrangements were approximately 926,800, 851,900 and 800,700 barrels per day for the years ended December 31, 2006, 2005 and 2004, respectively. The previously referenced amounts include certain estimates based on managements judgment; such estimates are not expected to have a material impact on the balances. See Note 2 to our Consolidated Financial Statements.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(5)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Purchases and related costs include interest expense on contango inventory purchases of $49.2 million, $23.7 million and $2.0 million for the years ended December 31, 2006, 2005 and 2004, respectively.</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(6)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Compensation expense related to our Long-Term Incentive Plans.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(7)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(8)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Calculated based on crude oil lease gathered volumes, LPG sales volumes, and waterborne foreign crude volumes.</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(9)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for 2006 ($228.0 million) exceeded the segment profit for 2005 ($175.4 million). The increase was primarily related to very favorable market conditions and successful execution of risk management strategies coupled with increased volumes and synergies realized from businesses acquired in the last two years.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primary factors affecting current period results were: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4"/>
        <w:gridCol w:w="267"/>
        <w:gridCol w:w="9544"/>
      </w:tblGrid>
      <w:tr>
        <w:trPr/>
        <w:tc>
          <w:tcPr>
            <w:tcW w:w="39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44" w:type="dxa"/>
            <w:tcBorders/>
            <w:shd w:fill="auto" w:val="clear"/>
            <w:vAlign w:val="cente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Acquisitions  During 2006 we purchased certain crude oil gathering assets and related contracts in South Louisiana and Andrews Petroleum and Lone Star Trucking. The Andrews acquisition impacted our facilities, marketing and transportation segments. See Note 3 to our Consolidated Financial Statements.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Favorable market conditions and execution of our risk management strategies  During 2006 and 2005, the crude oil market experienced significantly high volatility in prices and market structure. The NYMEX benchmark price of crude oil ranged from $54.86 to $78.40 during 2006. The volatile market allowed us to utilize risk management strategies to optimize and enhance the margins of our gathering and marketing activities. The market was in contango for most of 2006 and the time spread of prices averaged approximately $1.22 versus $0.72 for 2005; this increase in spreads was partially offset by an increase in the cost to carry the inventory that was not only impacted by the increase in LIBOR rates but also by the increase in NYMEX prices. Marketing segment profit includes contango and other hedged inventory related interest expense of approximately $49.2 million for 2006 incurred to store the crude oil. This cost is included in Purchases and related costs in the table above.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SFAS 133 mark-to-market  2006 includes SFAS 133 mark-to-market losses of $4.4 million compared to a loss of $18.9 million for 2005. See Note 6 to our Consolidated Financial Statements.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Inventory Adjustment  In 2006, we recognized a $5.9 million non-cash charge primarily associated with declines in oil prices and other product prices during the third and fourth quarters of 2006 and the related decline in the valuation of working inventory volumes. Approximately $3.4 million of the charge relates to crude oil inventory in pipelines owned by third parties and the remainder relates to LPG and other products inventory.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Field operating costs and segment G&amp;A expenses   Field operating costs (excluding LTIP charges) increased in 2006 compared to 2005, primarily as a result of increases in (i)  payroll and benefits and contract transportation as a result of 2006 acquisitions, (ii) fuel costs and (iii) maintenance costs. The increase in general and administrative expenses (excluding LTIP charges) is primarily the result of an increase in the indirect costs allocated to the marketing segment in 2006 as the operations have grown. The increase in field operating costs in 2005 compared to 2004 was primarily the result of an increase in (i) fuel costs and (ii) payroll and benefits. </w:t>
            </w:r>
          </w:p>
        </w:tc>
      </w:tr>
      <w:tr>
        <w:trPr/>
        <w:tc>
          <w:tcPr>
            <w:tcW w:w="394" w:type="dxa"/>
            <w:tcBorders/>
            <w:shd w:fill="auto" w:val="clear"/>
            <w:vAlign w:val="center"/>
          </w:tcPr>
          <w:p>
            <w:pPr>
              <w:pStyle w:val="TableContents"/>
              <w:spacing w:before="0" w:after="283"/>
              <w:rPr/>
            </w:pPr>
            <w:r>
              <w:rPr/>
              <w:t> </w:t>
            </w:r>
          </w:p>
        </w:tc>
        <w:tc>
          <w:tcPr>
            <w:tcW w:w="9811" w:type="dxa"/>
            <w:gridSpan w:val="2"/>
            <w:tcBorders/>
            <w:shd w:fill="auto" w:val="clear"/>
          </w:tcPr>
          <w:p>
            <w:pPr>
              <w:pStyle w:val="TableContents"/>
              <w:spacing w:before="0" w:after="283"/>
              <w:rPr>
                <w:sz w:val="4"/>
                <w:szCs w:val="4"/>
              </w:rPr>
            </w:pPr>
            <w:r>
              <w:rPr>
                <w:sz w:val="4"/>
                <w:szCs w:val="4"/>
              </w:rPr>
            </w:r>
          </w:p>
        </w:tc>
      </w:tr>
      <w:tr>
        <w:trPr/>
        <w:tc>
          <w:tcPr>
            <w:tcW w:w="39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44" w:type="dxa"/>
            <w:tcBorders/>
            <w:shd w:fill="FFFFFF" w:val="clear"/>
          </w:tcPr>
          <w:p>
            <w:pPr>
              <w:pStyle w:val="TableContents"/>
              <w:spacing w:before="0" w:after="283"/>
              <w:jc w:val="left"/>
              <w:rPr/>
            </w:pPr>
            <w:r>
              <w:rPr/>
              <w:t xml:space="preserve">Increased LTIP expenses  LTIP charges included in field operating costs and segment G&amp;A expenses increased approximately $3.8 million in 2006 over 2005, primarily as a result of an increase in our unit price to $51.20 at December 31, 2006 from $39.57 at December 31, 2005. LTIP related charges increased approximately $9.5 million in 2005 over 2004 primarily as a result of LTIP grants made in 2005 and an increase in our unit price. Our unit price at December 31, 2004 was $37.74 per unit. See Note 10 to our Consolidated Financial Statements.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Segment profit per barrel (calculated based on our marketing volumes included in the table above) was $0.80 for 2006, compared to $0.66 for 2005 and $0.34 for 2004. As discussed above, our current period results were impacted by favorable market conditions. We are not able to predict with any reasonable level of accuracy whether market conditions will remain as favorable as have recently been experienced, and these operating results may not be indicative of sustainable performance.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Maintenance capital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 years ended December 31, 2006, 2005 and 2004, maintenance capital expenditures were approximately $3.3 million, $4.4 million, and $1.6 million, respectively, for our marketing segment.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Other Income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Depreciation and Amortization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Depreciation and amortization expense was $100.4 million for the year ended December 31, 2006, compared to $83.5 million and $68.7 million for the years ended December 31, 2005 and 2004, respectively. The increases in 2006 and 2005 related primarily to an increased amount of depreciable assets resulting from our acquisition activities and capital projects. Also contributing to the increase in 2005 was a non-cash loss related to sales of assets. Amortization of debt issue costs was $2.5 million in 2006, $2.8 million in 2005, and $2.5 million in 2004.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Interest Expense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Interest expense was $85.6 million for the year ended December 31, 2006, compared to $59.4 million and $46.7 million for the years ended December 31, 2005 and 2004, respectively. Interest expense is primarily impacted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our average debt balances;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level and maturity of fixed rate debt and interest rates associated therewith;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market interest rates and our interest rate hedging activities on floating rate debt;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interest capitalized on capital projects.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selected components of our average debt balances: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832"/>
        <w:gridCol w:w="113"/>
        <w:gridCol w:w="211"/>
        <w:gridCol w:w="682"/>
        <w:gridCol w:w="138"/>
        <w:gridCol w:w="142"/>
        <w:gridCol w:w="321"/>
        <w:gridCol w:w="955"/>
        <w:gridCol w:w="280"/>
        <w:gridCol w:w="142"/>
        <w:gridCol w:w="211"/>
        <w:gridCol w:w="682"/>
        <w:gridCol w:w="138"/>
        <w:gridCol w:w="141"/>
        <w:gridCol w:w="321"/>
        <w:gridCol w:w="955"/>
        <w:gridCol w:w="280"/>
        <w:gridCol w:w="142"/>
        <w:gridCol w:w="211"/>
        <w:gridCol w:w="459"/>
        <w:gridCol w:w="138"/>
        <w:gridCol w:w="142"/>
        <w:gridCol w:w="321"/>
        <w:gridCol w:w="955"/>
        <w:gridCol w:w="293"/>
      </w:tblGrid>
      <w:tr>
        <w:trPr/>
        <w:tc>
          <w:tcPr>
            <w:tcW w:w="1832"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321" w:type="dxa"/>
            <w:tcBorders/>
            <w:shd w:fill="FFFFFF" w:val="clear"/>
            <w:vAlign w:val="bottom"/>
          </w:tcPr>
          <w:p>
            <w:pPr>
              <w:pStyle w:val="TableContents"/>
              <w:spacing w:before="0" w:after="283"/>
              <w:jc w:val="right"/>
              <w:rPr/>
            </w:pPr>
            <w:r>
              <w:rPr/>
              <w:t> </w:t>
            </w:r>
          </w:p>
        </w:tc>
        <w:tc>
          <w:tcPr>
            <w:tcW w:w="955" w:type="dxa"/>
            <w:tcBorders/>
            <w:shd w:fill="FFFFFF" w:val="clear"/>
            <w:vAlign w:val="bottom"/>
          </w:tcPr>
          <w:p>
            <w:pPr>
              <w:pStyle w:val="TableContents"/>
              <w:spacing w:before="0" w:after="283"/>
              <w:jc w:val="right"/>
              <w:rPr/>
            </w:pPr>
            <w:r>
              <w:rPr/>
              <w:t> </w:t>
            </w:r>
          </w:p>
        </w:tc>
        <w:tc>
          <w:tcPr>
            <w:tcW w:w="28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41" w:type="dxa"/>
            <w:tcBorders/>
            <w:shd w:fill="FFFFFF" w:val="clear"/>
            <w:vAlign w:val="bottom"/>
          </w:tcPr>
          <w:p>
            <w:pPr>
              <w:pStyle w:val="TableContents"/>
              <w:spacing w:before="0" w:after="283"/>
              <w:rPr/>
            </w:pPr>
            <w:r>
              <w:rPr/>
              <w:t> </w:t>
            </w:r>
          </w:p>
        </w:tc>
        <w:tc>
          <w:tcPr>
            <w:tcW w:w="321" w:type="dxa"/>
            <w:tcBorders/>
            <w:shd w:fill="FFFFFF" w:val="clear"/>
            <w:vAlign w:val="bottom"/>
          </w:tcPr>
          <w:p>
            <w:pPr>
              <w:pStyle w:val="TableContents"/>
              <w:spacing w:before="0" w:after="283"/>
              <w:jc w:val="right"/>
              <w:rPr/>
            </w:pPr>
            <w:r>
              <w:rPr/>
              <w:t> </w:t>
            </w:r>
          </w:p>
        </w:tc>
        <w:tc>
          <w:tcPr>
            <w:tcW w:w="955" w:type="dxa"/>
            <w:tcBorders/>
            <w:shd w:fill="FFFFFF" w:val="clear"/>
            <w:vAlign w:val="bottom"/>
          </w:tcPr>
          <w:p>
            <w:pPr>
              <w:pStyle w:val="TableContents"/>
              <w:spacing w:before="0" w:after="283"/>
              <w:jc w:val="right"/>
              <w:rPr/>
            </w:pPr>
            <w:r>
              <w:rPr/>
              <w:t> </w:t>
            </w:r>
          </w:p>
        </w:tc>
        <w:tc>
          <w:tcPr>
            <w:tcW w:w="280"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459"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321" w:type="dxa"/>
            <w:tcBorders/>
            <w:shd w:fill="FFFFFF" w:val="clear"/>
            <w:vAlign w:val="bottom"/>
          </w:tcPr>
          <w:p>
            <w:pPr>
              <w:pStyle w:val="TableContents"/>
              <w:spacing w:before="0" w:after="283"/>
              <w:jc w:val="right"/>
              <w:rPr/>
            </w:pPr>
            <w:r>
              <w:rPr/>
              <w:t> </w:t>
            </w:r>
          </w:p>
        </w:tc>
        <w:tc>
          <w:tcPr>
            <w:tcW w:w="955" w:type="dxa"/>
            <w:tcBorders/>
            <w:shd w:fill="FFFFFF" w:val="clear"/>
            <w:vAlign w:val="bottom"/>
          </w:tcPr>
          <w:p>
            <w:pPr>
              <w:pStyle w:val="TableContents"/>
              <w:spacing w:before="0" w:after="283"/>
              <w:jc w:val="right"/>
              <w:rPr/>
            </w:pPr>
            <w:r>
              <w:rPr/>
              <w:t> </w:t>
            </w:r>
          </w:p>
        </w:tc>
        <w:tc>
          <w:tcPr>
            <w:tcW w:w="293" w:type="dxa"/>
            <w:tcBorders/>
            <w:shd w:fill="FFFFFF" w:val="clear"/>
            <w:vAlign w:val="bottom"/>
          </w:tcPr>
          <w:p>
            <w:pPr>
              <w:pStyle w:val="TableContents"/>
              <w:spacing w:before="0" w:after="283"/>
              <w:jc w:val="left"/>
              <w:rPr/>
            </w:pPr>
            <w:r>
              <w:rPr/>
              <w:t> </w:t>
            </w:r>
          </w:p>
        </w:tc>
      </w:tr>
      <w:tr>
        <w:trPr/>
        <w:tc>
          <w:tcPr>
            <w:tcW w:w="1832"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7967"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For the Year Ended December 31,</w:t>
            </w:r>
            <w:r>
              <w:rPr/>
              <w:t xml:space="preserve"> </w:t>
            </w:r>
          </w:p>
        </w:tc>
        <w:tc>
          <w:tcPr>
            <w:tcW w:w="293" w:type="dxa"/>
            <w:tcBorders/>
            <w:shd w:fill="FFFFFF" w:val="clear"/>
            <w:vAlign w:val="bottom"/>
          </w:tcPr>
          <w:p>
            <w:pPr>
              <w:pStyle w:val="TableContents"/>
              <w:spacing w:before="0" w:after="283"/>
              <w:jc w:val="center"/>
              <w:rPr/>
            </w:pPr>
            <w:r>
              <w:rPr/>
              <w:t xml:space="preserve">  </w:t>
            </w:r>
          </w:p>
        </w:tc>
      </w:tr>
      <w:tr>
        <w:trPr/>
        <w:tc>
          <w:tcPr>
            <w:tcW w:w="1832"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244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2448"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222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293" w:type="dxa"/>
            <w:tcBorders/>
            <w:shd w:fill="FFFFFF" w:val="clear"/>
            <w:vAlign w:val="bottom"/>
          </w:tcPr>
          <w:p>
            <w:pPr>
              <w:pStyle w:val="TableContents"/>
              <w:spacing w:before="0" w:after="283"/>
              <w:jc w:val="center"/>
              <w:rPr/>
            </w:pPr>
            <w:r>
              <w:rPr/>
              <w:t xml:space="preserve">  </w:t>
            </w:r>
          </w:p>
        </w:tc>
      </w:tr>
      <w:tr>
        <w:trPr/>
        <w:tc>
          <w:tcPr>
            <w:tcW w:w="1832"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8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2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 of Total</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8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41" w:type="dxa"/>
            <w:tcBorders/>
            <w:shd w:fill="FFFFFF" w:val="clear"/>
            <w:vAlign w:val="bottom"/>
          </w:tcPr>
          <w:p>
            <w:pPr>
              <w:pStyle w:val="TableContents"/>
              <w:spacing w:before="0" w:after="283"/>
              <w:jc w:val="center"/>
              <w:rPr/>
            </w:pPr>
            <w:r>
              <w:rPr/>
              <w:t xml:space="preserve">  </w:t>
            </w:r>
          </w:p>
        </w:tc>
        <w:tc>
          <w:tcPr>
            <w:tcW w:w="12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 of Total</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6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2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 of Total</w:t>
            </w:r>
            <w:r>
              <w:rPr/>
              <w:t xml:space="preserve"> </w:t>
            </w:r>
          </w:p>
        </w:tc>
        <w:tc>
          <w:tcPr>
            <w:tcW w:w="293" w:type="dxa"/>
            <w:tcBorders/>
            <w:shd w:fill="FFFFFF" w:val="clear"/>
            <w:vAlign w:val="bottom"/>
          </w:tcPr>
          <w:p>
            <w:pPr>
              <w:pStyle w:val="TableContents"/>
              <w:spacing w:before="0" w:after="283"/>
              <w:jc w:val="center"/>
              <w:rPr/>
            </w:pPr>
            <w:r>
              <w:rPr/>
              <w:t xml:space="preserve">  </w:t>
            </w:r>
          </w:p>
        </w:tc>
      </w:tr>
      <w:tr>
        <w:trPr/>
        <w:tc>
          <w:tcPr>
            <w:tcW w:w="1832"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7967" w:type="dxa"/>
            <w:gridSpan w:val="22"/>
            <w:tcBorders/>
            <w:shd w:fill="FFFFFF" w:val="clear"/>
            <w:vAlign w:val="bottom"/>
          </w:tcPr>
          <w:p>
            <w:pPr>
              <w:pStyle w:val="TableContents"/>
              <w:spacing w:before="0" w:after="283"/>
              <w:jc w:val="center"/>
              <w:rPr/>
            </w:pPr>
            <w:r>
              <w:rPr>
                <w:b/>
              </w:rPr>
              <w:t>(Dollars in millions)</w:t>
            </w:r>
            <w:r>
              <w:rPr/>
              <w:t xml:space="preserve"> </w:t>
            </w:r>
          </w:p>
        </w:tc>
        <w:tc>
          <w:tcPr>
            <w:tcW w:w="293" w:type="dxa"/>
            <w:tcBorders/>
            <w:shd w:fill="FFFFFF" w:val="clear"/>
            <w:vAlign w:val="bottom"/>
          </w:tcPr>
          <w:p>
            <w:pPr>
              <w:pStyle w:val="TableContents"/>
              <w:spacing w:before="0" w:after="283"/>
              <w:jc w:val="center"/>
              <w:rPr/>
            </w:pPr>
            <w:r>
              <w:rPr/>
              <w:t xml:space="preserve">  </w:t>
            </w:r>
          </w:p>
        </w:tc>
      </w:tr>
      <w:tr>
        <w:trPr/>
        <w:tc>
          <w:tcPr>
            <w:tcW w:w="1832" w:type="dxa"/>
            <w:tcBorders/>
            <w:shd w:fill="FFFFFF" w:val="clear"/>
            <w:vAlign w:val="center"/>
          </w:tcPr>
          <w:p>
            <w:pPr>
              <w:pStyle w:val="TableContents"/>
              <w:spacing w:before="0" w:after="283"/>
              <w:rPr/>
            </w:pPr>
            <w:r>
              <w:rPr/>
              <w:t xml:space="preserve">  </w:t>
            </w:r>
          </w:p>
        </w:tc>
        <w:tc>
          <w:tcPr>
            <w:tcW w:w="8373" w:type="dxa"/>
            <w:gridSpan w:val="24"/>
            <w:tcBorders/>
            <w:shd w:fill="FFFFFF" w:val="clear"/>
          </w:tcPr>
          <w:p>
            <w:pPr>
              <w:pStyle w:val="TableContents"/>
              <w:spacing w:before="0" w:after="283"/>
              <w:rPr>
                <w:sz w:val="4"/>
                <w:szCs w:val="4"/>
              </w:rPr>
            </w:pPr>
            <w:r>
              <w:rPr>
                <w:sz w:val="4"/>
                <w:szCs w:val="4"/>
              </w:rPr>
            </w:r>
          </w:p>
        </w:tc>
      </w:tr>
      <w:tr>
        <w:trPr/>
        <w:tc>
          <w:tcPr>
            <w:tcW w:w="1832" w:type="dxa"/>
            <w:tcBorders/>
            <w:shd w:fill="CCEEFF" w:val="clear"/>
            <w:vAlign w:val="bottom"/>
          </w:tcPr>
          <w:p>
            <w:pPr>
              <w:pStyle w:val="TableContents"/>
              <w:spacing w:before="0" w:after="0"/>
              <w:ind w:left="200" w:right="0" w:hanging="200"/>
              <w:jc w:val="left"/>
              <w:rPr>
                <w:sz w:val="17"/>
              </w:rPr>
            </w:pPr>
            <w:r>
              <w:rPr>
                <w:sz w:val="17"/>
              </w:rPr>
              <w:t xml:space="preserve">Fixed rate senior notes(1)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1,336 </w:t>
            </w:r>
          </w:p>
        </w:tc>
        <w:tc>
          <w:tcPr>
            <w:tcW w:w="138"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92 </w:t>
            </w:r>
          </w:p>
        </w:tc>
        <w:tc>
          <w:tcPr>
            <w:tcW w:w="280"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891 </w:t>
            </w:r>
          </w:p>
        </w:tc>
        <w:tc>
          <w:tcPr>
            <w:tcW w:w="138" w:type="dxa"/>
            <w:tcBorders/>
            <w:shd w:fill="CCEEFF" w:val="clear"/>
            <w:vAlign w:val="bottom"/>
          </w:tcPr>
          <w:p>
            <w:pPr>
              <w:pStyle w:val="TableContents"/>
              <w:spacing w:before="0" w:after="283"/>
              <w:jc w:val="left"/>
              <w:rPr/>
            </w:pPr>
            <w:r>
              <w:rPr/>
              <w:t xml:space="preserve">  </w:t>
            </w:r>
          </w:p>
        </w:tc>
        <w:tc>
          <w:tcPr>
            <w:tcW w:w="141"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87 </w:t>
            </w:r>
          </w:p>
        </w:tc>
        <w:tc>
          <w:tcPr>
            <w:tcW w:w="280"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459" w:type="dxa"/>
            <w:tcBorders/>
            <w:shd w:fill="CCEEFF" w:val="clear"/>
            <w:vAlign w:val="bottom"/>
          </w:tcPr>
          <w:p>
            <w:pPr>
              <w:pStyle w:val="TableContents"/>
              <w:spacing w:before="0" w:after="283"/>
              <w:jc w:val="right"/>
              <w:rPr/>
            </w:pPr>
            <w:r>
              <w:rPr/>
              <w:t xml:space="preserve">586 </w:t>
            </w:r>
          </w:p>
        </w:tc>
        <w:tc>
          <w:tcPr>
            <w:tcW w:w="138"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68 </w:t>
            </w:r>
          </w:p>
        </w:tc>
        <w:tc>
          <w:tcPr>
            <w:tcW w:w="293" w:type="dxa"/>
            <w:tcBorders/>
            <w:shd w:fill="CCEEFF" w:val="clear"/>
            <w:vAlign w:val="bottom"/>
          </w:tcPr>
          <w:p>
            <w:pPr>
              <w:pStyle w:val="TableContents"/>
              <w:spacing w:before="0" w:after="283"/>
              <w:jc w:val="left"/>
              <w:rPr/>
            </w:pPr>
            <w:r>
              <w:rPr/>
              <w:t xml:space="preserve">% </w:t>
            </w:r>
          </w:p>
        </w:tc>
      </w:tr>
      <w:tr>
        <w:trPr/>
        <w:tc>
          <w:tcPr>
            <w:tcW w:w="1832" w:type="dxa"/>
            <w:tcBorders/>
            <w:shd w:fill="FFFFFF" w:val="clear"/>
            <w:vAlign w:val="bottom"/>
          </w:tcPr>
          <w:p>
            <w:pPr>
              <w:pStyle w:val="TableContents"/>
              <w:spacing w:before="0" w:after="0"/>
              <w:ind w:left="200" w:right="0" w:hanging="200"/>
              <w:jc w:val="left"/>
              <w:rPr>
                <w:sz w:val="17"/>
              </w:rPr>
            </w:pPr>
            <w:r>
              <w:rPr>
                <w:sz w:val="17"/>
              </w:rPr>
              <w:t xml:space="preserve">Borrowings under our revolving credit facilities(2)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118 </w:t>
            </w:r>
          </w:p>
        </w:tc>
        <w:tc>
          <w:tcPr>
            <w:tcW w:w="138"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jc w:val="left"/>
              <w:rPr/>
            </w:pPr>
            <w:r>
              <w:rPr/>
              <w:t xml:space="preserve">  </w:t>
            </w:r>
          </w:p>
        </w:tc>
        <w:tc>
          <w:tcPr>
            <w:tcW w:w="955" w:type="dxa"/>
            <w:tcBorders/>
            <w:shd w:fill="FFFFFF" w:val="clear"/>
            <w:vAlign w:val="bottom"/>
          </w:tcPr>
          <w:p>
            <w:pPr>
              <w:pStyle w:val="TableContents"/>
              <w:spacing w:before="0" w:after="283"/>
              <w:jc w:val="right"/>
              <w:rPr/>
            </w:pPr>
            <w:r>
              <w:rPr/>
              <w:t xml:space="preserve">8 </w:t>
            </w:r>
          </w:p>
        </w:tc>
        <w:tc>
          <w:tcPr>
            <w:tcW w:w="280"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135 </w:t>
            </w:r>
          </w:p>
        </w:tc>
        <w:tc>
          <w:tcPr>
            <w:tcW w:w="138" w:type="dxa"/>
            <w:tcBorders/>
            <w:shd w:fill="FFFFFF" w:val="clear"/>
            <w:vAlign w:val="bottom"/>
          </w:tcPr>
          <w:p>
            <w:pPr>
              <w:pStyle w:val="TableContents"/>
              <w:spacing w:before="0" w:after="283"/>
              <w:jc w:val="left"/>
              <w:rPr/>
            </w:pPr>
            <w:r>
              <w:rPr/>
              <w:t xml:space="preserve">  </w:t>
            </w:r>
          </w:p>
        </w:tc>
        <w:tc>
          <w:tcPr>
            <w:tcW w:w="141"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jc w:val="left"/>
              <w:rPr/>
            </w:pPr>
            <w:r>
              <w:rPr/>
              <w:t xml:space="preserve">  </w:t>
            </w:r>
          </w:p>
        </w:tc>
        <w:tc>
          <w:tcPr>
            <w:tcW w:w="955" w:type="dxa"/>
            <w:tcBorders/>
            <w:shd w:fill="FFFFFF" w:val="clear"/>
            <w:vAlign w:val="bottom"/>
          </w:tcPr>
          <w:p>
            <w:pPr>
              <w:pStyle w:val="TableContents"/>
              <w:spacing w:before="0" w:after="283"/>
              <w:jc w:val="right"/>
              <w:rPr/>
            </w:pPr>
            <w:r>
              <w:rPr/>
              <w:t xml:space="preserve">13 </w:t>
            </w:r>
          </w:p>
        </w:tc>
        <w:tc>
          <w:tcPr>
            <w:tcW w:w="280"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459" w:type="dxa"/>
            <w:tcBorders/>
            <w:shd w:fill="FFFFFF" w:val="clear"/>
            <w:vAlign w:val="bottom"/>
          </w:tcPr>
          <w:p>
            <w:pPr>
              <w:pStyle w:val="TableContents"/>
              <w:spacing w:before="0" w:after="283"/>
              <w:jc w:val="right"/>
              <w:rPr/>
            </w:pPr>
            <w:r>
              <w:rPr/>
              <w:t xml:space="preserve">274 </w:t>
            </w:r>
          </w:p>
        </w:tc>
        <w:tc>
          <w:tcPr>
            <w:tcW w:w="138"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jc w:val="left"/>
              <w:rPr/>
            </w:pPr>
            <w:r>
              <w:rPr/>
              <w:t xml:space="preserve">  </w:t>
            </w:r>
          </w:p>
        </w:tc>
        <w:tc>
          <w:tcPr>
            <w:tcW w:w="955" w:type="dxa"/>
            <w:tcBorders/>
            <w:shd w:fill="FFFFFF" w:val="clear"/>
            <w:vAlign w:val="bottom"/>
          </w:tcPr>
          <w:p>
            <w:pPr>
              <w:pStyle w:val="TableContents"/>
              <w:spacing w:before="0" w:after="283"/>
              <w:jc w:val="right"/>
              <w:rPr/>
            </w:pPr>
            <w:r>
              <w:rPr/>
              <w:t xml:space="preserve">32 </w:t>
            </w:r>
          </w:p>
        </w:tc>
        <w:tc>
          <w:tcPr>
            <w:tcW w:w="293" w:type="dxa"/>
            <w:tcBorders/>
            <w:shd w:fill="FFFFFF" w:val="clear"/>
            <w:vAlign w:val="bottom"/>
          </w:tcPr>
          <w:p>
            <w:pPr>
              <w:pStyle w:val="TableContents"/>
              <w:spacing w:before="0" w:after="283"/>
              <w:jc w:val="left"/>
              <w:rPr/>
            </w:pPr>
            <w:r>
              <w:rPr/>
              <w:t xml:space="preserve">% </w:t>
            </w:r>
          </w:p>
        </w:tc>
      </w:tr>
      <w:tr>
        <w:trPr/>
        <w:tc>
          <w:tcPr>
            <w:tcW w:w="1832"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1"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93" w:type="dxa"/>
            <w:tcBorders/>
            <w:shd w:fill="FFFFFF" w:val="clear"/>
            <w:vAlign w:val="bottom"/>
          </w:tcPr>
          <w:p>
            <w:pPr>
              <w:pStyle w:val="TableContents"/>
              <w:spacing w:before="0" w:after="283"/>
              <w:rPr/>
            </w:pPr>
            <w:r>
              <w:rPr/>
              <w:t xml:space="preserve">  </w:t>
            </w:r>
          </w:p>
        </w:tc>
      </w:tr>
      <w:tr>
        <w:trPr/>
        <w:tc>
          <w:tcPr>
            <w:tcW w:w="1832"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1,454 </w:t>
            </w:r>
          </w:p>
        </w:tc>
        <w:tc>
          <w:tcPr>
            <w:tcW w:w="138"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  </w:t>
            </w:r>
          </w:p>
        </w:tc>
        <w:tc>
          <w:tcPr>
            <w:tcW w:w="280"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1,026 </w:t>
            </w:r>
          </w:p>
        </w:tc>
        <w:tc>
          <w:tcPr>
            <w:tcW w:w="138" w:type="dxa"/>
            <w:tcBorders/>
            <w:shd w:fill="CCEEFF" w:val="clear"/>
            <w:vAlign w:val="bottom"/>
          </w:tcPr>
          <w:p>
            <w:pPr>
              <w:pStyle w:val="TableContents"/>
              <w:spacing w:before="0" w:after="283"/>
              <w:jc w:val="left"/>
              <w:rPr/>
            </w:pPr>
            <w:r>
              <w:rPr/>
              <w:t xml:space="preserve">  </w:t>
            </w:r>
          </w:p>
        </w:tc>
        <w:tc>
          <w:tcPr>
            <w:tcW w:w="141"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  </w:t>
            </w:r>
          </w:p>
        </w:tc>
        <w:tc>
          <w:tcPr>
            <w:tcW w:w="280"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459" w:type="dxa"/>
            <w:tcBorders/>
            <w:shd w:fill="CCEEFF" w:val="clear"/>
            <w:vAlign w:val="bottom"/>
          </w:tcPr>
          <w:p>
            <w:pPr>
              <w:pStyle w:val="TableContents"/>
              <w:spacing w:before="0" w:after="283"/>
              <w:jc w:val="right"/>
              <w:rPr/>
            </w:pPr>
            <w:r>
              <w:rPr/>
              <w:t xml:space="preserve">860 </w:t>
            </w:r>
          </w:p>
        </w:tc>
        <w:tc>
          <w:tcPr>
            <w:tcW w:w="138"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21" w:type="dxa"/>
            <w:tcBorders/>
            <w:shd w:fill="CCEEFF" w:val="clear"/>
            <w:vAlign w:val="bottom"/>
          </w:tcPr>
          <w:p>
            <w:pPr>
              <w:pStyle w:val="TableContents"/>
              <w:spacing w:before="0" w:after="283"/>
              <w:jc w:val="left"/>
              <w:rPr/>
            </w:pPr>
            <w:r>
              <w:rPr/>
              <w:t xml:space="preserve">  </w:t>
            </w:r>
          </w:p>
        </w:tc>
        <w:tc>
          <w:tcPr>
            <w:tcW w:w="955" w:type="dxa"/>
            <w:tcBorders/>
            <w:shd w:fill="CCEEFF" w:val="clear"/>
            <w:vAlign w:val="bottom"/>
          </w:tcPr>
          <w:p>
            <w:pPr>
              <w:pStyle w:val="TableContents"/>
              <w:spacing w:before="0" w:after="283"/>
              <w:jc w:val="right"/>
              <w:rPr/>
            </w:pPr>
            <w:r>
              <w:rPr/>
              <w:t xml:space="preserve">  </w:t>
            </w:r>
          </w:p>
        </w:tc>
        <w:tc>
          <w:tcPr>
            <w:tcW w:w="293" w:type="dxa"/>
            <w:tcBorders/>
            <w:shd w:fill="CCEEFF" w:val="clear"/>
            <w:vAlign w:val="bottom"/>
          </w:tcPr>
          <w:p>
            <w:pPr>
              <w:pStyle w:val="TableContents"/>
              <w:spacing w:before="0" w:after="283"/>
              <w:jc w:val="left"/>
              <w:rPr/>
            </w:pPr>
            <w:r>
              <w:rPr/>
              <w:t xml:space="preserve">  </w:t>
            </w:r>
          </w:p>
        </w:tc>
      </w:tr>
      <w:tr>
        <w:trPr/>
        <w:tc>
          <w:tcPr>
            <w:tcW w:w="1832"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1"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80"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321" w:type="dxa"/>
            <w:tcBorders/>
            <w:shd w:fill="FFFFFF" w:val="clear"/>
            <w:vAlign w:val="bottom"/>
          </w:tcPr>
          <w:p>
            <w:pPr>
              <w:pStyle w:val="TableContents"/>
              <w:spacing w:before="0" w:after="283"/>
              <w:rPr/>
            </w:pPr>
            <w:r>
              <w:rPr/>
              <w:t xml:space="preserve">  </w:t>
            </w:r>
          </w:p>
        </w:tc>
        <w:tc>
          <w:tcPr>
            <w:tcW w:w="955" w:type="dxa"/>
            <w:tcBorders/>
            <w:shd w:fill="FFFFFF" w:val="clear"/>
            <w:vAlign w:val="bottom"/>
          </w:tcPr>
          <w:p>
            <w:pPr>
              <w:pStyle w:val="TableContents"/>
              <w:spacing w:before="0" w:after="283"/>
              <w:rPr/>
            </w:pPr>
            <w:r>
              <w:rPr/>
              <w:t xml:space="preserve">  </w:t>
            </w:r>
          </w:p>
        </w:tc>
        <w:tc>
          <w:tcPr>
            <w:tcW w:w="293"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0"/>
        <w:gridCol w:w="9697"/>
      </w:tblGrid>
      <w:tr>
        <w:trPr/>
        <w:tc>
          <w:tcPr>
            <w:tcW w:w="408"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Weighted average face amount of senior notes, exclusive of discounts.</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Excludes borrowings under our senior secured hedged inventory facility and capital leases.</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issuance of senior notes and the assumption of Pacifics debt in 2006 resulted in an increase in the average amount of longer term and higher cost fixed-rate debt outstanding in 2006. The overall higher average debt balances in 2006 and 2005 were primarily related to the portion of our acquisitions that were not financed with equity, coupled with borrowings related to other capital projects. During 2006, 2005 and 2004, the average LIBOR rate was 5.0%, 3.2%, and 1.6%, respectively. Our weighted average interest rate, excluding commitment and other fees, was approximately 6.1% in 2006, compared to 5.6% and 5.0% in 2005 and 2004, respectively. The impact of the increased debt balance was an increase in interest expense of $26.0 million, and the impact of the higher weighted-average interest rate was an increase in interest expense of $4.7 million. Both of these increases were primarily offset by an increase in capitalized interest of $4.2 million. The net impact of the items discussed above was an increase in interest expense in 2006 of approximately $26.2 million.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higher average debt balance in 2005 as compared to 2004 resulted in additional interest expense of approximately $12.7 million, while at the same time our commitment and other fees decreased by approximately $1.8 million. Our weighted average interest rate, excluding commitment and other fees, was approximately 5.6% for 2005 compared to 5.0% for 2004. The higher weighted average rate increased interest expense by approximately $12.7 million in 2005 compared to 2004.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Interest costs attributable to borrowings for inventory stored in a contango market are included in purchases and related costs in our marketing segment profit as we consider interest on these borrowings a direct cost to storing the inventory. These borrowings are primarily under our senior secured hedged inventory facility. These costs were approximately $49.2 million, $23.7 million and $2.0 million for the years ended December 31, 2006, 2005 and 2004, respectively.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Outlook</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section identifies certain matters of risk and uncertainty that may affect our financial performance and results of operations in the future.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Ongoing Acquisition Activities.</w:t>
      </w:r>
      <w:r>
        <w:rPr>
          <w:rFonts w:ascii="Times New Roman;Times" w:hAnsi="Times New Roman;Times"/>
          <w:color w:val="000000"/>
          <w:sz w:val="17"/>
          <w:highlight w:val="white"/>
        </w:rPr>
        <w:t xml:space="preserve">  Consistent with our business strategy, we are continuously engaged in discussions regarding potential acquisitions by us of transportation, gathering, terminalling or storage assets and related midstream businesses. These acquisition efforts often involve assets that,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current operations, but with respect to which these resources effectively can be applied. For example, during 2006 we entered the refined products transportation and storage business as well as the barge transportation business. We are presently engaged in discussions and negotiations with various parties regarding the acquisition of assets and businesses described above, but we can give no assurance that our current or future acquisition efforts will be successful or that any such acquisition will be completed on terms considered favorable to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Pipeline Integrity and Storage Tank Testing Compliance.</w:t>
      </w:r>
      <w:r>
        <w:rPr>
          <w:rFonts w:ascii="Times New Roman;Times" w:hAnsi="Times New Roman;Times"/>
          <w:color w:val="000000"/>
          <w:sz w:val="17"/>
          <w:highlight w:val="white"/>
        </w:rPr>
        <w:t xml:space="preserve">  Although we believe our short-term estimates of costs under the pipeline integrity management rules and API 653 (and similar regulations in Canada) are reasonable, a high degree of uncertainty exists with respect to estimating such costs, as we continue to test existing assets and as we acquire additional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2006, the DOT published a Notice of Proposed Rulemaking (NPRM) that proposed to regulate certain hazardous liquid gathering and low stress pipeline systems that are not currently subject to regulation. On December 6, 2006, the Congress passed, and on December 29, 2006 President Bush signed into law, H.R. 5782, the Pipeline Inspection, Protection, Enforcement and Safety Act of 2006 (2006 Pipeline Safety Act), which reauthorizes and amends the DOTs pipeline safety programs. Included in the 2006 Pipeline Safety Act is a provision eliminating the regulatory exemption for hazardous liquid pipelines operated at low stress, which was one of the focal points of the September 2006 NPRM. The Act requires DOT to issue regulations by December 31, 2007 for those hazardous liquid low stress pipelines now subject to regulation pursuant to the Act. Regulations issued by December 31, 2007 with respect to hazardous liquid low stress pipelines as well as any future regulation of hazardous liquid gathering lines could include requirements for the establishment of additional pipeline integrity management programs for these newly regulated pipelines. We do not currently know what, if any, impact these developments will have on our operating expenses and, thus, cannot provide any assurances that future costs related to these programs will not be material.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performing DOT-mandated pipeline integrity evaluations, during 2006, we expanded an internal review process started in 2005 in which we are reviewing various aspects of our pipeline and gathering systems that are not subject to the DOT pipeline integrity management rule. The purpose of this process is to review the surrounding environment, condition and operating history of these pipelines and gathering assets to determine if such assets warrant additional investment or replacement. Accordingly, we may be required (as a result of additional DOT regulation) or we may elect (as a result of our own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Longer-Term Outlook.</w:t>
      </w:r>
      <w:r>
        <w:rPr>
          <w:rFonts w:ascii="Times New Roman;Times" w:hAnsi="Times New Roman;Times"/>
          <w:color w:val="000000"/>
          <w:sz w:val="17"/>
          <w:highlight w:val="white"/>
        </w:rPr>
        <w:t xml:space="preserve">  Our longer-term outlook, spanning a period of five or more years, is influenced by many factors affecting the North American midstream energy sector. Some of the more significant trends and factors relating to crude oil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Continued overall depletion of U.S. crude oil production.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The continuing convergence of worldwide crude oil supply and demand trends.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The expected extension of DOT regulations to low stress and gathering pipelines.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Industry compliance with the DOTs adoption of API 653 for testing and maintenance of storage tanks, which will require significant investments to maintain existing crude oil storage capacity or, alternatively, will result in a reduction of existing storage capacity by 2009.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The addition of inspection requirements by EPA for storage tanks not subject to DOTs API 653 requirements.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The expectation of increased crude oil production from certain North American regions (primarily Canadian oil sands and deepwater Gulf of Mexico sources) that will, of economic necessity, compete for U.S. markets currently being supplied by non-North American foreign crude imports.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the collective impact of these trends, factors and developments, many of which are beyond our control, will result in an increasingly volatile crude oil market that is subject to more frequent short-term swings in market prices and grade differentials and shifts in market structure. In an environment of tight supply and demand balances, even relatively minor supply disruptions can cause significant price swings, which were evident in 2005.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also regularly evaluating midstream businesses that are complementary to our existing businesses and that possess attractive long-term growth prospects. Through PAA/Vulcans acquisition of ECI in 2005, the Partnership entered the natural gas storage business. Although our investment in natural gas storage assets is currently relatively small when considering the Partnerships overall size, we intend to grow this portion of our business through future acquisitions and expansion projects. We believe that strategically located natural gas storage facilities will become increasingly important in supporting the reliability of gas service needs in the United States. Rising demand for natural gas is outpacing domestic natural gas production, creating an increased need for imported natural gas. A continuation of this trend will result in increased natural gas imports from Canada and the Gulf of Mexico, and LNG imports. We believe our business strategy and expertise in hydrocarbon storage will allow us to grow our natural gas storage platform and benefit from these trends.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we entered the refined products transportation and storage business. We believe that this business will be driven by increased demand for refined products, growth in the capacity of refineries and increased reliance on imports. We believe that demand for refined products will increase as a result of multiple specifications of existing products (also referred to as boutique gasoline blends), specification changes to existing products, such as ultra low sulfur diesel, and new products, such as bio-fuels. In addition, capacity creep as well as large expansion projects at existing refineries will likely necessitate construction of additional refined products transportation and storage infrastructure. We intend to grow our asset base in the refined products business through future acquisitions and expansion projects. We also intend to apply our business model to the refined products business by establishing and growing a marketing and distribution business to complement our strategically located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Liquidity and Capital Resources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has a defined financial growth strategy that states how we intend to finance our growth and sets forth targeted credit metrics. We have also established a targeted credit rating. See Items 1 and 2. Business and Properties  Financial Strategy.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Cash flow from operations and our credit facilities are our primary sources of liquidity. At December 31, 2006, we had working capital of approximately $133 million, approximately $1.25 billion of availability under our committed revolving credit facilities and approximately $0.4 million of availability under our uncommitted hedged inventory facility. Usage of the credit facilities is subject to ongoing compliance with covenants. We believe we are currently in compliance with all covenants.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flow from operations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crude oil market was in contango for much of 2006 and 2005.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The storage of crude oil in periods of a contango market can have a material negative impact on our cash flows from operating activities for the period in which we pay for and store the crude oil (as is the case for much of 2006, including at December 31, 2006)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cash flow used in operating activities in 2006 was $275.3 million compared to cash provided by operating activities of $24.1 million in 2005. This change reflects cash generated by our recurring operations offset by an increase in certain working capital items of approximately $703 million. In 2006, the market was in contango and we increased our storage of crude oil and other products (financed through borrowings under our credit facilities), resulting in a negative impact on our cash flows from operating activities for the period, as explained above. The fluctuations in accounts receivable and other and accounts payable and other current liabilities are primarily related to purchases and sales of crude oil that generally vary proportionately.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Cash flow from operating activities was $24.1 million in 2005 and reflects cash generated by our recurring operations (as indicated above in describing the primary drivers of cash generated from operations), offset by changes in components of working capital, including an increase in inventory. A significant portion of the increased inventory has been purchased and stored due to contango market conditions and was paid for during the period via borrowings under our credit facilities or from cash on hand. As mentioned above, this activity has a negative impact in the period that we pay for and store the inventory. In addition, there was a change in working capital resulting from higher NYMEX margin deposits paid during 2005 that had a negative impact on our cash flows from operations. The fluctuations in accounts receivable and other and accounts payable and other current liabilities are primarily related to purchases and sales of crude oil that generally vary proportionately.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Cash flow from operating activities was $104.0 million in 2004 and reflects cash generated by our recurring operations that was offset negatively by several factors totaling approximately $100 million. The primary factor was a net increase in hedged crude oil and LPG inventory and linefill in third party assets that was financed with borrowings under our credit facilities (approximately $75 million net). Cash flow from operations was also negatively impacted by a decrease of approximately $20 million in prepayments received from counterparties to mitigate credit risk.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provided by equity and debt financing activities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 billion of debt or equity securities. At December 31, 2006, we have approximately $1.1 billion of unissued securities remaining available under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Cash provided by financing activities was $1,927.0 million, $270.6 million and $554.5 million for each of the last three years, respectively. Our financing activities primarily relate to funding (i) acquisitions, (ii) internal capital projects and (iii) short-term working capital and hedged inventory borrowings related to our contango market activities. Our financing activities have primarily consisted of equity offerings, senior notes offerings and borrowings under our credit facilities. During 2006, we borrowed under our credit facilities to pay for the storage of crude oil and other products under contango market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Equity Offerings.</w:t>
      </w:r>
      <w:r>
        <w:rPr>
          <w:rFonts w:ascii="Times New Roman;Times" w:hAnsi="Times New Roman;Times"/>
          <w:color w:val="000000"/>
          <w:sz w:val="17"/>
          <w:highlight w:val="white"/>
        </w:rPr>
        <w:t xml:space="preserve">  During the last three years we completed several equity offerings as summarized in the table below. Certain of these offerings involved related parties. See Note 9 to our Consolidated Financial Statements: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215"/>
        <w:gridCol w:w="244"/>
        <w:gridCol w:w="374"/>
        <w:gridCol w:w="1322"/>
        <w:gridCol w:w="138"/>
        <w:gridCol w:w="244"/>
        <w:gridCol w:w="138"/>
        <w:gridCol w:w="1156"/>
        <w:gridCol w:w="138"/>
        <w:gridCol w:w="243"/>
        <w:gridCol w:w="313"/>
        <w:gridCol w:w="1078"/>
        <w:gridCol w:w="138"/>
        <w:gridCol w:w="244"/>
        <w:gridCol w:w="138"/>
        <w:gridCol w:w="1156"/>
        <w:gridCol w:w="138"/>
        <w:gridCol w:w="244"/>
        <w:gridCol w:w="313"/>
        <w:gridCol w:w="1078"/>
        <w:gridCol w:w="153"/>
      </w:tblGrid>
      <w:tr>
        <w:trPr/>
        <w:tc>
          <w:tcPr>
            <w:tcW w:w="1215"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rPr/>
            </w:pPr>
            <w:r>
              <w:rPr/>
              <w:t> </w:t>
            </w:r>
          </w:p>
        </w:tc>
        <w:tc>
          <w:tcPr>
            <w:tcW w:w="374" w:type="dxa"/>
            <w:tcBorders/>
            <w:shd w:fill="FFFFFF" w:val="clear"/>
            <w:vAlign w:val="bottom"/>
          </w:tcPr>
          <w:p>
            <w:pPr>
              <w:pStyle w:val="TableContents"/>
              <w:spacing w:before="0" w:after="283"/>
              <w:jc w:val="right"/>
              <w:rPr/>
            </w:pPr>
            <w:r>
              <w:rPr/>
              <w:t> </w:t>
            </w:r>
          </w:p>
        </w:tc>
        <w:tc>
          <w:tcPr>
            <w:tcW w:w="1322"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right"/>
              <w:rPr/>
            </w:pPr>
            <w:r>
              <w:rPr/>
              <w:t> </w:t>
            </w:r>
          </w:p>
        </w:tc>
        <w:tc>
          <w:tcPr>
            <w:tcW w:w="115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243" w:type="dxa"/>
            <w:tcBorders/>
            <w:shd w:fill="FFFFFF" w:val="clear"/>
            <w:vAlign w:val="bottom"/>
          </w:tcPr>
          <w:p>
            <w:pPr>
              <w:pStyle w:val="TableContents"/>
              <w:spacing w:before="0" w:after="283"/>
              <w:rPr/>
            </w:pPr>
            <w:r>
              <w:rPr/>
              <w:t> </w:t>
            </w:r>
          </w:p>
        </w:tc>
        <w:tc>
          <w:tcPr>
            <w:tcW w:w="313" w:type="dxa"/>
            <w:tcBorders/>
            <w:shd w:fill="FFFFFF" w:val="clear"/>
            <w:vAlign w:val="bottom"/>
          </w:tcPr>
          <w:p>
            <w:pPr>
              <w:pStyle w:val="TableContents"/>
              <w:spacing w:before="0" w:after="283"/>
              <w:jc w:val="right"/>
              <w:rPr/>
            </w:pPr>
            <w:r>
              <w:rPr/>
              <w:t> </w:t>
            </w:r>
          </w:p>
        </w:tc>
        <w:tc>
          <w:tcPr>
            <w:tcW w:w="1078"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right"/>
              <w:rPr/>
            </w:pPr>
            <w:r>
              <w:rPr/>
              <w:t> </w:t>
            </w:r>
          </w:p>
        </w:tc>
        <w:tc>
          <w:tcPr>
            <w:tcW w:w="115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rPr/>
            </w:pPr>
            <w:r>
              <w:rPr/>
              <w:t> </w:t>
            </w:r>
          </w:p>
        </w:tc>
        <w:tc>
          <w:tcPr>
            <w:tcW w:w="313" w:type="dxa"/>
            <w:tcBorders/>
            <w:shd w:fill="FFFFFF" w:val="clear"/>
            <w:vAlign w:val="bottom"/>
          </w:tcPr>
          <w:p>
            <w:pPr>
              <w:pStyle w:val="TableContents"/>
              <w:spacing w:before="0" w:after="283"/>
              <w:jc w:val="right"/>
              <w:rPr/>
            </w:pPr>
            <w:r>
              <w:rPr/>
              <w:t> </w:t>
            </w:r>
          </w:p>
        </w:tc>
        <w:tc>
          <w:tcPr>
            <w:tcW w:w="1078"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r>
      <w:tr>
        <w:trPr/>
        <w:tc>
          <w:tcPr>
            <w:tcW w:w="3155" w:type="dxa"/>
            <w:gridSpan w:val="4"/>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306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306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3" w:type="dxa"/>
            <w:tcBorders/>
            <w:shd w:fill="FFFFFF" w:val="clear"/>
            <w:vAlign w:val="bottom"/>
          </w:tcPr>
          <w:p>
            <w:pPr>
              <w:pStyle w:val="TableContents"/>
              <w:spacing w:before="0" w:after="283"/>
              <w:jc w:val="center"/>
              <w:rPr/>
            </w:pPr>
            <w:r>
              <w:rPr/>
              <w:t xml:space="preserve">  </w:t>
            </w:r>
          </w:p>
        </w:tc>
      </w:tr>
      <w:tr>
        <w:trPr/>
        <w:tc>
          <w:tcPr>
            <w:tcW w:w="1215"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696" w:type="dxa"/>
            <w:gridSpan w:val="2"/>
            <w:tcBorders/>
            <w:shd w:fill="FFFFFF" w:val="clear"/>
            <w:vAlign w:val="bottom"/>
          </w:tcPr>
          <w:p>
            <w:pPr>
              <w:pStyle w:val="TableContents"/>
              <w:spacing w:before="0" w:after="283"/>
              <w:jc w:val="center"/>
              <w:rPr>
                <w:b/>
              </w:rPr>
            </w:pPr>
            <w:r>
              <w:rPr>
                <w:b/>
              </w:rPr>
              <w:t>Net</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294"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1391" w:type="dxa"/>
            <w:gridSpan w:val="2"/>
            <w:tcBorders/>
            <w:shd w:fill="FFFFFF" w:val="clear"/>
            <w:vAlign w:val="bottom"/>
          </w:tcPr>
          <w:p>
            <w:pPr>
              <w:pStyle w:val="TableContents"/>
              <w:spacing w:before="0" w:after="283"/>
              <w:jc w:val="center"/>
              <w:rPr>
                <w:b/>
              </w:rPr>
            </w:pPr>
            <w:r>
              <w:rPr>
                <w:b/>
              </w:rPr>
              <w:t>Net</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294"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391" w:type="dxa"/>
            <w:gridSpan w:val="2"/>
            <w:tcBorders/>
            <w:shd w:fill="FFFFFF" w:val="clear"/>
            <w:vAlign w:val="bottom"/>
          </w:tcPr>
          <w:p>
            <w:pPr>
              <w:pStyle w:val="TableContents"/>
              <w:spacing w:before="0" w:after="283"/>
              <w:jc w:val="center"/>
              <w:rPr>
                <w:b/>
              </w:rPr>
            </w:pPr>
            <w:r>
              <w:rPr>
                <w:b/>
              </w:rPr>
              <w:t>Net</w:t>
            </w:r>
          </w:p>
        </w:tc>
        <w:tc>
          <w:tcPr>
            <w:tcW w:w="153" w:type="dxa"/>
            <w:tcBorders/>
            <w:shd w:fill="FFFFFF" w:val="clear"/>
            <w:vAlign w:val="bottom"/>
          </w:tcPr>
          <w:p>
            <w:pPr>
              <w:pStyle w:val="TableContents"/>
              <w:spacing w:before="0" w:after="283"/>
              <w:jc w:val="center"/>
              <w:rPr/>
            </w:pPr>
            <w:r>
              <w:rPr/>
              <w:t xml:space="preserve">  </w:t>
            </w:r>
          </w:p>
        </w:tc>
      </w:tr>
      <w:tr>
        <w:trPr/>
        <w:tc>
          <w:tcPr>
            <w:tcW w:w="1215" w:type="dxa"/>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6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Proceeds(1)(2)</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29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3" w:type="dxa"/>
            <w:tcBorders/>
            <w:shd w:fill="FFFFFF" w:val="clear"/>
            <w:vAlign w:val="bottom"/>
          </w:tcPr>
          <w:p>
            <w:pPr>
              <w:pStyle w:val="TableContents"/>
              <w:spacing w:before="0" w:after="283"/>
              <w:jc w:val="center"/>
              <w:rPr/>
            </w:pPr>
            <w:r>
              <w:rPr/>
              <w:t xml:space="preserve">  </w:t>
            </w:r>
          </w:p>
        </w:tc>
        <w:tc>
          <w:tcPr>
            <w:tcW w:w="13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Proceeds(1)</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29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jc w:val="center"/>
              <w:rPr/>
            </w:pPr>
            <w:r>
              <w:rPr/>
              <w:t xml:space="preserve">  </w:t>
            </w:r>
          </w:p>
        </w:tc>
        <w:tc>
          <w:tcPr>
            <w:tcW w:w="13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Proceeds(1)</w:t>
            </w:r>
            <w:r>
              <w:rPr/>
              <w:t xml:space="preserve"> </w:t>
            </w:r>
          </w:p>
        </w:tc>
        <w:tc>
          <w:tcPr>
            <w:tcW w:w="153" w:type="dxa"/>
            <w:tcBorders/>
            <w:shd w:fill="FFFFFF" w:val="clear"/>
            <w:vAlign w:val="bottom"/>
          </w:tcPr>
          <w:p>
            <w:pPr>
              <w:pStyle w:val="TableContents"/>
              <w:spacing w:before="0" w:after="283"/>
              <w:jc w:val="center"/>
              <w:rPr/>
            </w:pPr>
            <w:r>
              <w:rPr/>
              <w:t xml:space="preserve">  </w:t>
            </w:r>
          </w:p>
        </w:tc>
      </w:tr>
      <w:tr>
        <w:trPr/>
        <w:tc>
          <w:tcPr>
            <w:tcW w:w="1215" w:type="dxa"/>
            <w:tcBorders/>
            <w:shd w:fill="FFFFFF" w:val="clear"/>
            <w:vAlign w:val="center"/>
          </w:tcPr>
          <w:p>
            <w:pPr>
              <w:pStyle w:val="TableContents"/>
              <w:spacing w:before="0" w:after="283"/>
              <w:rPr/>
            </w:pPr>
            <w:r>
              <w:rPr/>
              <w:t xml:space="preserve">  </w:t>
            </w:r>
          </w:p>
        </w:tc>
        <w:tc>
          <w:tcPr>
            <w:tcW w:w="8990" w:type="dxa"/>
            <w:gridSpan w:val="20"/>
            <w:tcBorders/>
            <w:shd w:fill="FFFFFF" w:val="clear"/>
          </w:tcPr>
          <w:p>
            <w:pPr>
              <w:pStyle w:val="TableContents"/>
              <w:spacing w:before="0" w:after="283"/>
              <w:rPr>
                <w:sz w:val="4"/>
                <w:szCs w:val="4"/>
              </w:rPr>
            </w:pPr>
            <w:r>
              <w:rPr>
                <w:sz w:val="4"/>
                <w:szCs w:val="4"/>
              </w:rPr>
            </w:r>
          </w:p>
        </w:tc>
      </w:tr>
      <w:tr>
        <w:trPr/>
        <w:tc>
          <w:tcPr>
            <w:tcW w:w="1215" w:type="dxa"/>
            <w:tcBorders/>
            <w:shd w:fill="CCEEFF" w:val="clear"/>
            <w:vAlign w:val="bottom"/>
          </w:tcPr>
          <w:p>
            <w:pPr>
              <w:pStyle w:val="TableContents"/>
              <w:spacing w:before="0" w:after="0"/>
              <w:ind w:left="200" w:right="0" w:hanging="200"/>
              <w:jc w:val="center"/>
              <w:rPr>
                <w:sz w:val="17"/>
              </w:rPr>
            </w:pPr>
            <w:r>
              <w:rPr>
                <w:sz w:val="17"/>
              </w:rPr>
              <w:t xml:space="preserve">6,163,960 </w:t>
            </w:r>
          </w:p>
        </w:tc>
        <w:tc>
          <w:tcPr>
            <w:tcW w:w="244" w:type="dxa"/>
            <w:tcBorders/>
            <w:shd w:fill="CCEEFF" w:val="clear"/>
            <w:vAlign w:val="bottom"/>
          </w:tcPr>
          <w:p>
            <w:pPr>
              <w:pStyle w:val="TableContents"/>
              <w:spacing w:before="0" w:after="283"/>
              <w:rPr/>
            </w:pPr>
            <w:r>
              <w:rPr/>
              <w:t xml:space="preserve">  </w:t>
            </w:r>
          </w:p>
        </w:tc>
        <w:tc>
          <w:tcPr>
            <w:tcW w:w="374" w:type="dxa"/>
            <w:tcBorders/>
            <w:shd w:fill="CCEEFF" w:val="clear"/>
            <w:vAlign w:val="bottom"/>
          </w:tcPr>
          <w:p>
            <w:pPr>
              <w:pStyle w:val="TableContents"/>
              <w:spacing w:before="0" w:after="283"/>
              <w:jc w:val="left"/>
              <w:rPr/>
            </w:pPr>
            <w:r>
              <w:rPr/>
              <w:t xml:space="preserve">$ </w:t>
            </w:r>
          </w:p>
        </w:tc>
        <w:tc>
          <w:tcPr>
            <w:tcW w:w="1322" w:type="dxa"/>
            <w:tcBorders/>
            <w:shd w:fill="CCEEFF" w:val="clear"/>
            <w:vAlign w:val="bottom"/>
          </w:tcPr>
          <w:p>
            <w:pPr>
              <w:pStyle w:val="TableContents"/>
              <w:spacing w:before="0" w:after="283"/>
              <w:jc w:val="right"/>
              <w:rPr/>
            </w:pPr>
            <w:r>
              <w:rPr/>
              <w:t xml:space="preserve">305.6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t xml:space="preserve">5,854,000 </w:t>
            </w:r>
          </w:p>
        </w:tc>
        <w:tc>
          <w:tcPr>
            <w:tcW w:w="138"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313" w:type="dxa"/>
            <w:tcBorders/>
            <w:shd w:fill="CCEEFF" w:val="clear"/>
            <w:vAlign w:val="bottom"/>
          </w:tcPr>
          <w:p>
            <w:pPr>
              <w:pStyle w:val="TableContents"/>
              <w:spacing w:before="0" w:after="283"/>
              <w:jc w:val="left"/>
              <w:rPr/>
            </w:pPr>
            <w:r>
              <w:rPr/>
              <w:t xml:space="preserve">$ </w:t>
            </w:r>
          </w:p>
        </w:tc>
        <w:tc>
          <w:tcPr>
            <w:tcW w:w="1078" w:type="dxa"/>
            <w:tcBorders/>
            <w:shd w:fill="CCEEFF" w:val="clear"/>
            <w:vAlign w:val="bottom"/>
          </w:tcPr>
          <w:p>
            <w:pPr>
              <w:pStyle w:val="TableContents"/>
              <w:spacing w:before="0" w:after="283"/>
              <w:jc w:val="right"/>
              <w:rPr/>
            </w:pPr>
            <w:r>
              <w:rPr/>
              <w:t xml:space="preserve">241.9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t xml:space="preserve">4,968,000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313" w:type="dxa"/>
            <w:tcBorders/>
            <w:shd w:fill="CCEEFF" w:val="clear"/>
            <w:vAlign w:val="bottom"/>
          </w:tcPr>
          <w:p>
            <w:pPr>
              <w:pStyle w:val="TableContents"/>
              <w:spacing w:before="0" w:after="283"/>
              <w:jc w:val="left"/>
              <w:rPr/>
            </w:pPr>
            <w:r>
              <w:rPr/>
              <w:t xml:space="preserve">$ </w:t>
            </w:r>
          </w:p>
        </w:tc>
        <w:tc>
          <w:tcPr>
            <w:tcW w:w="1078" w:type="dxa"/>
            <w:tcBorders/>
            <w:shd w:fill="CCEEFF" w:val="clear"/>
            <w:vAlign w:val="bottom"/>
          </w:tcPr>
          <w:p>
            <w:pPr>
              <w:pStyle w:val="TableContents"/>
              <w:spacing w:before="0" w:after="283"/>
              <w:jc w:val="right"/>
              <w:rPr/>
            </w:pPr>
            <w:r>
              <w:rPr/>
              <w:t xml:space="preserve">160.9 </w:t>
            </w:r>
          </w:p>
        </w:tc>
        <w:tc>
          <w:tcPr>
            <w:tcW w:w="153" w:type="dxa"/>
            <w:tcBorders/>
            <w:shd w:fill="CCEEFF" w:val="clear"/>
            <w:vAlign w:val="bottom"/>
          </w:tcPr>
          <w:p>
            <w:pPr>
              <w:pStyle w:val="TableContents"/>
              <w:spacing w:before="0" w:after="283"/>
              <w:jc w:val="left"/>
              <w:rPr/>
            </w:pPr>
            <w:r>
              <w:rPr/>
              <w:t xml:space="preserve">  </w:t>
            </w:r>
          </w:p>
        </w:tc>
      </w:tr>
      <w:tr>
        <w:trPr/>
        <w:tc>
          <w:tcPr>
            <w:tcW w:w="1215" w:type="dxa"/>
            <w:tcBorders/>
            <w:shd w:fill="FFFFFF" w:val="clear"/>
            <w:vAlign w:val="bottom"/>
          </w:tcPr>
          <w:p>
            <w:pPr>
              <w:pStyle w:val="TableContents"/>
              <w:spacing w:before="0" w:after="0"/>
              <w:ind w:left="200" w:right="0" w:hanging="200"/>
              <w:jc w:val="center"/>
              <w:rPr>
                <w:sz w:val="17"/>
              </w:rPr>
            </w:pPr>
            <w:r>
              <w:rPr>
                <w:sz w:val="17"/>
              </w:rPr>
              <w:t xml:space="preserve">3,720,930 </w:t>
            </w:r>
          </w:p>
        </w:tc>
        <w:tc>
          <w:tcPr>
            <w:tcW w:w="244"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jc w:val="left"/>
              <w:rPr/>
            </w:pPr>
            <w:r>
              <w:rPr/>
              <w:t xml:space="preserve">  </w:t>
            </w:r>
          </w:p>
        </w:tc>
        <w:tc>
          <w:tcPr>
            <w:tcW w:w="1322" w:type="dxa"/>
            <w:tcBorders/>
            <w:shd w:fill="FFFFFF" w:val="clear"/>
            <w:vAlign w:val="bottom"/>
          </w:tcPr>
          <w:p>
            <w:pPr>
              <w:pStyle w:val="TableContents"/>
              <w:spacing w:before="0" w:after="283"/>
              <w:jc w:val="right"/>
              <w:rPr/>
            </w:pPr>
            <w:r>
              <w:rPr/>
              <w:t xml:space="preserve">163.2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575,000 </w:t>
            </w:r>
          </w:p>
        </w:tc>
        <w:tc>
          <w:tcPr>
            <w:tcW w:w="138"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jc w:val="left"/>
              <w:rPr/>
            </w:pPr>
            <w:r>
              <w:rPr/>
              <w:t xml:space="preserve">  </w:t>
            </w:r>
          </w:p>
        </w:tc>
        <w:tc>
          <w:tcPr>
            <w:tcW w:w="1078" w:type="dxa"/>
            <w:tcBorders/>
            <w:shd w:fill="FFFFFF" w:val="clear"/>
            <w:vAlign w:val="bottom"/>
          </w:tcPr>
          <w:p>
            <w:pPr>
              <w:pStyle w:val="TableContents"/>
              <w:spacing w:before="0" w:after="283"/>
              <w:jc w:val="right"/>
              <w:rPr/>
            </w:pPr>
            <w:r>
              <w:rPr/>
              <w:t xml:space="preserve">22.3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3,245,700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jc w:val="left"/>
              <w:rPr/>
            </w:pPr>
            <w:r>
              <w:rPr/>
              <w:t xml:space="preserve">  </w:t>
            </w:r>
          </w:p>
        </w:tc>
        <w:tc>
          <w:tcPr>
            <w:tcW w:w="1078" w:type="dxa"/>
            <w:tcBorders/>
            <w:shd w:fill="FFFFFF" w:val="clear"/>
            <w:vAlign w:val="bottom"/>
          </w:tcPr>
          <w:p>
            <w:pPr>
              <w:pStyle w:val="TableContents"/>
              <w:spacing w:before="0" w:after="283"/>
              <w:jc w:val="right"/>
              <w:rPr/>
            </w:pPr>
            <w:r>
              <w:rPr/>
              <w:t xml:space="preserve">101.2 </w:t>
            </w:r>
          </w:p>
        </w:tc>
        <w:tc>
          <w:tcPr>
            <w:tcW w:w="153" w:type="dxa"/>
            <w:tcBorders/>
            <w:shd w:fill="FFFFFF" w:val="clear"/>
            <w:vAlign w:val="bottom"/>
          </w:tcPr>
          <w:p>
            <w:pPr>
              <w:pStyle w:val="TableContents"/>
              <w:spacing w:before="0" w:after="283"/>
              <w:jc w:val="left"/>
              <w:rPr/>
            </w:pPr>
            <w:r>
              <w:rPr/>
              <w:t xml:space="preserve">  </w:t>
            </w:r>
          </w:p>
        </w:tc>
      </w:tr>
      <w:tr>
        <w:trPr/>
        <w:tc>
          <w:tcPr>
            <w:tcW w:w="1215"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rPr/>
            </w:pPr>
            <w:r>
              <w:rPr/>
              <w:t xml:space="preserve">  </w:t>
            </w:r>
          </w:p>
        </w:tc>
        <w:tc>
          <w:tcPr>
            <w:tcW w:w="1322"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156"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31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156"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31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r>
      <w:tr>
        <w:trPr/>
        <w:tc>
          <w:tcPr>
            <w:tcW w:w="1215" w:type="dxa"/>
            <w:tcBorders/>
            <w:shd w:fill="CCEEFF" w:val="clear"/>
            <w:vAlign w:val="bottom"/>
          </w:tcPr>
          <w:p>
            <w:pPr>
              <w:pStyle w:val="TableContents"/>
              <w:spacing w:before="0" w:after="0"/>
              <w:ind w:left="200" w:right="0" w:hanging="200"/>
              <w:jc w:val="center"/>
              <w:rPr>
                <w:sz w:val="17"/>
              </w:rPr>
            </w:pPr>
            <w:r>
              <w:rPr>
                <w:sz w:val="17"/>
              </w:rPr>
              <w:t xml:space="preserve">3,504,672 </w:t>
            </w:r>
          </w:p>
        </w:tc>
        <w:tc>
          <w:tcPr>
            <w:tcW w:w="244" w:type="dxa"/>
            <w:tcBorders/>
            <w:shd w:fill="CCEEFF" w:val="clear"/>
            <w:vAlign w:val="bottom"/>
          </w:tcPr>
          <w:p>
            <w:pPr>
              <w:pStyle w:val="TableContents"/>
              <w:spacing w:before="0" w:after="283"/>
              <w:rPr/>
            </w:pPr>
            <w:r>
              <w:rPr/>
              <w:t xml:space="preserve">  </w:t>
            </w:r>
          </w:p>
        </w:tc>
        <w:tc>
          <w:tcPr>
            <w:tcW w:w="374" w:type="dxa"/>
            <w:tcBorders/>
            <w:shd w:fill="CCEEFF" w:val="clear"/>
            <w:vAlign w:val="bottom"/>
          </w:tcPr>
          <w:p>
            <w:pPr>
              <w:pStyle w:val="TableContents"/>
              <w:spacing w:before="0" w:after="283"/>
              <w:jc w:val="left"/>
              <w:rPr/>
            </w:pPr>
            <w:r>
              <w:rPr/>
              <w:t xml:space="preserve">  </w:t>
            </w:r>
          </w:p>
        </w:tc>
        <w:tc>
          <w:tcPr>
            <w:tcW w:w="1322" w:type="dxa"/>
            <w:tcBorders/>
            <w:shd w:fill="CCEEFF" w:val="clear"/>
            <w:vAlign w:val="bottom"/>
          </w:tcPr>
          <w:p>
            <w:pPr>
              <w:pStyle w:val="TableContents"/>
              <w:spacing w:before="0" w:after="283"/>
              <w:jc w:val="right"/>
              <w:rPr/>
            </w:pPr>
            <w:r>
              <w:rPr/>
              <w:t xml:space="preserve">152.4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243" w:type="dxa"/>
            <w:tcBorders/>
            <w:shd w:fill="CCEEFF" w:val="clear"/>
            <w:vAlign w:val="bottom"/>
          </w:tcPr>
          <w:p>
            <w:pPr>
              <w:pStyle w:val="TableContents"/>
              <w:spacing w:before="0" w:after="283"/>
              <w:rPr/>
            </w:pPr>
            <w:r>
              <w:rPr/>
              <w:t xml:space="preserve">  </w:t>
            </w:r>
          </w:p>
        </w:tc>
        <w:tc>
          <w:tcPr>
            <w:tcW w:w="313" w:type="dxa"/>
            <w:tcBorders/>
            <w:shd w:fill="CCEEFF" w:val="clear"/>
            <w:vAlign w:val="bottom"/>
          </w:tcPr>
          <w:p>
            <w:pPr>
              <w:pStyle w:val="TableContents"/>
              <w:spacing w:before="0" w:after="283"/>
              <w:jc w:val="left"/>
              <w:rPr/>
            </w:pPr>
            <w:r>
              <w:rPr/>
              <w:t xml:space="preserve">$ </w:t>
            </w:r>
          </w:p>
        </w:tc>
        <w:tc>
          <w:tcPr>
            <w:tcW w:w="1078" w:type="dxa"/>
            <w:tcBorders/>
            <w:shd w:fill="CCEEFF" w:val="clear"/>
            <w:vAlign w:val="bottom"/>
          </w:tcPr>
          <w:p>
            <w:pPr>
              <w:pStyle w:val="TableContents"/>
              <w:spacing w:before="0" w:after="283"/>
              <w:jc w:val="right"/>
              <w:rPr/>
            </w:pPr>
            <w:r>
              <w:rPr/>
              <w:t xml:space="preserve">264.2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244" w:type="dxa"/>
            <w:tcBorders/>
            <w:shd w:fill="CCEEFF" w:val="clear"/>
            <w:vAlign w:val="bottom"/>
          </w:tcPr>
          <w:p>
            <w:pPr>
              <w:pStyle w:val="TableContents"/>
              <w:spacing w:before="0" w:after="283"/>
              <w:rPr/>
            </w:pPr>
            <w:r>
              <w:rPr/>
              <w:t xml:space="preserve">  </w:t>
            </w:r>
          </w:p>
        </w:tc>
        <w:tc>
          <w:tcPr>
            <w:tcW w:w="313" w:type="dxa"/>
            <w:tcBorders/>
            <w:shd w:fill="CCEEFF" w:val="clear"/>
            <w:vAlign w:val="bottom"/>
          </w:tcPr>
          <w:p>
            <w:pPr>
              <w:pStyle w:val="TableContents"/>
              <w:spacing w:before="0" w:after="283"/>
              <w:jc w:val="left"/>
              <w:rPr/>
            </w:pPr>
            <w:r>
              <w:rPr/>
              <w:t xml:space="preserve">$ </w:t>
            </w:r>
          </w:p>
        </w:tc>
        <w:tc>
          <w:tcPr>
            <w:tcW w:w="1078" w:type="dxa"/>
            <w:tcBorders/>
            <w:shd w:fill="CCEEFF" w:val="clear"/>
            <w:vAlign w:val="bottom"/>
          </w:tcPr>
          <w:p>
            <w:pPr>
              <w:pStyle w:val="TableContents"/>
              <w:spacing w:before="0" w:after="283"/>
              <w:jc w:val="right"/>
              <w:rPr/>
            </w:pPr>
            <w:r>
              <w:rPr/>
              <w:t xml:space="preserve">262.1 </w:t>
            </w:r>
          </w:p>
        </w:tc>
        <w:tc>
          <w:tcPr>
            <w:tcW w:w="153" w:type="dxa"/>
            <w:tcBorders/>
            <w:shd w:fill="CCEEFF" w:val="clear"/>
            <w:vAlign w:val="bottom"/>
          </w:tcPr>
          <w:p>
            <w:pPr>
              <w:pStyle w:val="TableContents"/>
              <w:spacing w:before="0" w:after="283"/>
              <w:jc w:val="left"/>
              <w:rPr/>
            </w:pPr>
            <w:r>
              <w:rPr/>
              <w:t xml:space="preserve">  </w:t>
            </w:r>
          </w:p>
        </w:tc>
      </w:tr>
      <w:tr>
        <w:trPr/>
        <w:tc>
          <w:tcPr>
            <w:tcW w:w="1215"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3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156"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3"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rPr/>
            </w:pPr>
            <w:r>
              <w:rPr/>
              <w:t xml:space="preserve">  </w:t>
            </w:r>
          </w:p>
        </w:tc>
        <w:tc>
          <w:tcPr>
            <w:tcW w:w="107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156"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244"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rPr/>
            </w:pPr>
            <w:r>
              <w:rPr/>
              <w:t xml:space="preserve">  </w:t>
            </w:r>
          </w:p>
        </w:tc>
        <w:tc>
          <w:tcPr>
            <w:tcW w:w="1078" w:type="dxa"/>
            <w:tcBorders/>
            <w:shd w:fill="FFFFFF" w:val="clear"/>
            <w:vAlign w:val="bottom"/>
          </w:tcPr>
          <w:p>
            <w:pPr>
              <w:pStyle w:val="TableContents"/>
              <w:spacing w:before="0" w:after="283"/>
              <w:rPr/>
            </w:pPr>
            <w:r>
              <w:rPr/>
              <w:t xml:space="preserve">  </w:t>
            </w:r>
          </w:p>
        </w:tc>
        <w:tc>
          <w:tcPr>
            <w:tcW w:w="153" w:type="dxa"/>
            <w:tcBorders/>
            <w:shd w:fill="FFFFFF" w:val="clear"/>
            <w:vAlign w:val="bottom"/>
          </w:tcPr>
          <w:p>
            <w:pPr>
              <w:pStyle w:val="TableContents"/>
              <w:spacing w:before="0" w:after="283"/>
              <w:rPr/>
            </w:pPr>
            <w:r>
              <w:rPr/>
              <w:t xml:space="preserve">  </w:t>
            </w:r>
          </w:p>
        </w:tc>
      </w:tr>
      <w:tr>
        <w:trPr/>
        <w:tc>
          <w:tcPr>
            <w:tcW w:w="1215" w:type="dxa"/>
            <w:tcBorders/>
            <w:shd w:fill="FFFFFF" w:val="clear"/>
            <w:vAlign w:val="bottom"/>
          </w:tcPr>
          <w:p>
            <w:pPr>
              <w:pStyle w:val="TableContents"/>
              <w:spacing w:before="0" w:after="283"/>
              <w:jc w:val="center"/>
              <w:rPr/>
            </w:pPr>
            <w:r>
              <w:rPr/>
              <w:t xml:space="preserve">  </w:t>
            </w:r>
          </w:p>
        </w:tc>
        <w:tc>
          <w:tcPr>
            <w:tcW w:w="244" w:type="dxa"/>
            <w:tcBorders/>
            <w:shd w:fill="FFFFFF" w:val="clear"/>
            <w:vAlign w:val="bottom"/>
          </w:tcPr>
          <w:p>
            <w:pPr>
              <w:pStyle w:val="TableContents"/>
              <w:spacing w:before="0" w:after="283"/>
              <w:rPr/>
            </w:pPr>
            <w:r>
              <w:rPr/>
              <w:t xml:space="preserve">  </w:t>
            </w:r>
          </w:p>
        </w:tc>
        <w:tc>
          <w:tcPr>
            <w:tcW w:w="374" w:type="dxa"/>
            <w:tcBorders/>
            <w:shd w:fill="FFFFFF" w:val="clear"/>
            <w:vAlign w:val="bottom"/>
          </w:tcPr>
          <w:p>
            <w:pPr>
              <w:pStyle w:val="TableContents"/>
              <w:spacing w:before="0" w:after="283"/>
              <w:jc w:val="left"/>
              <w:rPr/>
            </w:pPr>
            <w:r>
              <w:rPr/>
              <w:t xml:space="preserve">$ </w:t>
            </w:r>
          </w:p>
        </w:tc>
        <w:tc>
          <w:tcPr>
            <w:tcW w:w="1322" w:type="dxa"/>
            <w:tcBorders/>
            <w:shd w:fill="FFFFFF" w:val="clear"/>
            <w:vAlign w:val="bottom"/>
          </w:tcPr>
          <w:p>
            <w:pPr>
              <w:pStyle w:val="TableContents"/>
              <w:spacing w:before="0" w:after="283"/>
              <w:jc w:val="right"/>
              <w:rPr/>
            </w:pPr>
            <w:r>
              <w:rPr/>
              <w:t xml:space="preserve">621.2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243"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jc w:val="left"/>
              <w:rPr/>
            </w:pPr>
            <w:r>
              <w:rPr/>
              <w:t xml:space="preserve">  </w:t>
            </w:r>
          </w:p>
        </w:tc>
        <w:tc>
          <w:tcPr>
            <w:tcW w:w="107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244" w:type="dxa"/>
            <w:tcBorders/>
            <w:shd w:fill="FFFFFF" w:val="clear"/>
            <w:vAlign w:val="bottom"/>
          </w:tcPr>
          <w:p>
            <w:pPr>
              <w:pStyle w:val="TableContents"/>
              <w:spacing w:before="0" w:after="283"/>
              <w:rPr/>
            </w:pPr>
            <w:r>
              <w:rPr/>
              <w:t xml:space="preserve">  </w:t>
            </w:r>
          </w:p>
        </w:tc>
        <w:tc>
          <w:tcPr>
            <w:tcW w:w="313" w:type="dxa"/>
            <w:tcBorders/>
            <w:shd w:fill="FFFFFF" w:val="clear"/>
            <w:vAlign w:val="bottom"/>
          </w:tcPr>
          <w:p>
            <w:pPr>
              <w:pStyle w:val="TableContents"/>
              <w:spacing w:before="0" w:after="283"/>
              <w:jc w:val="left"/>
              <w:rPr/>
            </w:pPr>
            <w:r>
              <w:rPr/>
              <w:t xml:space="preserve">  </w:t>
            </w:r>
          </w:p>
        </w:tc>
        <w:tc>
          <w:tcPr>
            <w:tcW w:w="1078"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Includes our general partners proportionate capital contribution and is net of costs associated with the offering.</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Excludes the common units issued and our general partners proportionate capital contribution of $21.6 million pertaining to the equity exchange for the Pacific acquisition.</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Senior Notes and Credit Facilities.</w:t>
      </w:r>
      <w:r>
        <w:rPr>
          <w:rFonts w:ascii="Times New Roman;Times" w:hAnsi="Times New Roman;Times"/>
          <w:color w:val="000000"/>
          <w:sz w:val="17"/>
          <w:highlight w:val="white"/>
        </w:rPr>
        <w:t xml:space="preserve">  During the three years ended December 31, 2006 we completed the sale of senior unsecured notes as summarized in the table below.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739"/>
        <w:gridCol w:w="184"/>
        <w:gridCol w:w="4225"/>
        <w:gridCol w:w="254"/>
        <w:gridCol w:w="235"/>
        <w:gridCol w:w="505"/>
        <w:gridCol w:w="163"/>
        <w:gridCol w:w="254"/>
        <w:gridCol w:w="311"/>
        <w:gridCol w:w="1166"/>
        <w:gridCol w:w="169"/>
      </w:tblGrid>
      <w:tr>
        <w:trPr/>
        <w:tc>
          <w:tcPr>
            <w:tcW w:w="2739"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rPr/>
            </w:pPr>
            <w:r>
              <w:rPr/>
              <w:t> </w:t>
            </w:r>
          </w:p>
        </w:tc>
        <w:tc>
          <w:tcPr>
            <w:tcW w:w="4225"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jc w:val="right"/>
              <w:rPr/>
            </w:pPr>
            <w:r>
              <w:rPr/>
              <w:t> </w:t>
            </w:r>
          </w:p>
        </w:tc>
        <w:tc>
          <w:tcPr>
            <w:tcW w:w="505"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c>
          <w:tcPr>
            <w:tcW w:w="254" w:type="dxa"/>
            <w:tcBorders/>
            <w:shd w:fill="FFFFFF" w:val="clear"/>
            <w:vAlign w:val="bottom"/>
          </w:tcPr>
          <w:p>
            <w:pPr>
              <w:pStyle w:val="TableContents"/>
              <w:spacing w:before="0" w:after="283"/>
              <w:rPr/>
            </w:pPr>
            <w:r>
              <w:rPr/>
              <w:t> </w:t>
            </w:r>
          </w:p>
        </w:tc>
        <w:tc>
          <w:tcPr>
            <w:tcW w:w="311" w:type="dxa"/>
            <w:tcBorders/>
            <w:shd w:fill="FFFFFF" w:val="clear"/>
            <w:vAlign w:val="bottom"/>
          </w:tcPr>
          <w:p>
            <w:pPr>
              <w:pStyle w:val="TableContents"/>
              <w:spacing w:before="0" w:after="283"/>
              <w:jc w:val="right"/>
              <w:rPr/>
            </w:pPr>
            <w:r>
              <w:rPr/>
              <w:t> </w:t>
            </w:r>
          </w:p>
        </w:tc>
        <w:tc>
          <w:tcPr>
            <w:tcW w:w="1166"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r>
      <w:tr>
        <w:trPr/>
        <w:tc>
          <w:tcPr>
            <w:tcW w:w="2739" w:type="dxa"/>
            <w:tcBorders/>
            <w:shd w:fill="FFFFFF" w:val="clear"/>
            <w:vAlign w:val="bottom"/>
          </w:tcPr>
          <w:p>
            <w:pPr>
              <w:pStyle w:val="TableContents"/>
              <w:spacing w:before="0" w:after="283"/>
              <w:jc w:val="left"/>
              <w:rPr/>
            </w:pPr>
            <w:r>
              <w:rPr/>
              <w:t xml:space="preserve">  </w:t>
            </w:r>
          </w:p>
        </w:tc>
        <w:tc>
          <w:tcPr>
            <w:tcW w:w="184" w:type="dxa"/>
            <w:tcBorders/>
            <w:shd w:fill="FFFFFF" w:val="clear"/>
            <w:vAlign w:val="bottom"/>
          </w:tcPr>
          <w:p>
            <w:pPr>
              <w:pStyle w:val="TableContents"/>
              <w:spacing w:before="0" w:after="283"/>
              <w:jc w:val="center"/>
              <w:rPr/>
            </w:pPr>
            <w:r>
              <w:rPr/>
              <w:t xml:space="preserve">  </w:t>
            </w:r>
          </w:p>
        </w:tc>
        <w:tc>
          <w:tcPr>
            <w:tcW w:w="4225" w:type="dxa"/>
            <w:tcBorders/>
            <w:shd w:fill="FFFFFF" w:val="clear"/>
            <w:vAlign w:val="bottom"/>
          </w:tcPr>
          <w:p>
            <w:pPr>
              <w:pStyle w:val="TableContents"/>
              <w:spacing w:before="0" w:after="283"/>
              <w:jc w:val="center"/>
              <w:rPr/>
            </w:pPr>
            <w:r>
              <w:rPr/>
              <w:t xml:space="preserve">  </w:t>
            </w:r>
          </w:p>
        </w:tc>
        <w:tc>
          <w:tcPr>
            <w:tcW w:w="254" w:type="dxa"/>
            <w:tcBorders/>
            <w:shd w:fill="FFFFFF" w:val="clear"/>
            <w:vAlign w:val="bottom"/>
          </w:tcPr>
          <w:p>
            <w:pPr>
              <w:pStyle w:val="TableContents"/>
              <w:spacing w:before="0" w:after="283"/>
              <w:jc w:val="center"/>
              <w:rPr/>
            </w:pPr>
            <w:r>
              <w:rPr/>
              <w:t xml:space="preserve">  </w:t>
            </w:r>
          </w:p>
        </w:tc>
        <w:tc>
          <w:tcPr>
            <w:tcW w:w="740" w:type="dxa"/>
            <w:gridSpan w:val="2"/>
            <w:tcBorders/>
            <w:shd w:fill="FFFFFF" w:val="clear"/>
            <w:vAlign w:val="bottom"/>
          </w:tcPr>
          <w:p>
            <w:pPr>
              <w:pStyle w:val="TableContents"/>
              <w:spacing w:before="0" w:after="283"/>
              <w:jc w:val="center"/>
              <w:rPr>
                <w:b/>
              </w:rPr>
            </w:pPr>
            <w:r>
              <w:rPr>
                <w:b/>
              </w:rPr>
              <w:t>Face</w:t>
            </w:r>
          </w:p>
        </w:tc>
        <w:tc>
          <w:tcPr>
            <w:tcW w:w="163" w:type="dxa"/>
            <w:tcBorders/>
            <w:shd w:fill="FFFFFF" w:val="clear"/>
            <w:vAlign w:val="bottom"/>
          </w:tcPr>
          <w:p>
            <w:pPr>
              <w:pStyle w:val="TableContents"/>
              <w:spacing w:before="0" w:after="283"/>
              <w:jc w:val="center"/>
              <w:rPr/>
            </w:pPr>
            <w:r>
              <w:rPr/>
              <w:t xml:space="preserve">  </w:t>
            </w:r>
          </w:p>
        </w:tc>
        <w:tc>
          <w:tcPr>
            <w:tcW w:w="254" w:type="dxa"/>
            <w:tcBorders/>
            <w:shd w:fill="FFFFFF" w:val="clear"/>
            <w:vAlign w:val="bottom"/>
          </w:tcPr>
          <w:p>
            <w:pPr>
              <w:pStyle w:val="TableContents"/>
              <w:spacing w:before="0" w:after="283"/>
              <w:jc w:val="center"/>
              <w:rPr/>
            </w:pPr>
            <w:r>
              <w:rPr/>
              <w:t xml:space="preserve">  </w:t>
            </w:r>
          </w:p>
        </w:tc>
        <w:tc>
          <w:tcPr>
            <w:tcW w:w="1477" w:type="dxa"/>
            <w:gridSpan w:val="2"/>
            <w:tcBorders/>
            <w:shd w:fill="FFFFFF" w:val="clear"/>
            <w:vAlign w:val="bottom"/>
          </w:tcPr>
          <w:p>
            <w:pPr>
              <w:pStyle w:val="TableContents"/>
              <w:spacing w:before="0" w:after="283"/>
              <w:jc w:val="center"/>
              <w:rPr>
                <w:b/>
              </w:rPr>
            </w:pPr>
            <w:r>
              <w:rPr>
                <w:b/>
              </w:rPr>
              <w:t>Net</w:t>
            </w:r>
          </w:p>
        </w:tc>
        <w:tc>
          <w:tcPr>
            <w:tcW w:w="169" w:type="dxa"/>
            <w:tcBorders/>
            <w:shd w:fill="FFFFFF" w:val="clear"/>
            <w:vAlign w:val="bottom"/>
          </w:tcPr>
          <w:p>
            <w:pPr>
              <w:pStyle w:val="TableContents"/>
              <w:spacing w:before="0" w:after="283"/>
              <w:jc w:val="center"/>
              <w:rPr/>
            </w:pPr>
            <w:r>
              <w:rPr/>
              <w:t xml:space="preserve">  </w:t>
            </w:r>
          </w:p>
        </w:tc>
      </w:tr>
      <w:tr>
        <w:trPr/>
        <w:tc>
          <w:tcPr>
            <w:tcW w:w="2739" w:type="dxa"/>
            <w:tcBorders/>
            <w:shd w:fill="FFFFFF" w:val="clear"/>
            <w:vAlign w:val="bottom"/>
          </w:tcPr>
          <w:p>
            <w:pPr>
              <w:pStyle w:val="TableContents"/>
              <w:spacing w:before="0" w:after="0"/>
              <w:jc w:val="left"/>
              <w:rPr>
                <w:bdr w:val="single" w:sz="2" w:space="1" w:color="000000"/>
              </w:rPr>
            </w:pPr>
            <w:r>
              <w:rPr>
                <w:b/>
                <w:bdr w:val="single" w:sz="2" w:space="1" w:color="000000"/>
              </w:rPr>
              <w:t>Year</w:t>
            </w:r>
            <w:r>
              <w:rPr>
                <w:bdr w:val="single" w:sz="2" w:space="1" w:color="000000"/>
              </w:rPr>
              <w:t xml:space="preserve"> </w:t>
            </w:r>
          </w:p>
        </w:tc>
        <w:tc>
          <w:tcPr>
            <w:tcW w:w="184" w:type="dxa"/>
            <w:tcBorders/>
            <w:shd w:fill="FFFFFF" w:val="clear"/>
            <w:vAlign w:val="bottom"/>
          </w:tcPr>
          <w:p>
            <w:pPr>
              <w:pStyle w:val="TableContents"/>
              <w:spacing w:before="0" w:after="283"/>
              <w:jc w:val="center"/>
              <w:rPr/>
            </w:pPr>
            <w:r>
              <w:rPr/>
              <w:t xml:space="preserve">  </w:t>
            </w:r>
          </w:p>
        </w:tc>
        <w:tc>
          <w:tcPr>
            <w:tcW w:w="4225" w:type="dxa"/>
            <w:tcBorders/>
            <w:shd w:fill="FFFFFF" w:val="clear"/>
            <w:vAlign w:val="bottom"/>
          </w:tcPr>
          <w:p>
            <w:pPr>
              <w:pStyle w:val="TableContents"/>
              <w:spacing w:before="0" w:after="0"/>
              <w:jc w:val="center"/>
              <w:rPr>
                <w:bdr w:val="single" w:sz="2" w:space="1" w:color="000000"/>
              </w:rPr>
            </w:pPr>
            <w:r>
              <w:rPr>
                <w:b/>
                <w:bdr w:val="single" w:sz="2" w:space="1" w:color="000000"/>
              </w:rPr>
              <w:t>Description</w:t>
            </w:r>
            <w:r>
              <w:rPr>
                <w:bdr w:val="single" w:sz="2" w:space="1" w:color="000000"/>
              </w:rPr>
              <w:t xml:space="preserve"> </w:t>
            </w:r>
          </w:p>
        </w:tc>
        <w:tc>
          <w:tcPr>
            <w:tcW w:w="254" w:type="dxa"/>
            <w:tcBorders/>
            <w:shd w:fill="FFFFFF" w:val="clear"/>
            <w:vAlign w:val="bottom"/>
          </w:tcPr>
          <w:p>
            <w:pPr>
              <w:pStyle w:val="TableContents"/>
              <w:spacing w:before="0" w:after="283"/>
              <w:jc w:val="center"/>
              <w:rPr/>
            </w:pPr>
            <w:r>
              <w:rPr/>
              <w:t xml:space="preserve">  </w:t>
            </w:r>
          </w:p>
        </w:tc>
        <w:tc>
          <w:tcPr>
            <w:tcW w:w="7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Value</w:t>
            </w: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254" w:type="dxa"/>
            <w:tcBorders/>
            <w:shd w:fill="FFFFFF" w:val="clear"/>
            <w:vAlign w:val="bottom"/>
          </w:tcPr>
          <w:p>
            <w:pPr>
              <w:pStyle w:val="TableContents"/>
              <w:spacing w:before="0" w:after="283"/>
              <w:jc w:val="center"/>
              <w:rPr/>
            </w:pPr>
            <w:r>
              <w:rPr/>
              <w:t xml:space="preserve">  </w:t>
            </w:r>
          </w:p>
        </w:tc>
        <w:tc>
          <w:tcPr>
            <w:tcW w:w="147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Proceeds(1)</w:t>
            </w:r>
            <w:r>
              <w:rPr/>
              <w:t xml:space="preserve"> </w:t>
            </w:r>
          </w:p>
        </w:tc>
        <w:tc>
          <w:tcPr>
            <w:tcW w:w="169" w:type="dxa"/>
            <w:tcBorders/>
            <w:shd w:fill="FFFFFF" w:val="clear"/>
            <w:vAlign w:val="bottom"/>
          </w:tcPr>
          <w:p>
            <w:pPr>
              <w:pStyle w:val="TableContents"/>
              <w:spacing w:before="0" w:after="283"/>
              <w:jc w:val="center"/>
              <w:rPr/>
            </w:pPr>
            <w:r>
              <w:rPr/>
              <w:t xml:space="preserve">  </w:t>
            </w:r>
          </w:p>
        </w:tc>
      </w:tr>
      <w:tr>
        <w:trPr/>
        <w:tc>
          <w:tcPr>
            <w:tcW w:w="2739" w:type="dxa"/>
            <w:tcBorders/>
            <w:shd w:fill="FFFFFF" w:val="clear"/>
            <w:vAlign w:val="center"/>
          </w:tcPr>
          <w:p>
            <w:pPr>
              <w:pStyle w:val="TableContents"/>
              <w:spacing w:before="0" w:after="283"/>
              <w:rPr/>
            </w:pPr>
            <w:r>
              <w:rPr/>
              <w:t xml:space="preserve">  </w:t>
            </w:r>
          </w:p>
        </w:tc>
        <w:tc>
          <w:tcPr>
            <w:tcW w:w="7466" w:type="dxa"/>
            <w:gridSpan w:val="10"/>
            <w:tcBorders/>
            <w:shd w:fill="FFFFFF" w:val="clear"/>
          </w:tcPr>
          <w:p>
            <w:pPr>
              <w:pStyle w:val="TableContents"/>
              <w:spacing w:before="0" w:after="283"/>
              <w:rPr>
                <w:sz w:val="4"/>
                <w:szCs w:val="4"/>
              </w:rPr>
            </w:pPr>
            <w:r>
              <w:rPr>
                <w:sz w:val="4"/>
                <w:szCs w:val="4"/>
              </w:rPr>
            </w:r>
          </w:p>
        </w:tc>
      </w:tr>
      <w:tr>
        <w:trPr/>
        <w:tc>
          <w:tcPr>
            <w:tcW w:w="2739" w:type="dxa"/>
            <w:tcBorders/>
            <w:shd w:fill="CCEEFF" w:val="clear"/>
            <w:vAlign w:val="bottom"/>
          </w:tcPr>
          <w:p>
            <w:pPr>
              <w:pStyle w:val="TableContents"/>
              <w:spacing w:before="0" w:after="0"/>
              <w:ind w:left="200" w:right="0" w:hanging="200"/>
              <w:jc w:val="left"/>
              <w:rPr>
                <w:sz w:val="17"/>
              </w:rPr>
            </w:pPr>
            <w:r>
              <w:rPr>
                <w:sz w:val="17"/>
              </w:rPr>
              <w:t xml:space="preserve">2006 </w:t>
            </w:r>
          </w:p>
        </w:tc>
        <w:tc>
          <w:tcPr>
            <w:tcW w:w="184" w:type="dxa"/>
            <w:tcBorders/>
            <w:shd w:fill="CCEEFF" w:val="clear"/>
            <w:vAlign w:val="bottom"/>
          </w:tcPr>
          <w:p>
            <w:pPr>
              <w:pStyle w:val="TableContents"/>
              <w:spacing w:before="0" w:after="283"/>
              <w:rPr/>
            </w:pPr>
            <w:r>
              <w:rPr/>
              <w:t xml:space="preserve">  </w:t>
            </w:r>
          </w:p>
        </w:tc>
        <w:tc>
          <w:tcPr>
            <w:tcW w:w="4225" w:type="dxa"/>
            <w:tcBorders/>
            <w:shd w:fill="CCEEFF" w:val="clear"/>
            <w:vAlign w:val="bottom"/>
          </w:tcPr>
          <w:p>
            <w:pPr>
              <w:pStyle w:val="TableContents"/>
              <w:spacing w:before="0" w:after="283"/>
              <w:jc w:val="left"/>
              <w:rPr>
                <w:sz w:val="17"/>
              </w:rPr>
            </w:pPr>
            <w:r>
              <w:rPr>
                <w:sz w:val="17"/>
              </w:rPr>
              <w:t xml:space="preserve">6.125% Senior Notes issued at 99.56% of face value </w:t>
            </w:r>
          </w:p>
        </w:tc>
        <w:tc>
          <w:tcPr>
            <w:tcW w:w="254"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jc w:val="right"/>
              <w:rPr/>
            </w:pPr>
            <w:r>
              <w:rPr/>
              <w:t xml:space="preserve">400 </w:t>
            </w:r>
          </w:p>
        </w:tc>
        <w:tc>
          <w:tcPr>
            <w:tcW w:w="163"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311" w:type="dxa"/>
            <w:tcBorders/>
            <w:shd w:fill="CCEEFF" w:val="clear"/>
            <w:vAlign w:val="bottom"/>
          </w:tcPr>
          <w:p>
            <w:pPr>
              <w:pStyle w:val="TableContents"/>
              <w:spacing w:before="0" w:after="283"/>
              <w:jc w:val="left"/>
              <w:rPr/>
            </w:pPr>
            <w:r>
              <w:rPr/>
              <w:t xml:space="preserve">$ </w:t>
            </w:r>
          </w:p>
        </w:tc>
        <w:tc>
          <w:tcPr>
            <w:tcW w:w="1166" w:type="dxa"/>
            <w:tcBorders/>
            <w:shd w:fill="CCEEFF" w:val="clear"/>
            <w:vAlign w:val="bottom"/>
          </w:tcPr>
          <w:p>
            <w:pPr>
              <w:pStyle w:val="TableContents"/>
              <w:spacing w:before="0" w:after="283"/>
              <w:jc w:val="right"/>
              <w:rPr/>
            </w:pPr>
            <w:r>
              <w:rPr/>
              <w:t xml:space="preserve">398.2 </w:t>
            </w:r>
          </w:p>
        </w:tc>
        <w:tc>
          <w:tcPr>
            <w:tcW w:w="169" w:type="dxa"/>
            <w:tcBorders/>
            <w:shd w:fill="CCEEFF" w:val="clear"/>
            <w:vAlign w:val="bottom"/>
          </w:tcPr>
          <w:p>
            <w:pPr>
              <w:pStyle w:val="TableContents"/>
              <w:spacing w:before="0" w:after="283"/>
              <w:jc w:val="left"/>
              <w:rPr/>
            </w:pPr>
            <w:r>
              <w:rPr/>
              <w:t xml:space="preserve">  </w:t>
            </w:r>
          </w:p>
        </w:tc>
      </w:tr>
      <w:tr>
        <w:trPr/>
        <w:tc>
          <w:tcPr>
            <w:tcW w:w="2739" w:type="dxa"/>
            <w:tcBorders/>
            <w:shd w:fill="FFFFFF" w:val="clear"/>
            <w:vAlign w:val="bottom"/>
          </w:tcPr>
          <w:p>
            <w:pPr>
              <w:pStyle w:val="TableContents"/>
              <w:spacing w:before="0" w:after="283"/>
              <w:jc w:val="left"/>
              <w:rPr/>
            </w:pPr>
            <w:r>
              <w:rPr/>
              <w:t xml:space="preserve">  </w:t>
            </w:r>
          </w:p>
        </w:tc>
        <w:tc>
          <w:tcPr>
            <w:tcW w:w="184" w:type="dxa"/>
            <w:tcBorders/>
            <w:shd w:fill="FFFFFF" w:val="clear"/>
            <w:vAlign w:val="bottom"/>
          </w:tcPr>
          <w:p>
            <w:pPr>
              <w:pStyle w:val="TableContents"/>
              <w:spacing w:before="0" w:after="283"/>
              <w:rPr/>
            </w:pPr>
            <w:r>
              <w:rPr/>
              <w:t xml:space="preserve">  </w:t>
            </w:r>
          </w:p>
        </w:tc>
        <w:tc>
          <w:tcPr>
            <w:tcW w:w="4225" w:type="dxa"/>
            <w:tcBorders/>
            <w:shd w:fill="FFFFFF" w:val="clear"/>
            <w:vAlign w:val="bottom"/>
          </w:tcPr>
          <w:p>
            <w:pPr>
              <w:pStyle w:val="TableContents"/>
              <w:spacing w:before="0" w:after="283"/>
              <w:jc w:val="left"/>
              <w:rPr>
                <w:sz w:val="17"/>
              </w:rPr>
            </w:pPr>
            <w:r>
              <w:rPr>
                <w:sz w:val="17"/>
              </w:rPr>
              <w:t xml:space="preserve">6.65% Senior Notes issued at 99.17% of face value </w:t>
            </w:r>
          </w:p>
        </w:tc>
        <w:tc>
          <w:tcPr>
            <w:tcW w:w="254"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jc w:val="right"/>
              <w:rPr/>
            </w:pPr>
            <w:r>
              <w:rPr/>
              <w:t xml:space="preserve">600 </w:t>
            </w:r>
          </w:p>
        </w:tc>
        <w:tc>
          <w:tcPr>
            <w:tcW w:w="163"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jc w:val="left"/>
              <w:rPr/>
            </w:pPr>
            <w:r>
              <w:rPr/>
              <w:t xml:space="preserve">$ </w:t>
            </w:r>
          </w:p>
        </w:tc>
        <w:tc>
          <w:tcPr>
            <w:tcW w:w="1166" w:type="dxa"/>
            <w:tcBorders/>
            <w:shd w:fill="FFFFFF" w:val="clear"/>
            <w:vAlign w:val="bottom"/>
          </w:tcPr>
          <w:p>
            <w:pPr>
              <w:pStyle w:val="TableContents"/>
              <w:spacing w:before="0" w:after="283"/>
              <w:jc w:val="right"/>
              <w:rPr/>
            </w:pPr>
            <w:r>
              <w:rPr/>
              <w:t xml:space="preserve">595.0 </w:t>
            </w:r>
          </w:p>
        </w:tc>
        <w:tc>
          <w:tcPr>
            <w:tcW w:w="169" w:type="dxa"/>
            <w:tcBorders/>
            <w:shd w:fill="FFFFFF" w:val="clear"/>
            <w:vAlign w:val="bottom"/>
          </w:tcPr>
          <w:p>
            <w:pPr>
              <w:pStyle w:val="TableContents"/>
              <w:spacing w:before="0" w:after="283"/>
              <w:jc w:val="left"/>
              <w:rPr/>
            </w:pPr>
            <w:r>
              <w:rPr/>
              <w:t xml:space="preserve">  </w:t>
            </w:r>
          </w:p>
        </w:tc>
      </w:tr>
      <w:tr>
        <w:trPr/>
        <w:tc>
          <w:tcPr>
            <w:tcW w:w="2739" w:type="dxa"/>
            <w:tcBorders/>
            <w:shd w:fill="CCEEFF" w:val="clear"/>
            <w:vAlign w:val="bottom"/>
          </w:tcPr>
          <w:p>
            <w:pPr>
              <w:pStyle w:val="TableContents"/>
              <w:spacing w:before="0" w:after="283"/>
              <w:jc w:val="left"/>
              <w:rPr/>
            </w:pPr>
            <w:r>
              <w:rPr/>
              <w:t xml:space="preserve">  </w:t>
            </w:r>
          </w:p>
        </w:tc>
        <w:tc>
          <w:tcPr>
            <w:tcW w:w="184" w:type="dxa"/>
            <w:tcBorders/>
            <w:shd w:fill="CCEEFF" w:val="clear"/>
            <w:vAlign w:val="bottom"/>
          </w:tcPr>
          <w:p>
            <w:pPr>
              <w:pStyle w:val="TableContents"/>
              <w:spacing w:before="0" w:after="283"/>
              <w:rPr/>
            </w:pPr>
            <w:r>
              <w:rPr/>
              <w:t xml:space="preserve">  </w:t>
            </w:r>
          </w:p>
        </w:tc>
        <w:tc>
          <w:tcPr>
            <w:tcW w:w="4225" w:type="dxa"/>
            <w:tcBorders/>
            <w:shd w:fill="CCEEFF" w:val="clear"/>
            <w:vAlign w:val="bottom"/>
          </w:tcPr>
          <w:p>
            <w:pPr>
              <w:pStyle w:val="TableContents"/>
              <w:spacing w:before="0" w:after="283"/>
              <w:jc w:val="left"/>
              <w:rPr>
                <w:sz w:val="17"/>
              </w:rPr>
            </w:pPr>
            <w:r>
              <w:rPr>
                <w:sz w:val="17"/>
              </w:rPr>
              <w:t xml:space="preserve">6.7% Senior Notes issued at 99.82% of face value </w:t>
            </w:r>
          </w:p>
        </w:tc>
        <w:tc>
          <w:tcPr>
            <w:tcW w:w="254"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jc w:val="right"/>
              <w:rPr/>
            </w:pPr>
            <w:r>
              <w:rPr/>
              <w:t xml:space="preserve">250 </w:t>
            </w:r>
          </w:p>
        </w:tc>
        <w:tc>
          <w:tcPr>
            <w:tcW w:w="163"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311" w:type="dxa"/>
            <w:tcBorders/>
            <w:shd w:fill="CCEEFF" w:val="clear"/>
            <w:vAlign w:val="bottom"/>
          </w:tcPr>
          <w:p>
            <w:pPr>
              <w:pStyle w:val="TableContents"/>
              <w:spacing w:before="0" w:after="283"/>
              <w:jc w:val="left"/>
              <w:rPr/>
            </w:pPr>
            <w:r>
              <w:rPr/>
              <w:t xml:space="preserve">$ </w:t>
            </w:r>
          </w:p>
        </w:tc>
        <w:tc>
          <w:tcPr>
            <w:tcW w:w="1166" w:type="dxa"/>
            <w:tcBorders/>
            <w:shd w:fill="CCEEFF" w:val="clear"/>
            <w:vAlign w:val="bottom"/>
          </w:tcPr>
          <w:p>
            <w:pPr>
              <w:pStyle w:val="TableContents"/>
              <w:spacing w:before="0" w:after="283"/>
              <w:jc w:val="right"/>
              <w:rPr/>
            </w:pPr>
            <w:r>
              <w:rPr/>
              <w:t xml:space="preserve">249.6 </w:t>
            </w:r>
          </w:p>
        </w:tc>
        <w:tc>
          <w:tcPr>
            <w:tcW w:w="169" w:type="dxa"/>
            <w:tcBorders/>
            <w:shd w:fill="CCEEFF" w:val="clear"/>
            <w:vAlign w:val="bottom"/>
          </w:tcPr>
          <w:p>
            <w:pPr>
              <w:pStyle w:val="TableContents"/>
              <w:spacing w:before="0" w:after="283"/>
              <w:jc w:val="left"/>
              <w:rPr/>
            </w:pPr>
            <w:r>
              <w:rPr/>
              <w:t xml:space="preserve">  </w:t>
            </w:r>
          </w:p>
        </w:tc>
      </w:tr>
      <w:tr>
        <w:trPr/>
        <w:tc>
          <w:tcPr>
            <w:tcW w:w="2739"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4225"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166"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r>
      <w:tr>
        <w:trPr/>
        <w:tc>
          <w:tcPr>
            <w:tcW w:w="2739" w:type="dxa"/>
            <w:tcBorders/>
            <w:shd w:fill="FFFFFF" w:val="clear"/>
            <w:vAlign w:val="bottom"/>
          </w:tcPr>
          <w:p>
            <w:pPr>
              <w:pStyle w:val="TableContents"/>
              <w:spacing w:before="0" w:after="0"/>
              <w:ind w:left="200" w:right="0" w:hanging="200"/>
              <w:jc w:val="left"/>
              <w:rPr>
                <w:sz w:val="17"/>
              </w:rPr>
            </w:pPr>
            <w:r>
              <w:rPr>
                <w:sz w:val="17"/>
              </w:rPr>
              <w:t xml:space="preserve">2005 </w:t>
            </w:r>
          </w:p>
        </w:tc>
        <w:tc>
          <w:tcPr>
            <w:tcW w:w="184" w:type="dxa"/>
            <w:tcBorders/>
            <w:shd w:fill="FFFFFF" w:val="clear"/>
            <w:vAlign w:val="bottom"/>
          </w:tcPr>
          <w:p>
            <w:pPr>
              <w:pStyle w:val="TableContents"/>
              <w:spacing w:before="0" w:after="283"/>
              <w:rPr/>
            </w:pPr>
            <w:r>
              <w:rPr/>
              <w:t xml:space="preserve">  </w:t>
            </w:r>
          </w:p>
        </w:tc>
        <w:tc>
          <w:tcPr>
            <w:tcW w:w="4225" w:type="dxa"/>
            <w:tcBorders/>
            <w:shd w:fill="FFFFFF" w:val="clear"/>
            <w:vAlign w:val="bottom"/>
          </w:tcPr>
          <w:p>
            <w:pPr>
              <w:pStyle w:val="TableContents"/>
              <w:spacing w:before="0" w:after="283"/>
              <w:jc w:val="left"/>
              <w:rPr>
                <w:sz w:val="17"/>
              </w:rPr>
            </w:pPr>
            <w:r>
              <w:rPr>
                <w:sz w:val="17"/>
              </w:rPr>
              <w:t xml:space="preserve">5.25% Senior Notes issued at 99.5% of face value </w:t>
            </w:r>
          </w:p>
        </w:tc>
        <w:tc>
          <w:tcPr>
            <w:tcW w:w="254"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jc w:val="right"/>
              <w:rPr/>
            </w:pPr>
            <w:r>
              <w:rPr/>
              <w:t xml:space="preserve">150 </w:t>
            </w:r>
          </w:p>
        </w:tc>
        <w:tc>
          <w:tcPr>
            <w:tcW w:w="163"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jc w:val="left"/>
              <w:rPr/>
            </w:pPr>
            <w:r>
              <w:rPr/>
              <w:t xml:space="preserve">$ </w:t>
            </w:r>
          </w:p>
        </w:tc>
        <w:tc>
          <w:tcPr>
            <w:tcW w:w="1166" w:type="dxa"/>
            <w:tcBorders/>
            <w:shd w:fill="FFFFFF" w:val="clear"/>
            <w:vAlign w:val="bottom"/>
          </w:tcPr>
          <w:p>
            <w:pPr>
              <w:pStyle w:val="TableContents"/>
              <w:spacing w:before="0" w:after="283"/>
              <w:jc w:val="right"/>
              <w:rPr/>
            </w:pPr>
            <w:r>
              <w:rPr/>
              <w:t xml:space="preserve">149.3 </w:t>
            </w:r>
          </w:p>
        </w:tc>
        <w:tc>
          <w:tcPr>
            <w:tcW w:w="169" w:type="dxa"/>
            <w:tcBorders/>
            <w:shd w:fill="FFFFFF" w:val="clear"/>
            <w:vAlign w:val="bottom"/>
          </w:tcPr>
          <w:p>
            <w:pPr>
              <w:pStyle w:val="TableContents"/>
              <w:spacing w:before="0" w:after="283"/>
              <w:jc w:val="left"/>
              <w:rPr/>
            </w:pPr>
            <w:r>
              <w:rPr/>
              <w:t xml:space="preserve">  </w:t>
            </w:r>
          </w:p>
        </w:tc>
      </w:tr>
      <w:tr>
        <w:trPr/>
        <w:tc>
          <w:tcPr>
            <w:tcW w:w="2739" w:type="dxa"/>
            <w:tcBorders/>
            <w:shd w:fill="FFFFFF" w:val="clear"/>
            <w:vAlign w:val="bottom"/>
          </w:tcPr>
          <w:p>
            <w:pPr>
              <w:pStyle w:val="TableContents"/>
              <w:spacing w:before="0" w:after="283"/>
              <w:rPr/>
            </w:pPr>
            <w:r>
              <w:rPr/>
              <w:t xml:space="preserve">  </w:t>
            </w:r>
          </w:p>
        </w:tc>
        <w:tc>
          <w:tcPr>
            <w:tcW w:w="184" w:type="dxa"/>
            <w:tcBorders/>
            <w:shd w:fill="FFFFFF" w:val="clear"/>
            <w:vAlign w:val="bottom"/>
          </w:tcPr>
          <w:p>
            <w:pPr>
              <w:pStyle w:val="TableContents"/>
              <w:spacing w:before="0" w:after="283"/>
              <w:rPr/>
            </w:pPr>
            <w:r>
              <w:rPr/>
              <w:t xml:space="preserve">  </w:t>
            </w:r>
          </w:p>
        </w:tc>
        <w:tc>
          <w:tcPr>
            <w:tcW w:w="4225"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rPr/>
            </w:pPr>
            <w:r>
              <w:rPr/>
              <w:t xml:space="preserve">  </w:t>
            </w:r>
          </w:p>
        </w:tc>
        <w:tc>
          <w:tcPr>
            <w:tcW w:w="505" w:type="dxa"/>
            <w:tcBorders/>
            <w:shd w:fill="FFFFFF" w:val="cle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rPr/>
            </w:pPr>
            <w:r>
              <w:rPr/>
              <w:t xml:space="preserve">  </w:t>
            </w:r>
          </w:p>
        </w:tc>
        <w:tc>
          <w:tcPr>
            <w:tcW w:w="1166" w:type="dxa"/>
            <w:tcBorders/>
            <w:shd w:fill="FFFFFF" w:val="clear"/>
            <w:vAlign w:val="bottom"/>
          </w:tcPr>
          <w:p>
            <w:pPr>
              <w:pStyle w:val="TableContents"/>
              <w:spacing w:before="0" w:after="283"/>
              <w:rPr/>
            </w:pPr>
            <w:r>
              <w:rPr/>
              <w:t xml:space="preserve">  </w:t>
            </w:r>
          </w:p>
        </w:tc>
        <w:tc>
          <w:tcPr>
            <w:tcW w:w="169" w:type="dxa"/>
            <w:tcBorders/>
            <w:shd w:fill="FFFFFF" w:val="clear"/>
            <w:vAlign w:val="bottom"/>
          </w:tcPr>
          <w:p>
            <w:pPr>
              <w:pStyle w:val="TableContents"/>
              <w:spacing w:before="0" w:after="283"/>
              <w:rPr/>
            </w:pPr>
            <w:r>
              <w:rPr/>
              <w:t xml:space="preserve">  </w:t>
            </w:r>
          </w:p>
        </w:tc>
      </w:tr>
      <w:tr>
        <w:trPr/>
        <w:tc>
          <w:tcPr>
            <w:tcW w:w="2739" w:type="dxa"/>
            <w:tcBorders/>
            <w:shd w:fill="CCEEFF" w:val="clear"/>
            <w:vAlign w:val="bottom"/>
          </w:tcPr>
          <w:p>
            <w:pPr>
              <w:pStyle w:val="TableContents"/>
              <w:spacing w:before="0" w:after="0"/>
              <w:ind w:left="200" w:right="0" w:hanging="200"/>
              <w:jc w:val="left"/>
              <w:rPr>
                <w:sz w:val="17"/>
              </w:rPr>
            </w:pPr>
            <w:r>
              <w:rPr>
                <w:sz w:val="17"/>
              </w:rPr>
              <w:t xml:space="preserve">2004 </w:t>
            </w:r>
          </w:p>
        </w:tc>
        <w:tc>
          <w:tcPr>
            <w:tcW w:w="184" w:type="dxa"/>
            <w:tcBorders/>
            <w:shd w:fill="CCEEFF" w:val="clear"/>
            <w:vAlign w:val="bottom"/>
          </w:tcPr>
          <w:p>
            <w:pPr>
              <w:pStyle w:val="TableContents"/>
              <w:spacing w:before="0" w:after="283"/>
              <w:rPr/>
            </w:pPr>
            <w:r>
              <w:rPr/>
              <w:t xml:space="preserve">  </w:t>
            </w:r>
          </w:p>
        </w:tc>
        <w:tc>
          <w:tcPr>
            <w:tcW w:w="4225" w:type="dxa"/>
            <w:tcBorders/>
            <w:shd w:fill="CCEEFF" w:val="clear"/>
            <w:vAlign w:val="bottom"/>
          </w:tcPr>
          <w:p>
            <w:pPr>
              <w:pStyle w:val="TableContents"/>
              <w:spacing w:before="0" w:after="283"/>
              <w:jc w:val="left"/>
              <w:rPr>
                <w:sz w:val="17"/>
              </w:rPr>
            </w:pPr>
            <w:r>
              <w:rPr>
                <w:sz w:val="17"/>
              </w:rPr>
              <w:t xml:space="preserve">4.75% Senior Notes issued at 99.6% of face value </w:t>
            </w:r>
          </w:p>
        </w:tc>
        <w:tc>
          <w:tcPr>
            <w:tcW w:w="254"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505" w:type="dxa"/>
            <w:tcBorders/>
            <w:shd w:fill="CCEEFF" w:val="clear"/>
            <w:vAlign w:val="bottom"/>
          </w:tcPr>
          <w:p>
            <w:pPr>
              <w:pStyle w:val="TableContents"/>
              <w:spacing w:before="0" w:after="283"/>
              <w:jc w:val="right"/>
              <w:rPr/>
            </w:pPr>
            <w:r>
              <w:rPr/>
              <w:t xml:space="preserve">175 </w:t>
            </w:r>
          </w:p>
        </w:tc>
        <w:tc>
          <w:tcPr>
            <w:tcW w:w="163"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311" w:type="dxa"/>
            <w:tcBorders/>
            <w:shd w:fill="CCEEFF" w:val="clear"/>
            <w:vAlign w:val="bottom"/>
          </w:tcPr>
          <w:p>
            <w:pPr>
              <w:pStyle w:val="TableContents"/>
              <w:spacing w:before="0" w:after="283"/>
              <w:jc w:val="left"/>
              <w:rPr/>
            </w:pPr>
            <w:r>
              <w:rPr/>
              <w:t xml:space="preserve">$ </w:t>
            </w:r>
          </w:p>
        </w:tc>
        <w:tc>
          <w:tcPr>
            <w:tcW w:w="1166" w:type="dxa"/>
            <w:tcBorders/>
            <w:shd w:fill="CCEEFF" w:val="clear"/>
            <w:vAlign w:val="bottom"/>
          </w:tcPr>
          <w:p>
            <w:pPr>
              <w:pStyle w:val="TableContents"/>
              <w:spacing w:before="0" w:after="283"/>
              <w:jc w:val="right"/>
              <w:rPr/>
            </w:pPr>
            <w:r>
              <w:rPr/>
              <w:t xml:space="preserve">174.2 </w:t>
            </w:r>
          </w:p>
        </w:tc>
        <w:tc>
          <w:tcPr>
            <w:tcW w:w="169" w:type="dxa"/>
            <w:tcBorders/>
            <w:shd w:fill="CCEEFF" w:val="clear"/>
            <w:vAlign w:val="bottom"/>
          </w:tcPr>
          <w:p>
            <w:pPr>
              <w:pStyle w:val="TableContents"/>
              <w:spacing w:before="0" w:after="283"/>
              <w:jc w:val="left"/>
              <w:rPr/>
            </w:pPr>
            <w:r>
              <w:rPr/>
              <w:t xml:space="preserve">  </w:t>
            </w:r>
          </w:p>
        </w:tc>
      </w:tr>
      <w:tr>
        <w:trPr/>
        <w:tc>
          <w:tcPr>
            <w:tcW w:w="2739" w:type="dxa"/>
            <w:tcBorders/>
            <w:shd w:fill="FFFFFF" w:val="clear"/>
            <w:vAlign w:val="bottom"/>
          </w:tcPr>
          <w:p>
            <w:pPr>
              <w:pStyle w:val="TableContents"/>
              <w:spacing w:before="0" w:after="283"/>
              <w:jc w:val="left"/>
              <w:rPr/>
            </w:pPr>
            <w:r>
              <w:rPr/>
              <w:t xml:space="preserve">  </w:t>
            </w:r>
          </w:p>
        </w:tc>
        <w:tc>
          <w:tcPr>
            <w:tcW w:w="184" w:type="dxa"/>
            <w:tcBorders/>
            <w:shd w:fill="FFFFFF" w:val="clear"/>
            <w:vAlign w:val="bottom"/>
          </w:tcPr>
          <w:p>
            <w:pPr>
              <w:pStyle w:val="TableContents"/>
              <w:spacing w:before="0" w:after="283"/>
              <w:rPr/>
            </w:pPr>
            <w:r>
              <w:rPr/>
              <w:t xml:space="preserve">  </w:t>
            </w:r>
          </w:p>
        </w:tc>
        <w:tc>
          <w:tcPr>
            <w:tcW w:w="4225" w:type="dxa"/>
            <w:tcBorders/>
            <w:shd w:fill="FFFFFF" w:val="clear"/>
            <w:vAlign w:val="bottom"/>
          </w:tcPr>
          <w:p>
            <w:pPr>
              <w:pStyle w:val="TableContents"/>
              <w:spacing w:before="0" w:after="283"/>
              <w:jc w:val="left"/>
              <w:rPr>
                <w:sz w:val="17"/>
              </w:rPr>
            </w:pPr>
            <w:r>
              <w:rPr>
                <w:sz w:val="17"/>
              </w:rPr>
              <w:t xml:space="preserve">5.88% Senior Notes issued at 99.3% of face value </w:t>
            </w:r>
          </w:p>
        </w:tc>
        <w:tc>
          <w:tcPr>
            <w:tcW w:w="254"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505" w:type="dxa"/>
            <w:tcBorders/>
            <w:shd w:fill="FFFFFF" w:val="clear"/>
            <w:vAlign w:val="bottom"/>
          </w:tcPr>
          <w:p>
            <w:pPr>
              <w:pStyle w:val="TableContents"/>
              <w:spacing w:before="0" w:after="283"/>
              <w:jc w:val="right"/>
              <w:rPr/>
            </w:pPr>
            <w:r>
              <w:rPr/>
              <w:t xml:space="preserve">175 </w:t>
            </w:r>
          </w:p>
        </w:tc>
        <w:tc>
          <w:tcPr>
            <w:tcW w:w="163"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311" w:type="dxa"/>
            <w:tcBorders/>
            <w:shd w:fill="FFFFFF" w:val="clear"/>
            <w:vAlign w:val="bottom"/>
          </w:tcPr>
          <w:p>
            <w:pPr>
              <w:pStyle w:val="TableContents"/>
              <w:spacing w:before="0" w:after="283"/>
              <w:jc w:val="left"/>
              <w:rPr/>
            </w:pPr>
            <w:r>
              <w:rPr/>
              <w:t xml:space="preserve">$ </w:t>
            </w:r>
          </w:p>
        </w:tc>
        <w:tc>
          <w:tcPr>
            <w:tcW w:w="1166" w:type="dxa"/>
            <w:tcBorders/>
            <w:shd w:fill="FFFFFF" w:val="clear"/>
            <w:vAlign w:val="bottom"/>
          </w:tcPr>
          <w:p>
            <w:pPr>
              <w:pStyle w:val="TableContents"/>
              <w:spacing w:before="0" w:after="283"/>
              <w:jc w:val="right"/>
              <w:rPr/>
            </w:pPr>
            <w:r>
              <w:rPr/>
              <w:t xml:space="preserve">173.9 </w:t>
            </w:r>
          </w:p>
        </w:tc>
        <w:tc>
          <w:tcPr>
            <w:tcW w:w="169"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1"/>
        <w:gridCol w:w="9696"/>
      </w:tblGrid>
      <w:tr>
        <w:trPr/>
        <w:tc>
          <w:tcPr>
            <w:tcW w:w="408"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Face value of notes less the applicable discount (before deducting for initial purchaser discounts, commissions and offering expenses).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year ended December 31, 2006, we had net working capital and hedged inventory borrowings of approximately $618.8 million. These borrowings are used primarily for purchases of crude oil inventory that was stored. See  Cash flow from operations. During 2006 and 2005, we also had net repayments on our long-term revolving credit facility of approximately $298.5 million and $143.7 million, respectively, resulting from cash generated from our operations and other financing activities. During 2004, we had net borrowings on our long-term revolving credit facility of approximately $64.9 million. During 2005, we had net working capital and hedged inventory borrowings of approximately $206.1 million and during 2004 we had net borrowings of approximately $42.8 million. For further discussion related to our credit facilities and long-term debt, see  Credit Facilities and Long-term Debt.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Capital Expenditures and Distributions Paid to Unitholders and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made and will continue to make capital expenditures for acquisitions, expansion capital and maintenance capital. Historically, we have financed these expenditures primarily with cash generated by operations and the financing activities discussed above. Our primary uses of cash are for our acquisition activities, capital expenditures for internal growth projects and distributions paid to our unitholders and general partner. See  Acquisitions and Internal Growth Projects. The price of the acquisitions includes cash paid, transaction costs and assumed liabilities and net working capital items. Because of the non-cash items included in the total price of the acquisition and the timing of certain cash payments, the net cash paid may differ significantly from the total price of the acquisitions completed during the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Distributions to unitholders and general partner.</w:t>
      </w:r>
      <w:r>
        <w:rPr>
          <w:rFonts w:ascii="Times New Roman;Times" w:hAnsi="Times New Roman;Times"/>
          <w:color w:val="000000"/>
          <w:sz w:val="17"/>
          <w:highlight w:val="white"/>
        </w:rPr>
        <w:t xml:space="preserve">  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Total cash distributions made during the last three years were as follows (in millions, except per unit amounts):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816"/>
        <w:gridCol w:w="113"/>
        <w:gridCol w:w="250"/>
        <w:gridCol w:w="804"/>
        <w:gridCol w:w="142"/>
        <w:gridCol w:w="142"/>
        <w:gridCol w:w="488"/>
        <w:gridCol w:w="1105"/>
        <w:gridCol w:w="142"/>
        <w:gridCol w:w="141"/>
        <w:gridCol w:w="300"/>
        <w:gridCol w:w="796"/>
        <w:gridCol w:w="142"/>
        <w:gridCol w:w="142"/>
        <w:gridCol w:w="217"/>
        <w:gridCol w:w="387"/>
        <w:gridCol w:w="142"/>
        <w:gridCol w:w="85"/>
        <w:gridCol w:w="84"/>
        <w:gridCol w:w="217"/>
        <w:gridCol w:w="700"/>
        <w:gridCol w:w="142"/>
        <w:gridCol w:w="142"/>
        <w:gridCol w:w="365"/>
        <w:gridCol w:w="1044"/>
        <w:gridCol w:w="157"/>
      </w:tblGrid>
      <w:tr>
        <w:trPr/>
        <w:tc>
          <w:tcPr>
            <w:tcW w:w="1816"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804"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488" w:type="dxa"/>
            <w:tcBorders/>
            <w:shd w:fill="FFFFFF" w:val="clear"/>
            <w:vAlign w:val="bottom"/>
          </w:tcPr>
          <w:p>
            <w:pPr>
              <w:pStyle w:val="TableContents"/>
              <w:spacing w:before="0" w:after="283"/>
              <w:jc w:val="right"/>
              <w:rPr/>
            </w:pPr>
            <w:r>
              <w:rPr/>
              <w:t> </w:t>
            </w:r>
          </w:p>
        </w:tc>
        <w:tc>
          <w:tcPr>
            <w:tcW w:w="1105"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1" w:type="dxa"/>
            <w:tcBorders/>
            <w:shd w:fill="FFFFFF" w:val="clear"/>
            <w:vAlign w:val="bottom"/>
          </w:tcPr>
          <w:p>
            <w:pPr>
              <w:pStyle w:val="TableContents"/>
              <w:spacing w:before="0" w:after="283"/>
              <w:rPr/>
            </w:pPr>
            <w:r>
              <w:rPr/>
              <w:t> </w:t>
            </w:r>
          </w:p>
        </w:tc>
        <w:tc>
          <w:tcPr>
            <w:tcW w:w="300" w:type="dxa"/>
            <w:tcBorders/>
            <w:shd w:fill="FFFFFF" w:val="clear"/>
            <w:vAlign w:val="bottom"/>
          </w:tcPr>
          <w:p>
            <w:pPr>
              <w:pStyle w:val="TableContents"/>
              <w:spacing w:before="0" w:after="283"/>
              <w:jc w:val="right"/>
              <w:rPr/>
            </w:pPr>
            <w:r>
              <w:rPr/>
              <w:t> </w:t>
            </w:r>
          </w:p>
        </w:tc>
        <w:tc>
          <w:tcPr>
            <w:tcW w:w="796"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jc w:val="right"/>
              <w:rPr/>
            </w:pPr>
            <w:r>
              <w:rPr/>
              <w:t> </w:t>
            </w:r>
          </w:p>
        </w:tc>
        <w:tc>
          <w:tcPr>
            <w:tcW w:w="387"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jc w:val="right"/>
              <w:rPr/>
            </w:pPr>
            <w:r>
              <w:rPr/>
              <w:t> </w:t>
            </w:r>
          </w:p>
        </w:tc>
        <w:tc>
          <w:tcPr>
            <w:tcW w:w="70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rPr/>
            </w:pPr>
            <w:r>
              <w:rPr/>
              <w:t> </w:t>
            </w:r>
          </w:p>
        </w:tc>
        <w:tc>
          <w:tcPr>
            <w:tcW w:w="365" w:type="dxa"/>
            <w:tcBorders/>
            <w:shd w:fill="FFFFFF" w:val="clear"/>
            <w:vAlign w:val="bottom"/>
          </w:tcPr>
          <w:p>
            <w:pPr>
              <w:pStyle w:val="TableContents"/>
              <w:spacing w:before="0" w:after="283"/>
              <w:jc w:val="right"/>
              <w:rPr/>
            </w:pPr>
            <w:r>
              <w:rPr/>
              <w:t> </w:t>
            </w:r>
          </w:p>
        </w:tc>
        <w:tc>
          <w:tcPr>
            <w:tcW w:w="1044"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r>
      <w:tr>
        <w:trPr/>
        <w:tc>
          <w:tcPr>
            <w:tcW w:w="1816"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6426" w:type="dxa"/>
            <w:gridSpan w:val="19"/>
            <w:tcBorders>
              <w:bottom w:val="single" w:sz="2" w:space="0" w:color="000000"/>
            </w:tcBorders>
            <w:shd w:fill="FFFFFF" w:val="clear"/>
            <w:tcMar>
              <w:bottom w:w="28" w:type="dxa"/>
            </w:tcMar>
            <w:vAlign w:val="bottom"/>
          </w:tcPr>
          <w:p>
            <w:pPr>
              <w:pStyle w:val="TableContents"/>
              <w:spacing w:before="0" w:after="283"/>
              <w:jc w:val="center"/>
              <w:rPr/>
            </w:pPr>
            <w:r>
              <w:rPr>
                <w:b/>
              </w:rPr>
              <w:t>Distributions Paid</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09" w:type="dxa"/>
            <w:gridSpan w:val="2"/>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1816" w:type="dxa"/>
            <w:tcBorders/>
            <w:shd w:fill="FFFFFF" w:val="clear"/>
            <w:vAlign w:val="bottom"/>
          </w:tcPr>
          <w:p>
            <w:pPr>
              <w:pStyle w:val="TableContents"/>
              <w:spacing w:before="0" w:after="283"/>
              <w:jc w:val="left"/>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1054" w:type="dxa"/>
            <w:gridSpan w:val="2"/>
            <w:tcBorders/>
            <w:shd w:fill="FFFFFF" w:val="clear"/>
            <w:vAlign w:val="bottom"/>
          </w:tcPr>
          <w:p>
            <w:pPr>
              <w:pStyle w:val="TableContents"/>
              <w:spacing w:before="0" w:after="283"/>
              <w:jc w:val="center"/>
              <w:rPr>
                <w:b/>
              </w:rPr>
            </w:pPr>
            <w:r>
              <w:rPr>
                <w:b/>
              </w:rPr>
              <w:t>Common</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593" w:type="dxa"/>
            <w:gridSpan w:val="2"/>
            <w:tcBorders/>
            <w:shd w:fill="FFFFFF" w:val="clear"/>
            <w:vAlign w:val="bottom"/>
          </w:tcPr>
          <w:p>
            <w:pPr>
              <w:pStyle w:val="TableContents"/>
              <w:spacing w:before="0" w:after="283"/>
              <w:jc w:val="center"/>
              <w:rPr>
                <w:b/>
              </w:rPr>
            </w:pPr>
            <w:r>
              <w:rPr>
                <w:b/>
              </w:rPr>
              <w:t>Subordinated</w:t>
            </w:r>
          </w:p>
        </w:tc>
        <w:tc>
          <w:tcPr>
            <w:tcW w:w="142" w:type="dxa"/>
            <w:tcBorders/>
            <w:shd w:fill="FFFFFF" w:val="clear"/>
            <w:vAlign w:val="bottom"/>
          </w:tcPr>
          <w:p>
            <w:pPr>
              <w:pStyle w:val="TableContents"/>
              <w:spacing w:before="0" w:after="283"/>
              <w:jc w:val="center"/>
              <w:rPr/>
            </w:pPr>
            <w:r>
              <w:rPr/>
              <w:t xml:space="preserve">  </w:t>
            </w:r>
          </w:p>
        </w:tc>
        <w:tc>
          <w:tcPr>
            <w:tcW w:w="141" w:type="dxa"/>
            <w:tcBorders/>
            <w:shd w:fill="FFFFFF" w:val="clear"/>
            <w:vAlign w:val="bottom"/>
          </w:tcPr>
          <w:p>
            <w:pPr>
              <w:pStyle w:val="TableContents"/>
              <w:spacing w:before="0" w:after="283"/>
              <w:jc w:val="center"/>
              <w:rPr/>
            </w:pPr>
            <w:r>
              <w:rPr/>
              <w:t xml:space="preserve">  </w:t>
            </w:r>
          </w:p>
        </w:tc>
        <w:tc>
          <w:tcPr>
            <w:tcW w:w="198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GP</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917"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09" w:type="dxa"/>
            <w:gridSpan w:val="2"/>
            <w:tcBorders/>
            <w:shd w:fill="FFFFFF" w:val="clear"/>
            <w:vAlign w:val="bottom"/>
          </w:tcPr>
          <w:p>
            <w:pPr>
              <w:pStyle w:val="TableContents"/>
              <w:spacing w:before="0" w:after="283"/>
              <w:jc w:val="center"/>
              <w:rPr>
                <w:b/>
              </w:rPr>
            </w:pPr>
            <w:r>
              <w:rPr>
                <w:b/>
              </w:rPr>
              <w:t>Distribution</w:t>
            </w:r>
          </w:p>
        </w:tc>
        <w:tc>
          <w:tcPr>
            <w:tcW w:w="157" w:type="dxa"/>
            <w:tcBorders/>
            <w:shd w:fill="FFFFFF" w:val="clear"/>
            <w:vAlign w:val="bottom"/>
          </w:tcPr>
          <w:p>
            <w:pPr>
              <w:pStyle w:val="TableContents"/>
              <w:spacing w:before="0" w:after="283"/>
              <w:jc w:val="center"/>
              <w:rPr/>
            </w:pPr>
            <w:r>
              <w:rPr/>
              <w:t xml:space="preserve">  </w:t>
            </w:r>
          </w:p>
        </w:tc>
      </w:tr>
      <w:tr>
        <w:trPr/>
        <w:tc>
          <w:tcPr>
            <w:tcW w:w="1816" w:type="dxa"/>
            <w:tcBorders/>
            <w:shd w:fill="FFFFFF" w:val="clear"/>
            <w:vAlign w:val="bottom"/>
          </w:tcPr>
          <w:p>
            <w:pPr>
              <w:pStyle w:val="TableContents"/>
              <w:spacing w:before="0" w:after="0"/>
              <w:jc w:val="left"/>
              <w:rPr>
                <w:bdr w:val="single" w:sz="2" w:space="1" w:color="000000"/>
              </w:rPr>
            </w:pPr>
            <w:r>
              <w:rPr>
                <w:b/>
                <w:bdr w:val="single" w:sz="2" w:space="1" w:color="000000"/>
              </w:rPr>
              <w:t>Year</w:t>
            </w:r>
            <w:r>
              <w:rPr>
                <w:bdr w:val="single" w:sz="2" w:space="1" w:color="000000"/>
              </w:rPr>
              <w:t xml:space="preserve"> </w:t>
            </w:r>
          </w:p>
        </w:tc>
        <w:tc>
          <w:tcPr>
            <w:tcW w:w="113" w:type="dxa"/>
            <w:tcBorders/>
            <w:shd w:fill="FFFFFF" w:val="clear"/>
            <w:vAlign w:val="bottom"/>
          </w:tcPr>
          <w:p>
            <w:pPr>
              <w:pStyle w:val="TableContents"/>
              <w:spacing w:before="0" w:after="283"/>
              <w:jc w:val="center"/>
              <w:rPr/>
            </w:pPr>
            <w:r>
              <w:rPr/>
              <w:t xml:space="preserve">  </w:t>
            </w:r>
          </w:p>
        </w:tc>
        <w:tc>
          <w:tcPr>
            <w:tcW w:w="10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5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Units(1)</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1" w:type="dxa"/>
            <w:tcBorders/>
            <w:shd w:fill="FFFFFF" w:val="clear"/>
            <w:vAlign w:val="bottom"/>
          </w:tcPr>
          <w:p>
            <w:pPr>
              <w:pStyle w:val="TableContents"/>
              <w:spacing w:before="0" w:after="283"/>
              <w:jc w:val="center"/>
              <w:rPr/>
            </w:pPr>
            <w:r>
              <w:rPr/>
              <w:t xml:space="preserve">  </w:t>
            </w:r>
          </w:p>
        </w:tc>
        <w:tc>
          <w:tcPr>
            <w:tcW w:w="10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Incentive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6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85"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9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per Unit</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1816" w:type="dxa"/>
            <w:tcBorders/>
            <w:shd w:fill="CCEEFF" w:val="clear"/>
            <w:vAlign w:val="bottom"/>
          </w:tcPr>
          <w:p>
            <w:pPr>
              <w:pStyle w:val="TableContents"/>
              <w:spacing w:before="0" w:after="0"/>
              <w:ind w:left="200" w:right="0" w:hanging="200"/>
              <w:jc w:val="left"/>
              <w:rPr>
                <w:sz w:val="17"/>
              </w:rPr>
            </w:pPr>
            <w:r>
              <w:rPr>
                <w:sz w:val="17"/>
              </w:rPr>
              <w:t xml:space="preserve">2006 </w:t>
            </w:r>
          </w:p>
        </w:tc>
        <w:tc>
          <w:tcPr>
            <w:tcW w:w="113"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804" w:type="dxa"/>
            <w:tcBorders/>
            <w:shd w:fill="CCEEFF" w:val="clear"/>
            <w:vAlign w:val="bottom"/>
          </w:tcPr>
          <w:p>
            <w:pPr>
              <w:pStyle w:val="TableContents"/>
              <w:spacing w:before="0" w:after="283"/>
              <w:jc w:val="right"/>
              <w:rPr/>
            </w:pPr>
            <w:r>
              <w:rPr/>
              <w:t xml:space="preserve">224.9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488" w:type="dxa"/>
            <w:tcBorders/>
            <w:shd w:fill="CCEEFF" w:val="clear"/>
            <w:vAlign w:val="bottom"/>
          </w:tcPr>
          <w:p>
            <w:pPr>
              <w:pStyle w:val="TableContents"/>
              <w:spacing w:before="0" w:after="283"/>
              <w:jc w:val="left"/>
              <w:rPr/>
            </w:pPr>
            <w:r>
              <w:rPr/>
              <w:t xml:space="preserve">$ </w:t>
            </w:r>
          </w:p>
        </w:tc>
        <w:tc>
          <w:tcPr>
            <w:tcW w:w="110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1"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796" w:type="dxa"/>
            <w:tcBorders/>
            <w:shd w:fill="CCEEFF" w:val="clear"/>
            <w:vAlign w:val="bottom"/>
          </w:tcPr>
          <w:p>
            <w:pPr>
              <w:pStyle w:val="TableContents"/>
              <w:spacing w:before="0" w:after="283"/>
              <w:jc w:val="right"/>
              <w:rPr/>
            </w:pPr>
            <w:r>
              <w:rPr/>
              <w:t xml:space="preserve">33.1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387" w:type="dxa"/>
            <w:tcBorders/>
            <w:shd w:fill="CCEEFF" w:val="clear"/>
            <w:vAlign w:val="bottom"/>
          </w:tcPr>
          <w:p>
            <w:pPr>
              <w:pStyle w:val="TableContents"/>
              <w:spacing w:before="0" w:after="283"/>
              <w:jc w:val="right"/>
              <w:rPr/>
            </w:pPr>
            <w:r>
              <w:rPr/>
              <w:t xml:space="preserve">4.6 </w:t>
            </w:r>
          </w:p>
        </w:tc>
        <w:tc>
          <w:tcPr>
            <w:tcW w:w="142" w:type="dxa"/>
            <w:tcBorders/>
            <w:shd w:fill="CCEEFF" w:val="clear"/>
            <w:vAlign w:val="bottom"/>
          </w:tcPr>
          <w:p>
            <w:pPr>
              <w:pStyle w:val="TableContents"/>
              <w:spacing w:before="0" w:after="283"/>
              <w:jc w:val="left"/>
              <w:rPr/>
            </w:pPr>
            <w:r>
              <w:rPr/>
              <w:t xml:space="preserve">  </w:t>
            </w:r>
          </w:p>
        </w:tc>
        <w:tc>
          <w:tcPr>
            <w:tcW w:w="85" w:type="dxa"/>
            <w:tcBorders>
              <w:right w:val="single" w:sz="2" w:space="0" w:color="000000"/>
            </w:tcBorders>
            <w:shd w:fill="CCEEFF" w:val="clear"/>
            <w:tcMar>
              <w:right w:w="40" w:type="dxa"/>
            </w:tcMar>
            <w:vAlign w:val="bottom"/>
          </w:tcPr>
          <w:p>
            <w:pPr>
              <w:pStyle w:val="TableContents"/>
              <w:spacing w:before="0" w:after="283"/>
              <w:rPr/>
            </w:pPr>
            <w:r>
              <w:rPr/>
              <w:t xml:space="preserve">  </w:t>
            </w:r>
          </w:p>
        </w:tc>
        <w:tc>
          <w:tcPr>
            <w:tcW w:w="84"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262.6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65" w:type="dxa"/>
            <w:tcBorders/>
            <w:shd w:fill="CCEEFF" w:val="clear"/>
            <w:vAlign w:val="bottom"/>
          </w:tcPr>
          <w:p>
            <w:pPr>
              <w:pStyle w:val="TableContents"/>
              <w:spacing w:before="0" w:after="283"/>
              <w:jc w:val="left"/>
              <w:rPr/>
            </w:pPr>
            <w:r>
              <w:rPr/>
              <w:t xml:space="preserve">$ </w:t>
            </w:r>
          </w:p>
        </w:tc>
        <w:tc>
          <w:tcPr>
            <w:tcW w:w="1044" w:type="dxa"/>
            <w:tcBorders/>
            <w:shd w:fill="CCEEFF" w:val="clear"/>
            <w:vAlign w:val="bottom"/>
          </w:tcPr>
          <w:p>
            <w:pPr>
              <w:pStyle w:val="TableContents"/>
              <w:spacing w:before="0" w:after="283"/>
              <w:jc w:val="right"/>
              <w:rPr/>
            </w:pPr>
            <w:r>
              <w:rPr/>
              <w:t xml:space="preserve">2.87 </w:t>
            </w:r>
          </w:p>
        </w:tc>
        <w:tc>
          <w:tcPr>
            <w:tcW w:w="157" w:type="dxa"/>
            <w:tcBorders/>
            <w:shd w:fill="CCEEFF" w:val="clear"/>
            <w:vAlign w:val="bottom"/>
          </w:tcPr>
          <w:p>
            <w:pPr>
              <w:pStyle w:val="TableContents"/>
              <w:spacing w:before="0" w:after="283"/>
              <w:jc w:val="left"/>
              <w:rPr/>
            </w:pPr>
            <w:r>
              <w:rPr/>
              <w:t xml:space="preserve">  </w:t>
            </w:r>
          </w:p>
        </w:tc>
      </w:tr>
      <w:tr>
        <w:trPr/>
        <w:tc>
          <w:tcPr>
            <w:tcW w:w="1816" w:type="dxa"/>
            <w:tcBorders/>
            <w:shd w:fill="FFFFFF" w:val="clear"/>
            <w:vAlign w:val="bottom"/>
          </w:tcPr>
          <w:p>
            <w:pPr>
              <w:pStyle w:val="TableContents"/>
              <w:spacing w:before="0" w:after="0"/>
              <w:ind w:left="200" w:right="0" w:hanging="200"/>
              <w:jc w:val="left"/>
              <w:rPr>
                <w:sz w:val="17"/>
              </w:rPr>
            </w:pPr>
            <w:r>
              <w:rPr>
                <w:sz w:val="17"/>
              </w:rPr>
              <w:t xml:space="preserve">2005 </w:t>
            </w:r>
          </w:p>
        </w:tc>
        <w:tc>
          <w:tcPr>
            <w:tcW w:w="113"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804" w:type="dxa"/>
            <w:tcBorders/>
            <w:shd w:fill="FFFFFF" w:val="clear"/>
            <w:vAlign w:val="bottom"/>
          </w:tcPr>
          <w:p>
            <w:pPr>
              <w:pStyle w:val="TableContents"/>
              <w:spacing w:before="0" w:after="283"/>
              <w:jc w:val="right"/>
              <w:rPr/>
            </w:pPr>
            <w:r>
              <w:rPr/>
              <w:t xml:space="preserve">178.4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488" w:type="dxa"/>
            <w:tcBorders/>
            <w:shd w:fill="FFFFFF" w:val="clear"/>
            <w:vAlign w:val="bottom"/>
          </w:tcPr>
          <w:p>
            <w:pPr>
              <w:pStyle w:val="TableContents"/>
              <w:spacing w:before="0" w:after="283"/>
              <w:jc w:val="left"/>
              <w:rPr/>
            </w:pPr>
            <w:r>
              <w:rPr/>
              <w:t xml:space="preserve">$ </w:t>
            </w:r>
          </w:p>
        </w:tc>
        <w:tc>
          <w:tcPr>
            <w:tcW w:w="110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1"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796" w:type="dxa"/>
            <w:tcBorders/>
            <w:shd w:fill="FFFFFF" w:val="clear"/>
            <w:vAlign w:val="bottom"/>
          </w:tcPr>
          <w:p>
            <w:pPr>
              <w:pStyle w:val="TableContents"/>
              <w:spacing w:before="0" w:after="283"/>
              <w:jc w:val="right"/>
              <w:rPr/>
            </w:pPr>
            <w:r>
              <w:rPr/>
              <w:t xml:space="preserve">15.0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387" w:type="dxa"/>
            <w:tcBorders/>
            <w:shd w:fill="FFFFFF" w:val="clear"/>
            <w:vAlign w:val="bottom"/>
          </w:tcPr>
          <w:p>
            <w:pPr>
              <w:pStyle w:val="TableContents"/>
              <w:spacing w:before="0" w:after="283"/>
              <w:jc w:val="right"/>
              <w:rPr/>
            </w:pPr>
            <w:r>
              <w:rPr/>
              <w:t xml:space="preserve">3.6 </w:t>
            </w:r>
          </w:p>
        </w:tc>
        <w:tc>
          <w:tcPr>
            <w:tcW w:w="142" w:type="dxa"/>
            <w:tcBorders/>
            <w:shd w:fill="FFFFFF" w:val="clear"/>
            <w:vAlign w:val="bottom"/>
          </w:tcPr>
          <w:p>
            <w:pPr>
              <w:pStyle w:val="TableContents"/>
              <w:spacing w:before="0" w:after="283"/>
              <w:jc w:val="left"/>
              <w:rPr/>
            </w:pPr>
            <w:r>
              <w:rPr/>
              <w:t xml:space="preserve">  </w:t>
            </w:r>
          </w:p>
        </w:tc>
        <w:tc>
          <w:tcPr>
            <w:tcW w:w="85" w:type="dxa"/>
            <w:tcBorders>
              <w:right w:val="single" w:sz="2" w:space="0" w:color="000000"/>
            </w:tcBorders>
            <w:shd w:fill="FFFFFF" w:val="clear"/>
            <w:tcMar>
              <w:right w:w="40" w:type="dxa"/>
            </w:tcM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197.0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365" w:type="dxa"/>
            <w:tcBorders/>
            <w:shd w:fill="FFFFFF" w:val="clear"/>
            <w:vAlign w:val="bottom"/>
          </w:tcPr>
          <w:p>
            <w:pPr>
              <w:pStyle w:val="TableContents"/>
              <w:spacing w:before="0" w:after="283"/>
              <w:jc w:val="left"/>
              <w:rPr/>
            </w:pPr>
            <w:r>
              <w:rPr/>
              <w:t xml:space="preserve">$ </w:t>
            </w:r>
          </w:p>
        </w:tc>
        <w:tc>
          <w:tcPr>
            <w:tcW w:w="1044" w:type="dxa"/>
            <w:tcBorders/>
            <w:shd w:fill="FFFFFF" w:val="clear"/>
            <w:vAlign w:val="bottom"/>
          </w:tcPr>
          <w:p>
            <w:pPr>
              <w:pStyle w:val="TableContents"/>
              <w:spacing w:before="0" w:after="283"/>
              <w:jc w:val="right"/>
              <w:rPr/>
            </w:pPr>
            <w:r>
              <w:rPr/>
              <w:t xml:space="preserve">2.58 </w:t>
            </w:r>
          </w:p>
        </w:tc>
        <w:tc>
          <w:tcPr>
            <w:tcW w:w="157" w:type="dxa"/>
            <w:tcBorders/>
            <w:shd w:fill="FFFFFF" w:val="clear"/>
            <w:vAlign w:val="bottom"/>
          </w:tcPr>
          <w:p>
            <w:pPr>
              <w:pStyle w:val="TableContents"/>
              <w:spacing w:before="0" w:after="283"/>
              <w:jc w:val="left"/>
              <w:rPr/>
            </w:pPr>
            <w:r>
              <w:rPr/>
              <w:t xml:space="preserve">  </w:t>
            </w:r>
          </w:p>
        </w:tc>
      </w:tr>
      <w:tr>
        <w:trPr/>
        <w:tc>
          <w:tcPr>
            <w:tcW w:w="1816" w:type="dxa"/>
            <w:tcBorders/>
            <w:shd w:fill="CCEEFF" w:val="clear"/>
            <w:vAlign w:val="bottom"/>
          </w:tcPr>
          <w:p>
            <w:pPr>
              <w:pStyle w:val="TableContents"/>
              <w:spacing w:before="0" w:after="0"/>
              <w:ind w:left="200" w:right="0" w:hanging="200"/>
              <w:jc w:val="left"/>
              <w:rPr>
                <w:sz w:val="17"/>
              </w:rPr>
            </w:pPr>
            <w:r>
              <w:rPr>
                <w:sz w:val="17"/>
              </w:rPr>
              <w:t xml:space="preserve">2004 </w:t>
            </w:r>
          </w:p>
        </w:tc>
        <w:tc>
          <w:tcPr>
            <w:tcW w:w="113"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804" w:type="dxa"/>
            <w:tcBorders/>
            <w:shd w:fill="CCEEFF" w:val="clear"/>
            <w:vAlign w:val="bottom"/>
          </w:tcPr>
          <w:p>
            <w:pPr>
              <w:pStyle w:val="TableContents"/>
              <w:spacing w:before="0" w:after="283"/>
              <w:jc w:val="right"/>
              <w:rPr/>
            </w:pPr>
            <w:r>
              <w:rPr/>
              <w:t xml:space="preserve">142.9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488" w:type="dxa"/>
            <w:tcBorders/>
            <w:shd w:fill="CCEEFF" w:val="clear"/>
            <w:vAlign w:val="bottom"/>
          </w:tcPr>
          <w:p>
            <w:pPr>
              <w:pStyle w:val="TableContents"/>
              <w:spacing w:before="0" w:after="283"/>
              <w:jc w:val="left"/>
              <w:rPr/>
            </w:pPr>
            <w:r>
              <w:rPr/>
              <w:t xml:space="preserve">$ </w:t>
            </w:r>
          </w:p>
        </w:tc>
        <w:tc>
          <w:tcPr>
            <w:tcW w:w="1105" w:type="dxa"/>
            <w:tcBorders/>
            <w:shd w:fill="CCEEFF" w:val="clear"/>
            <w:vAlign w:val="bottom"/>
          </w:tcPr>
          <w:p>
            <w:pPr>
              <w:pStyle w:val="TableContents"/>
              <w:spacing w:before="0" w:after="283"/>
              <w:jc w:val="right"/>
              <w:rPr/>
            </w:pPr>
            <w:r>
              <w:rPr/>
              <w:t xml:space="preserve">4.2 </w:t>
            </w:r>
          </w:p>
        </w:tc>
        <w:tc>
          <w:tcPr>
            <w:tcW w:w="142" w:type="dxa"/>
            <w:tcBorders/>
            <w:shd w:fill="CCEEFF" w:val="clear"/>
            <w:vAlign w:val="bottom"/>
          </w:tcPr>
          <w:p>
            <w:pPr>
              <w:pStyle w:val="TableContents"/>
              <w:spacing w:before="0" w:after="283"/>
              <w:jc w:val="left"/>
              <w:rPr/>
            </w:pPr>
            <w:r>
              <w:rPr/>
              <w:t xml:space="preserve">  </w:t>
            </w:r>
          </w:p>
        </w:tc>
        <w:tc>
          <w:tcPr>
            <w:tcW w:w="141"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796" w:type="dxa"/>
            <w:tcBorders/>
            <w:shd w:fill="CCEEFF" w:val="clear"/>
            <w:vAlign w:val="bottom"/>
          </w:tcPr>
          <w:p>
            <w:pPr>
              <w:pStyle w:val="TableContents"/>
              <w:spacing w:before="0" w:after="283"/>
              <w:jc w:val="right"/>
              <w:rPr/>
            </w:pPr>
            <w:r>
              <w:rPr/>
              <w:t xml:space="preserve">8.3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387" w:type="dxa"/>
            <w:tcBorders/>
            <w:shd w:fill="CCEEFF" w:val="clear"/>
            <w:vAlign w:val="bottom"/>
          </w:tcPr>
          <w:p>
            <w:pPr>
              <w:pStyle w:val="TableContents"/>
              <w:spacing w:before="0" w:after="283"/>
              <w:jc w:val="right"/>
              <w:rPr/>
            </w:pPr>
            <w:r>
              <w:rPr/>
              <w:t xml:space="preserve">3.0 </w:t>
            </w:r>
          </w:p>
        </w:tc>
        <w:tc>
          <w:tcPr>
            <w:tcW w:w="142" w:type="dxa"/>
            <w:tcBorders/>
            <w:shd w:fill="CCEEFF" w:val="clear"/>
            <w:vAlign w:val="bottom"/>
          </w:tcPr>
          <w:p>
            <w:pPr>
              <w:pStyle w:val="TableContents"/>
              <w:spacing w:before="0" w:after="283"/>
              <w:jc w:val="left"/>
              <w:rPr/>
            </w:pPr>
            <w:r>
              <w:rPr/>
              <w:t xml:space="preserve">  </w:t>
            </w:r>
          </w:p>
        </w:tc>
        <w:tc>
          <w:tcPr>
            <w:tcW w:w="85" w:type="dxa"/>
            <w:tcBorders>
              <w:right w:val="single" w:sz="2" w:space="0" w:color="000000"/>
            </w:tcBorders>
            <w:shd w:fill="CCEEFF" w:val="clear"/>
            <w:tcMar>
              <w:right w:w="40" w:type="dxa"/>
            </w:tcMar>
            <w:vAlign w:val="bottom"/>
          </w:tcPr>
          <w:p>
            <w:pPr>
              <w:pStyle w:val="TableContents"/>
              <w:spacing w:before="0" w:after="283"/>
              <w:rPr/>
            </w:pPr>
            <w:r>
              <w:rPr/>
              <w:t xml:space="preserve">  </w:t>
            </w:r>
          </w:p>
        </w:tc>
        <w:tc>
          <w:tcPr>
            <w:tcW w:w="84"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158.4 </w:t>
            </w:r>
          </w:p>
        </w:tc>
        <w:tc>
          <w:tcPr>
            <w:tcW w:w="142" w:type="dxa"/>
            <w:tcBorders/>
            <w:shd w:fill="CCEEFF" w:val="clear"/>
            <w:vAlign w:val="bottom"/>
          </w:tcPr>
          <w:p>
            <w:pPr>
              <w:pStyle w:val="TableContents"/>
              <w:spacing w:before="0" w:after="283"/>
              <w:jc w:val="left"/>
              <w:rPr/>
            </w:pPr>
            <w:r>
              <w:rPr/>
              <w:t xml:space="preserve">  </w:t>
            </w:r>
          </w:p>
        </w:tc>
        <w:tc>
          <w:tcPr>
            <w:tcW w:w="142" w:type="dxa"/>
            <w:tcBorders/>
            <w:shd w:fill="CCEEFF" w:val="clear"/>
            <w:vAlign w:val="bottom"/>
          </w:tcPr>
          <w:p>
            <w:pPr>
              <w:pStyle w:val="TableContents"/>
              <w:spacing w:before="0" w:after="283"/>
              <w:rPr/>
            </w:pPr>
            <w:r>
              <w:rPr/>
              <w:t xml:space="preserve">  </w:t>
            </w:r>
          </w:p>
        </w:tc>
        <w:tc>
          <w:tcPr>
            <w:tcW w:w="365" w:type="dxa"/>
            <w:tcBorders/>
            <w:shd w:fill="CCEEFF" w:val="clear"/>
            <w:vAlign w:val="bottom"/>
          </w:tcPr>
          <w:p>
            <w:pPr>
              <w:pStyle w:val="TableContents"/>
              <w:spacing w:before="0" w:after="283"/>
              <w:jc w:val="left"/>
              <w:rPr/>
            </w:pPr>
            <w:r>
              <w:rPr/>
              <w:t xml:space="preserve">$ </w:t>
            </w:r>
          </w:p>
        </w:tc>
        <w:tc>
          <w:tcPr>
            <w:tcW w:w="1044" w:type="dxa"/>
            <w:tcBorders/>
            <w:shd w:fill="CCEEFF" w:val="clear"/>
            <w:vAlign w:val="bottom"/>
          </w:tcPr>
          <w:p>
            <w:pPr>
              <w:pStyle w:val="TableContents"/>
              <w:spacing w:before="0" w:after="283"/>
              <w:jc w:val="right"/>
              <w:rPr/>
            </w:pPr>
            <w:r>
              <w:rPr/>
              <w:t xml:space="preserve">2.30 </w:t>
            </w:r>
          </w:p>
        </w:tc>
        <w:tc>
          <w:tcPr>
            <w:tcW w:w="157" w:type="dxa"/>
            <w:tcBorders/>
            <w:shd w:fill="CCEEFF" w:val="clear"/>
            <w:vAlign w:val="bottom"/>
          </w:tcPr>
          <w:p>
            <w:pPr>
              <w:pStyle w:val="TableContents"/>
              <w:spacing w:before="0" w:after="283"/>
              <w:jc w:val="left"/>
              <w:rPr/>
            </w:pPr>
            <w:r>
              <w:rPr/>
              <w:t xml:space="preserve">  </w:t>
            </w:r>
          </w:p>
        </w:tc>
      </w:tr>
      <w:tr>
        <w:trPr/>
        <w:tc>
          <w:tcPr>
            <w:tcW w:w="1816" w:type="dxa"/>
            <w:tcBorders/>
            <w:shd w:fill="FFFFFF" w:val="clear"/>
            <w:vAlign w:val="bottom"/>
          </w:tcPr>
          <w:p>
            <w:pPr>
              <w:pStyle w:val="TableContents"/>
              <w:spacing w:before="0" w:after="0"/>
              <w:ind w:left="200" w:right="0" w:hanging="200"/>
              <w:jc w:val="left"/>
              <w:rPr/>
            </w:pPr>
            <w:r>
              <w:rPr/>
              <w:t xml:space="preserve">  </w:t>
            </w:r>
          </w:p>
        </w:tc>
        <w:tc>
          <w:tcPr>
            <w:tcW w:w="113"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804"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488" w:type="dxa"/>
            <w:tcBorders/>
            <w:shd w:fill="FFFFFF" w:val="clear"/>
            <w:vAlign w:val="bottom"/>
          </w:tcPr>
          <w:p>
            <w:pPr>
              <w:pStyle w:val="TableContents"/>
              <w:spacing w:before="0" w:after="283"/>
              <w:jc w:val="left"/>
              <w:rPr/>
            </w:pPr>
            <w:r>
              <w:rPr/>
              <w:t xml:space="preserve">  </w:t>
            </w:r>
          </w:p>
        </w:tc>
        <w:tc>
          <w:tcPr>
            <w:tcW w:w="110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1"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796"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387"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85" w:type="dxa"/>
            <w:tcBorders>
              <w:right w:val="single" w:sz="2" w:space="0" w:color="000000"/>
            </w:tcBorders>
            <w:shd w:fill="FFFFFF" w:val="clear"/>
            <w:tcMar>
              <w:right w:w="40" w:type="dxa"/>
            </w:tcM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2" w:type="dxa"/>
            <w:tcBorders/>
            <w:shd w:fill="FFFFFF" w:val="clear"/>
            <w:vAlign w:val="bottom"/>
          </w:tcPr>
          <w:p>
            <w:pPr>
              <w:pStyle w:val="TableContents"/>
              <w:spacing w:before="0" w:after="283"/>
              <w:rPr/>
            </w:pPr>
            <w:r>
              <w:rPr/>
              <w:t xml:space="preserve">  </w:t>
            </w:r>
          </w:p>
        </w:tc>
        <w:tc>
          <w:tcPr>
            <w:tcW w:w="365" w:type="dxa"/>
            <w:tcBorders/>
            <w:shd w:fill="FFFFFF" w:val="clear"/>
            <w:vAlign w:val="bottom"/>
          </w:tcPr>
          <w:p>
            <w:pPr>
              <w:pStyle w:val="TableContents"/>
              <w:spacing w:before="0" w:after="283"/>
              <w:jc w:val="left"/>
              <w:rPr/>
            </w:pPr>
            <w:r>
              <w:rPr/>
              <w:t xml:space="preserve">  </w:t>
            </w:r>
          </w:p>
        </w:tc>
        <w:tc>
          <w:tcPr>
            <w:tcW w:w="1044"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subordinated units were converted to common units in 2004.</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2007 Capital Expansion Projects.</w:t>
      </w:r>
      <w:r>
        <w:rPr>
          <w:rFonts w:ascii="Times New Roman;Times" w:hAnsi="Times New Roman;Times"/>
          <w:color w:val="000000"/>
          <w:sz w:val="17"/>
          <w:highlight w:val="white"/>
        </w:rPr>
        <w:t xml:space="preserve">  Our 2007 projects include the following projects with the estimated cost for the entire year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919"/>
        <w:gridCol w:w="209"/>
        <w:gridCol w:w="204"/>
        <w:gridCol w:w="712"/>
        <w:gridCol w:w="161"/>
      </w:tblGrid>
      <w:tr>
        <w:trPr/>
        <w:tc>
          <w:tcPr>
            <w:tcW w:w="891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712"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919" w:type="dxa"/>
            <w:tcBorders/>
            <w:shd w:fill="FFFFFF" w:val="clear"/>
            <w:vAlign w:val="bottom"/>
          </w:tcPr>
          <w:p>
            <w:pPr>
              <w:pStyle w:val="TableContents"/>
              <w:spacing w:before="0" w:after="0"/>
              <w:jc w:val="left"/>
              <w:rPr>
                <w:bdr w:val="single" w:sz="2" w:space="1" w:color="000000"/>
              </w:rPr>
            </w:pPr>
            <w:r>
              <w:rPr>
                <w:b/>
                <w:bdr w:val="single" w:sz="2" w:space="1" w:color="000000"/>
              </w:rPr>
              <w:t>Projects</w:t>
            </w:r>
            <w:r>
              <w:rPr>
                <w:bdr w:val="single" w:sz="2" w:space="1" w:color="000000"/>
              </w:rPr>
              <w:t xml:space="preserve"> </w:t>
            </w:r>
          </w:p>
        </w:tc>
        <w:tc>
          <w:tcPr>
            <w:tcW w:w="209" w:type="dxa"/>
            <w:tcBorders/>
            <w:shd w:fill="FFFFFF" w:val="clear"/>
            <w:vAlign w:val="bottom"/>
          </w:tcPr>
          <w:p>
            <w:pPr>
              <w:pStyle w:val="TableContents"/>
              <w:spacing w:before="0" w:after="283"/>
              <w:jc w:val="center"/>
              <w:rPr/>
            </w:pPr>
            <w:r>
              <w:rPr/>
              <w:t xml:space="preserve">  </w:t>
            </w:r>
          </w:p>
        </w:tc>
        <w:tc>
          <w:tcPr>
            <w:tcW w:w="9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61" w:type="dxa"/>
            <w:tcBorders/>
            <w:shd w:fill="FFFFFF" w:val="clear"/>
            <w:vAlign w:val="bottom"/>
          </w:tcPr>
          <w:p>
            <w:pPr>
              <w:pStyle w:val="TableContents"/>
              <w:spacing w:before="0" w:after="283"/>
              <w:jc w:val="center"/>
              <w:rPr/>
            </w:pPr>
            <w:r>
              <w:rPr/>
              <w:t xml:space="preserve">  </w:t>
            </w:r>
          </w:p>
        </w:tc>
      </w:tr>
      <w:tr>
        <w:trPr/>
        <w:tc>
          <w:tcPr>
            <w:tcW w:w="8919" w:type="dxa"/>
            <w:tcBorders/>
            <w:shd w:fill="FFFFFF" w:val="clear"/>
            <w:vAlign w:val="center"/>
          </w:tcPr>
          <w:p>
            <w:pPr>
              <w:pStyle w:val="TableContents"/>
              <w:spacing w:before="0" w:after="283"/>
              <w:rPr/>
            </w:pPr>
            <w:r>
              <w:rPr/>
              <w:t xml:space="preserve">  </w:t>
            </w:r>
          </w:p>
        </w:tc>
        <w:tc>
          <w:tcPr>
            <w:tcW w:w="1286" w:type="dxa"/>
            <w:gridSpan w:val="4"/>
            <w:tcBorders/>
            <w:shd w:fill="FFFFFF" w:val="clear"/>
          </w:tcPr>
          <w:p>
            <w:pPr>
              <w:pStyle w:val="TableContents"/>
              <w:spacing w:before="0" w:after="283"/>
              <w:rPr>
                <w:sz w:val="4"/>
                <w:szCs w:val="4"/>
              </w:rPr>
            </w:pPr>
            <w:r>
              <w:rPr>
                <w:sz w:val="4"/>
                <w:szCs w:val="4"/>
              </w:rPr>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St. James, Louisiana Storage Facility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75.0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Salt Lake City Expansion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55.0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Patoka Tankage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40.0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Cheyenne Pipeline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34.0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Martinez Terminal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27.0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Cushing Tankage  Phase VI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27.0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Paulsboro Expansion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20.0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West Hynes Tanks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15.0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Kerrobert Tankage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14.0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Fort Laramie Tank Expansion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12.0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High Prairie Rail Terminal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11.0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0"/>
              <w:ind w:left="200" w:right="0" w:hanging="200"/>
              <w:jc w:val="left"/>
              <w:rPr>
                <w:sz w:val="17"/>
              </w:rPr>
            </w:pPr>
            <w:r>
              <w:rPr>
                <w:sz w:val="17"/>
              </w:rPr>
              <w:t xml:space="preserve">Pier 400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10.0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Other Projects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160.0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919" w:type="dxa"/>
            <w:tcBorders/>
            <w:shd w:fill="FFFFFF" w:val="clear"/>
            <w:vAlign w:val="bottom"/>
          </w:tcPr>
          <w:p>
            <w:pPr>
              <w:pStyle w:val="TableContents"/>
              <w:spacing w:before="0" w:after="0"/>
              <w:ind w:left="400" w:right="0" w:hanging="200"/>
              <w:jc w:val="left"/>
              <w:rPr>
                <w:sz w:val="17"/>
              </w:rPr>
            </w:pPr>
            <w:r>
              <w:rPr>
                <w:sz w:val="17"/>
              </w:rPr>
              <w:t xml:space="preserve">Subtotal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500.0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209"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712" w:type="dxa"/>
            <w:tcBorders/>
            <w:shd w:fill="CCEEFF" w:val="clear"/>
            <w:vAlign w:val="bottom"/>
          </w:tcPr>
          <w:p>
            <w:pPr>
              <w:pStyle w:val="TableContents"/>
              <w:spacing w:before="0" w:after="283"/>
              <w:jc w:val="right"/>
              <w:rPr/>
            </w:pPr>
            <w:r>
              <w:rPr/>
              <w:t xml:space="preserve">45.0 </w:t>
            </w:r>
          </w:p>
        </w:tc>
        <w:tc>
          <w:tcPr>
            <w:tcW w:w="161" w:type="dxa"/>
            <w:tcBorders/>
            <w:shd w:fill="CCEE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919"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209"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712" w:type="dxa"/>
            <w:tcBorders/>
            <w:shd w:fill="FFFFFF" w:val="clear"/>
            <w:vAlign w:val="bottom"/>
          </w:tcPr>
          <w:p>
            <w:pPr>
              <w:pStyle w:val="TableContents"/>
              <w:spacing w:before="0" w:after="283"/>
              <w:jc w:val="right"/>
              <w:rPr/>
            </w:pPr>
            <w:r>
              <w:rPr/>
              <w:t xml:space="preserve">545.0 </w:t>
            </w:r>
          </w:p>
        </w:tc>
        <w:tc>
          <w:tcPr>
            <w:tcW w:w="161" w:type="dxa"/>
            <w:tcBorders/>
            <w:shd w:fill="FFFFFF" w:val="clear"/>
            <w:vAlign w:val="bottom"/>
          </w:tcPr>
          <w:p>
            <w:pPr>
              <w:pStyle w:val="TableContents"/>
              <w:spacing w:before="0" w:after="283"/>
              <w:jc w:val="left"/>
              <w:rPr/>
            </w:pPr>
            <w:r>
              <w:rPr/>
              <w:t xml:space="preserve">  </w:t>
            </w:r>
          </w:p>
        </w:tc>
      </w:tr>
      <w:tr>
        <w:trPr/>
        <w:tc>
          <w:tcPr>
            <w:tcW w:w="8919"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we have sufficient liquid assets, cash flow from operations and borrowing capacity under our credit agreements to meet our financial commitments, debt service obligations, contingencies and anticipated capital expenditures. However, we are subject to business and operational risks that could adversely affect our cash flow. A material decrease in our cash flows would likely produce an adverse effect on our borrowing capacity.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Credit Facilities and Long-term Debt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November 2006, we amended our senior secured hedged inventory facility to increase the capacity under the facility from $800 million to $1.0 billion. We also extended the maturity of the senior secured hedged inventory facility to November 2007.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have several issues of senior debt outstanding that total $2.6 billion, excluding premium or discount, and range in size from $150 million to $600 million and mature at various dates through 2037. See Note 9 to our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November 2006, in conjunction with the Pacific merger, we assumed two issues of Senior Notes with an aggregate principal balance of $425 million. Interest payments on the $175 million of 6.25% Senior Notes are due on March 15 and September 15 of each year. The notes mature on September 15, 2015. Interest payments on the $250 million of 7.125% Senior Notes are due on June 15 and December 15 of each year. The notes mature on June 15, 2014. We have the option to redeem the notes, in whole or in part, at any time on or after the date noted at the following redemption prices: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89"/>
        <w:gridCol w:w="935"/>
        <w:gridCol w:w="309"/>
        <w:gridCol w:w="1050"/>
        <w:gridCol w:w="311"/>
        <w:gridCol w:w="935"/>
        <w:gridCol w:w="1565"/>
        <w:gridCol w:w="935"/>
        <w:gridCol w:w="309"/>
        <w:gridCol w:w="1050"/>
        <w:gridCol w:w="317"/>
      </w:tblGrid>
      <w:tr>
        <w:trPr/>
        <w:tc>
          <w:tcPr>
            <w:tcW w:w="2489" w:type="dxa"/>
            <w:tcBorders/>
            <w:shd w:fill="FFFFFF" w:val="clear"/>
            <w:vAlign w:val="bottom"/>
          </w:tcPr>
          <w:p>
            <w:pPr>
              <w:pStyle w:val="TableContents"/>
              <w:spacing w:before="0" w:after="283"/>
              <w:rPr/>
            </w:pPr>
            <w:r>
              <w:rPr/>
              <w:t> </w:t>
            </w:r>
          </w:p>
        </w:tc>
        <w:tc>
          <w:tcPr>
            <w:tcW w:w="93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rPr/>
            </w:pPr>
            <w:r>
              <w:rPr/>
              <w:t> </w:t>
            </w:r>
          </w:p>
        </w:tc>
        <w:tc>
          <w:tcPr>
            <w:tcW w:w="1050" w:type="dxa"/>
            <w:tcBorders/>
            <w:shd w:fill="FFFFFF" w:val="clear"/>
            <w:vAlign w:val="bottom"/>
          </w:tcPr>
          <w:p>
            <w:pPr>
              <w:pStyle w:val="TableContents"/>
              <w:spacing w:before="0" w:after="283"/>
              <w:rPr/>
            </w:pPr>
            <w:r>
              <w:rPr/>
              <w:t> </w:t>
            </w:r>
          </w:p>
        </w:tc>
        <w:tc>
          <w:tcPr>
            <w:tcW w:w="311" w:type="dxa"/>
            <w:tcBorders/>
            <w:shd w:fill="FFFFFF" w:val="clear"/>
            <w:vAlign w:val="bottom"/>
          </w:tcPr>
          <w:p>
            <w:pPr>
              <w:pStyle w:val="TableContents"/>
              <w:spacing w:before="0" w:after="283"/>
              <w:rPr/>
            </w:pPr>
            <w:r>
              <w:rPr/>
              <w:t> </w:t>
            </w:r>
          </w:p>
        </w:tc>
        <w:tc>
          <w:tcPr>
            <w:tcW w:w="935" w:type="dxa"/>
            <w:tcBorders/>
            <w:shd w:fill="FFFFFF" w:val="clear"/>
            <w:vAlign w:val="bottom"/>
          </w:tcPr>
          <w:p>
            <w:pPr>
              <w:pStyle w:val="TableContents"/>
              <w:spacing w:before="0" w:after="283"/>
              <w:rPr/>
            </w:pPr>
            <w:r>
              <w:rPr/>
              <w:t> </w:t>
            </w:r>
          </w:p>
        </w:tc>
        <w:tc>
          <w:tcPr>
            <w:tcW w:w="1565" w:type="dxa"/>
            <w:tcBorders/>
            <w:shd w:fill="FFFFFF" w:val="clear"/>
            <w:vAlign w:val="bottom"/>
          </w:tcPr>
          <w:p>
            <w:pPr>
              <w:pStyle w:val="TableContents"/>
              <w:spacing w:before="0" w:after="283"/>
              <w:rPr/>
            </w:pPr>
            <w:r>
              <w:rPr/>
              <w:t> </w:t>
            </w:r>
          </w:p>
        </w:tc>
        <w:tc>
          <w:tcPr>
            <w:tcW w:w="93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rPr/>
            </w:pPr>
            <w:r>
              <w:rPr/>
              <w:t> </w:t>
            </w:r>
          </w:p>
        </w:tc>
        <w:tc>
          <w:tcPr>
            <w:tcW w:w="105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r>
      <w:tr>
        <w:trPr/>
        <w:tc>
          <w:tcPr>
            <w:tcW w:w="5094" w:type="dxa"/>
            <w:gridSpan w:val="5"/>
            <w:tcBorders>
              <w:bottom w:val="single" w:sz="2" w:space="0" w:color="000000"/>
            </w:tcBorders>
            <w:shd w:fill="FFFFFF" w:val="clear"/>
            <w:tcMar>
              <w:bottom w:w="28" w:type="dxa"/>
            </w:tcMar>
            <w:vAlign w:val="bottom"/>
          </w:tcPr>
          <w:p>
            <w:pPr>
              <w:pStyle w:val="TableContents"/>
              <w:spacing w:before="0" w:after="283"/>
              <w:jc w:val="center"/>
              <w:rPr/>
            </w:pPr>
            <w:r>
              <w:rPr>
                <w:b/>
              </w:rPr>
              <w:t>$175 Million 6.25% Notes</w:t>
            </w:r>
            <w:r>
              <w:rPr/>
              <w:t xml:space="preserve"> </w:t>
            </w:r>
          </w:p>
        </w:tc>
        <w:tc>
          <w:tcPr>
            <w:tcW w:w="935" w:type="dxa"/>
            <w:tcBorders/>
            <w:shd w:fill="FFFFFF" w:val="clear"/>
            <w:vAlign w:val="bottom"/>
          </w:tcPr>
          <w:p>
            <w:pPr>
              <w:pStyle w:val="TableContents"/>
              <w:spacing w:before="0" w:after="283"/>
              <w:jc w:val="center"/>
              <w:rPr/>
            </w:pPr>
            <w:r>
              <w:rPr/>
              <w:t xml:space="preserve">  </w:t>
            </w:r>
          </w:p>
        </w:tc>
        <w:tc>
          <w:tcPr>
            <w:tcW w:w="4176" w:type="dxa"/>
            <w:gridSpan w:val="5"/>
            <w:tcBorders>
              <w:bottom w:val="single" w:sz="2" w:space="0" w:color="000000"/>
            </w:tcBorders>
            <w:shd w:fill="FFFFFF" w:val="clear"/>
            <w:tcMar>
              <w:bottom w:w="28" w:type="dxa"/>
            </w:tcMar>
            <w:vAlign w:val="bottom"/>
          </w:tcPr>
          <w:p>
            <w:pPr>
              <w:pStyle w:val="TableContents"/>
              <w:spacing w:before="0" w:after="283"/>
              <w:jc w:val="center"/>
              <w:rPr/>
            </w:pPr>
            <w:r>
              <w:rPr>
                <w:b/>
              </w:rPr>
              <w:t>$250 Million 7.125% Notes</w:t>
            </w:r>
            <w:r>
              <w:rPr/>
              <w:t xml:space="preserve"> </w:t>
            </w:r>
          </w:p>
        </w:tc>
      </w:tr>
      <w:tr>
        <w:trPr/>
        <w:tc>
          <w:tcPr>
            <w:tcW w:w="2489" w:type="dxa"/>
            <w:tcBorders>
              <w:bottom w:val="single" w:sz="2" w:space="0" w:color="000000"/>
            </w:tcBorders>
            <w:shd w:fill="FFFFFF" w:val="clear"/>
            <w:tcMar>
              <w:bottom w:w="28" w:type="dxa"/>
            </w:tcMar>
            <w:vAlign w:val="bottom"/>
          </w:tcPr>
          <w:p>
            <w:pPr>
              <w:pStyle w:val="TableContents"/>
              <w:spacing w:before="0" w:after="283"/>
              <w:jc w:val="center"/>
              <w:rPr/>
            </w:pPr>
            <w:r>
              <w:rPr>
                <w:b/>
              </w:rPr>
              <w:t>Year</w:t>
            </w:r>
            <w:r>
              <w:rPr/>
              <w:t xml:space="preserve"> </w:t>
            </w:r>
          </w:p>
        </w:tc>
        <w:tc>
          <w:tcPr>
            <w:tcW w:w="935" w:type="dxa"/>
            <w:tcBorders/>
            <w:shd w:fill="FFFFFF" w:val="clear"/>
            <w:vAlign w:val="bottom"/>
          </w:tcPr>
          <w:p>
            <w:pPr>
              <w:pStyle w:val="TableContents"/>
              <w:spacing w:before="0" w:after="283"/>
              <w:jc w:val="center"/>
              <w:rPr/>
            </w:pPr>
            <w:r>
              <w:rPr/>
              <w:t xml:space="preserve">  </w:t>
            </w:r>
          </w:p>
        </w:tc>
        <w:tc>
          <w:tcPr>
            <w:tcW w:w="167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Percentage</w:t>
            </w:r>
            <w:r>
              <w:rPr/>
              <w:t xml:space="preserve"> </w:t>
            </w:r>
          </w:p>
        </w:tc>
        <w:tc>
          <w:tcPr>
            <w:tcW w:w="935" w:type="dxa"/>
            <w:tcBorders/>
            <w:shd w:fill="FFFFFF" w:val="clear"/>
            <w:vAlign w:val="bottom"/>
          </w:tcPr>
          <w:p>
            <w:pPr>
              <w:pStyle w:val="TableContents"/>
              <w:spacing w:before="0" w:after="283"/>
              <w:jc w:val="center"/>
              <w:rPr/>
            </w:pPr>
            <w:r>
              <w:rPr/>
              <w:t xml:space="preserve">  </w:t>
            </w:r>
          </w:p>
        </w:tc>
        <w:tc>
          <w:tcPr>
            <w:tcW w:w="1565" w:type="dxa"/>
            <w:tcBorders>
              <w:bottom w:val="single" w:sz="2" w:space="0" w:color="000000"/>
            </w:tcBorders>
            <w:shd w:fill="FFFFFF" w:val="clear"/>
            <w:tcMar>
              <w:bottom w:w="28" w:type="dxa"/>
            </w:tcMar>
            <w:vAlign w:val="bottom"/>
          </w:tcPr>
          <w:p>
            <w:pPr>
              <w:pStyle w:val="TableContents"/>
              <w:spacing w:before="0" w:after="283"/>
              <w:jc w:val="center"/>
              <w:rPr/>
            </w:pPr>
            <w:r>
              <w:rPr>
                <w:b/>
              </w:rPr>
              <w:t>Year</w:t>
            </w:r>
            <w:r>
              <w:rPr/>
              <w:t xml:space="preserve"> </w:t>
            </w:r>
          </w:p>
        </w:tc>
        <w:tc>
          <w:tcPr>
            <w:tcW w:w="935" w:type="dxa"/>
            <w:tcBorders/>
            <w:shd w:fill="FFFFFF" w:val="clear"/>
            <w:vAlign w:val="bottom"/>
          </w:tcPr>
          <w:p>
            <w:pPr>
              <w:pStyle w:val="TableContents"/>
              <w:spacing w:before="0" w:after="283"/>
              <w:jc w:val="center"/>
              <w:rPr/>
            </w:pPr>
            <w:r>
              <w:rPr/>
              <w:t xml:space="preserve">  </w:t>
            </w:r>
          </w:p>
        </w:tc>
        <w:tc>
          <w:tcPr>
            <w:tcW w:w="1676"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Percentage</w:t>
            </w:r>
            <w:r>
              <w:rPr/>
              <w:t xml:space="preserve"> </w:t>
            </w:r>
          </w:p>
        </w:tc>
      </w:tr>
      <w:tr>
        <w:trPr/>
        <w:tc>
          <w:tcPr>
            <w:tcW w:w="2489" w:type="dxa"/>
            <w:tcBorders/>
            <w:shd w:fill="FFFFFF" w:val="clear"/>
            <w:vAlign w:val="center"/>
          </w:tcPr>
          <w:p>
            <w:pPr>
              <w:pStyle w:val="TableContents"/>
              <w:spacing w:before="0" w:after="283"/>
              <w:rPr/>
            </w:pPr>
            <w:r>
              <w:rPr/>
              <w:t xml:space="preserve">  </w:t>
            </w:r>
          </w:p>
        </w:tc>
        <w:tc>
          <w:tcPr>
            <w:tcW w:w="7716" w:type="dxa"/>
            <w:gridSpan w:val="10"/>
            <w:tcBorders/>
            <w:shd w:fill="FFFFFF" w:val="clear"/>
          </w:tcPr>
          <w:p>
            <w:pPr>
              <w:pStyle w:val="TableContents"/>
              <w:spacing w:before="0" w:after="283"/>
              <w:rPr>
                <w:sz w:val="4"/>
                <w:szCs w:val="4"/>
              </w:rPr>
            </w:pPr>
            <w:r>
              <w:rPr>
                <w:sz w:val="4"/>
                <w:szCs w:val="4"/>
              </w:rPr>
            </w:r>
          </w:p>
        </w:tc>
      </w:tr>
      <w:tr>
        <w:trPr/>
        <w:tc>
          <w:tcPr>
            <w:tcW w:w="2489" w:type="dxa"/>
            <w:tcBorders/>
            <w:shd w:fill="CCEEFF" w:val="clear"/>
            <w:vAlign w:val="bottom"/>
          </w:tcPr>
          <w:p>
            <w:pPr>
              <w:pStyle w:val="TableContents"/>
              <w:spacing w:before="0" w:after="283"/>
              <w:jc w:val="center"/>
              <w:rPr>
                <w:sz w:val="17"/>
              </w:rPr>
            </w:pPr>
            <w:r>
              <w:rPr>
                <w:sz w:val="17"/>
              </w:rPr>
              <w:t xml:space="preserve">September 2010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103.125% </w:t>
            </w:r>
          </w:p>
        </w:tc>
        <w:tc>
          <w:tcPr>
            <w:tcW w:w="311"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pPr>
            <w:r>
              <w:rPr/>
              <w:t xml:space="preserve">  </w:t>
            </w:r>
          </w:p>
        </w:tc>
        <w:tc>
          <w:tcPr>
            <w:tcW w:w="1565" w:type="dxa"/>
            <w:tcBorders/>
            <w:shd w:fill="CCEEFF" w:val="clear"/>
            <w:vAlign w:val="bottom"/>
          </w:tcPr>
          <w:p>
            <w:pPr>
              <w:pStyle w:val="TableContents"/>
              <w:spacing w:before="0" w:after="283"/>
              <w:jc w:val="center"/>
              <w:rPr>
                <w:sz w:val="17"/>
              </w:rPr>
            </w:pPr>
            <w:r>
              <w:rPr>
                <w:sz w:val="17"/>
              </w:rPr>
              <w:t xml:space="preserve">June 2009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103.563% </w:t>
            </w:r>
          </w:p>
        </w:tc>
        <w:tc>
          <w:tcPr>
            <w:tcW w:w="317" w:type="dxa"/>
            <w:tcBorders/>
            <w:shd w:fill="CCEEFF" w:val="clear"/>
            <w:vAlign w:val="bottom"/>
          </w:tcPr>
          <w:p>
            <w:pPr>
              <w:pStyle w:val="TableContents"/>
              <w:spacing w:before="0" w:after="283"/>
              <w:rPr>
                <w:sz w:val="4"/>
                <w:szCs w:val="4"/>
              </w:rPr>
            </w:pPr>
            <w:r>
              <w:rPr>
                <w:sz w:val="4"/>
                <w:szCs w:val="4"/>
              </w:rPr>
            </w:r>
          </w:p>
        </w:tc>
      </w:tr>
      <w:tr>
        <w:trPr/>
        <w:tc>
          <w:tcPr>
            <w:tcW w:w="2489" w:type="dxa"/>
            <w:tcBorders/>
            <w:shd w:fill="FFFFFF" w:val="clear"/>
            <w:vAlign w:val="bottom"/>
          </w:tcPr>
          <w:p>
            <w:pPr>
              <w:pStyle w:val="TableContents"/>
              <w:spacing w:before="0" w:after="0"/>
              <w:ind w:left="200" w:right="0" w:hanging="200"/>
              <w:jc w:val="center"/>
              <w:rPr>
                <w:sz w:val="17"/>
              </w:rPr>
            </w:pPr>
            <w:r>
              <w:rPr>
                <w:sz w:val="17"/>
              </w:rPr>
              <w:t xml:space="preserve">September 2011 </w:t>
            </w:r>
          </w:p>
        </w:tc>
        <w:tc>
          <w:tcPr>
            <w:tcW w:w="93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rPr>
                <w:sz w:val="4"/>
                <w:szCs w:val="4"/>
              </w:rPr>
            </w:pPr>
            <w:r>
              <w:rPr>
                <w:sz w:val="4"/>
                <w:szCs w:val="4"/>
              </w:rPr>
            </w:r>
          </w:p>
        </w:tc>
        <w:tc>
          <w:tcPr>
            <w:tcW w:w="1050" w:type="dxa"/>
            <w:tcBorders/>
            <w:shd w:fill="FFFFFF" w:val="clear"/>
            <w:vAlign w:val="bottom"/>
          </w:tcPr>
          <w:p>
            <w:pPr>
              <w:pStyle w:val="TableContents"/>
              <w:spacing w:before="0" w:after="283"/>
              <w:jc w:val="left"/>
              <w:rPr>
                <w:sz w:val="17"/>
              </w:rPr>
            </w:pPr>
            <w:r>
              <w:rPr>
                <w:sz w:val="17"/>
              </w:rPr>
              <w:t xml:space="preserve">102.083 </w:t>
            </w:r>
          </w:p>
        </w:tc>
        <w:tc>
          <w:tcPr>
            <w:tcW w:w="311" w:type="dxa"/>
            <w:tcBorders/>
            <w:shd w:fill="FFFFFF" w:val="clear"/>
            <w:vAlign w:val="bottom"/>
          </w:tcPr>
          <w:p>
            <w:pPr>
              <w:pStyle w:val="TableContents"/>
              <w:spacing w:before="0" w:after="283"/>
              <w:rPr>
                <w:sz w:val="4"/>
                <w:szCs w:val="4"/>
              </w:rPr>
            </w:pPr>
            <w:r>
              <w:rPr>
                <w:sz w:val="4"/>
                <w:szCs w:val="4"/>
              </w:rPr>
            </w:r>
          </w:p>
        </w:tc>
        <w:tc>
          <w:tcPr>
            <w:tcW w:w="935" w:type="dxa"/>
            <w:tcBorders/>
            <w:shd w:fill="FFFFFF" w:val="clear"/>
            <w:vAlign w:val="bottom"/>
          </w:tcPr>
          <w:p>
            <w:pPr>
              <w:pStyle w:val="TableContents"/>
              <w:spacing w:before="0" w:after="283"/>
              <w:rPr/>
            </w:pPr>
            <w:r>
              <w:rPr/>
              <w:t xml:space="preserve">  </w:t>
            </w:r>
          </w:p>
        </w:tc>
        <w:tc>
          <w:tcPr>
            <w:tcW w:w="1565" w:type="dxa"/>
            <w:tcBorders/>
            <w:shd w:fill="FFFFFF" w:val="clear"/>
            <w:vAlign w:val="bottom"/>
          </w:tcPr>
          <w:p>
            <w:pPr>
              <w:pStyle w:val="TableContents"/>
              <w:spacing w:before="0" w:after="283"/>
              <w:jc w:val="center"/>
              <w:rPr>
                <w:sz w:val="17"/>
              </w:rPr>
            </w:pPr>
            <w:r>
              <w:rPr>
                <w:sz w:val="17"/>
              </w:rPr>
              <w:t xml:space="preserve">June 2010 </w:t>
            </w:r>
          </w:p>
        </w:tc>
        <w:tc>
          <w:tcPr>
            <w:tcW w:w="93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rPr>
                <w:sz w:val="4"/>
                <w:szCs w:val="4"/>
              </w:rPr>
            </w:pPr>
            <w:r>
              <w:rPr>
                <w:sz w:val="4"/>
                <w:szCs w:val="4"/>
              </w:rPr>
            </w:r>
          </w:p>
        </w:tc>
        <w:tc>
          <w:tcPr>
            <w:tcW w:w="1050" w:type="dxa"/>
            <w:tcBorders/>
            <w:shd w:fill="FFFFFF" w:val="clear"/>
            <w:vAlign w:val="bottom"/>
          </w:tcPr>
          <w:p>
            <w:pPr>
              <w:pStyle w:val="TableContents"/>
              <w:spacing w:before="0" w:after="283"/>
              <w:jc w:val="left"/>
              <w:rPr>
                <w:sz w:val="17"/>
              </w:rPr>
            </w:pPr>
            <w:r>
              <w:rPr>
                <w:sz w:val="17"/>
              </w:rPr>
              <w:t xml:space="preserve">102.375 </w:t>
            </w:r>
          </w:p>
        </w:tc>
        <w:tc>
          <w:tcPr>
            <w:tcW w:w="317" w:type="dxa"/>
            <w:tcBorders/>
            <w:shd w:fill="FFFFFF" w:val="clear"/>
            <w:vAlign w:val="bottom"/>
          </w:tcPr>
          <w:p>
            <w:pPr>
              <w:pStyle w:val="TableContents"/>
              <w:spacing w:before="0" w:after="283"/>
              <w:rPr>
                <w:sz w:val="4"/>
                <w:szCs w:val="4"/>
              </w:rPr>
            </w:pPr>
            <w:r>
              <w:rPr>
                <w:sz w:val="4"/>
                <w:szCs w:val="4"/>
              </w:rPr>
            </w:r>
          </w:p>
        </w:tc>
      </w:tr>
      <w:tr>
        <w:trPr/>
        <w:tc>
          <w:tcPr>
            <w:tcW w:w="2489" w:type="dxa"/>
            <w:tcBorders/>
            <w:shd w:fill="CCEEFF" w:val="clear"/>
            <w:vAlign w:val="bottom"/>
          </w:tcPr>
          <w:p>
            <w:pPr>
              <w:pStyle w:val="TableContents"/>
              <w:spacing w:before="0" w:after="0"/>
              <w:ind w:left="200" w:right="0" w:hanging="200"/>
              <w:jc w:val="center"/>
              <w:rPr>
                <w:sz w:val="17"/>
              </w:rPr>
            </w:pPr>
            <w:r>
              <w:rPr>
                <w:sz w:val="17"/>
              </w:rPr>
              <w:t xml:space="preserve">September 2012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101.042 </w:t>
            </w:r>
          </w:p>
        </w:tc>
        <w:tc>
          <w:tcPr>
            <w:tcW w:w="311"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pPr>
            <w:r>
              <w:rPr/>
              <w:t xml:space="preserve">  </w:t>
            </w:r>
          </w:p>
        </w:tc>
        <w:tc>
          <w:tcPr>
            <w:tcW w:w="1565" w:type="dxa"/>
            <w:tcBorders/>
            <w:shd w:fill="CCEEFF" w:val="clear"/>
            <w:vAlign w:val="bottom"/>
          </w:tcPr>
          <w:p>
            <w:pPr>
              <w:pStyle w:val="TableContents"/>
              <w:spacing w:before="0" w:after="283"/>
              <w:jc w:val="center"/>
              <w:rPr>
                <w:sz w:val="17"/>
              </w:rPr>
            </w:pPr>
            <w:r>
              <w:rPr>
                <w:sz w:val="17"/>
              </w:rPr>
              <w:t xml:space="preserve">June 2011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101.188 </w:t>
            </w:r>
          </w:p>
        </w:tc>
        <w:tc>
          <w:tcPr>
            <w:tcW w:w="317" w:type="dxa"/>
            <w:tcBorders/>
            <w:shd w:fill="CCEEFF" w:val="clear"/>
            <w:vAlign w:val="bottom"/>
          </w:tcPr>
          <w:p>
            <w:pPr>
              <w:pStyle w:val="TableContents"/>
              <w:spacing w:before="0" w:after="283"/>
              <w:rPr>
                <w:sz w:val="4"/>
                <w:szCs w:val="4"/>
              </w:rPr>
            </w:pPr>
            <w:r>
              <w:rPr>
                <w:sz w:val="4"/>
                <w:szCs w:val="4"/>
              </w:rPr>
            </w:r>
          </w:p>
        </w:tc>
      </w:tr>
      <w:tr>
        <w:trPr/>
        <w:tc>
          <w:tcPr>
            <w:tcW w:w="2489" w:type="dxa"/>
            <w:tcBorders/>
            <w:shd w:fill="FFFFFF" w:val="clear"/>
            <w:vAlign w:val="bottom"/>
          </w:tcPr>
          <w:p>
            <w:pPr>
              <w:pStyle w:val="TableContents"/>
              <w:spacing w:before="0" w:after="0"/>
              <w:ind w:left="200" w:right="0" w:hanging="200"/>
              <w:jc w:val="center"/>
              <w:rPr>
                <w:sz w:val="17"/>
              </w:rPr>
            </w:pPr>
            <w:r>
              <w:rPr>
                <w:sz w:val="17"/>
              </w:rPr>
              <w:t xml:space="preserve">September 2013 and </w:t>
            </w:r>
          </w:p>
        </w:tc>
        <w:tc>
          <w:tcPr>
            <w:tcW w:w="93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rPr>
                <w:sz w:val="4"/>
                <w:szCs w:val="4"/>
              </w:rPr>
            </w:pPr>
            <w:r>
              <w:rPr>
                <w:sz w:val="4"/>
                <w:szCs w:val="4"/>
              </w:rPr>
            </w:r>
          </w:p>
        </w:tc>
        <w:tc>
          <w:tcPr>
            <w:tcW w:w="1050" w:type="dxa"/>
            <w:tcBorders/>
            <w:shd w:fill="FFFFFF" w:val="clear"/>
            <w:vAlign w:val="bottom"/>
          </w:tcPr>
          <w:p>
            <w:pPr>
              <w:pStyle w:val="TableContents"/>
              <w:spacing w:before="0" w:after="283"/>
              <w:jc w:val="left"/>
              <w:rPr/>
            </w:pPr>
            <w:r>
              <w:rPr/>
              <w:t xml:space="preserve">  </w:t>
            </w:r>
          </w:p>
        </w:tc>
        <w:tc>
          <w:tcPr>
            <w:tcW w:w="311" w:type="dxa"/>
            <w:tcBorders/>
            <w:shd w:fill="FFFFFF" w:val="clear"/>
            <w:vAlign w:val="bottom"/>
          </w:tcPr>
          <w:p>
            <w:pPr>
              <w:pStyle w:val="TableContents"/>
              <w:spacing w:before="0" w:after="283"/>
              <w:rPr>
                <w:sz w:val="4"/>
                <w:szCs w:val="4"/>
              </w:rPr>
            </w:pPr>
            <w:r>
              <w:rPr>
                <w:sz w:val="4"/>
                <w:szCs w:val="4"/>
              </w:rPr>
            </w:r>
          </w:p>
        </w:tc>
        <w:tc>
          <w:tcPr>
            <w:tcW w:w="935" w:type="dxa"/>
            <w:tcBorders/>
            <w:shd w:fill="FFFFFF" w:val="clear"/>
            <w:vAlign w:val="bottom"/>
          </w:tcPr>
          <w:p>
            <w:pPr>
              <w:pStyle w:val="TableContents"/>
              <w:spacing w:before="0" w:after="283"/>
              <w:rPr/>
            </w:pPr>
            <w:r>
              <w:rPr/>
              <w:t xml:space="preserve">  </w:t>
            </w:r>
          </w:p>
        </w:tc>
        <w:tc>
          <w:tcPr>
            <w:tcW w:w="1565" w:type="dxa"/>
            <w:tcBorders/>
            <w:shd w:fill="FFFFFF" w:val="clear"/>
            <w:vAlign w:val="bottom"/>
          </w:tcPr>
          <w:p>
            <w:pPr>
              <w:pStyle w:val="TableContents"/>
              <w:spacing w:before="0" w:after="283"/>
              <w:jc w:val="center"/>
              <w:rPr>
                <w:sz w:val="17"/>
              </w:rPr>
            </w:pPr>
            <w:r>
              <w:rPr>
                <w:sz w:val="17"/>
              </w:rPr>
              <w:t xml:space="preserve">June 2012 and </w:t>
            </w:r>
          </w:p>
        </w:tc>
        <w:tc>
          <w:tcPr>
            <w:tcW w:w="93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rPr>
                <w:sz w:val="4"/>
                <w:szCs w:val="4"/>
              </w:rPr>
            </w:pPr>
            <w:r>
              <w:rPr>
                <w:sz w:val="4"/>
                <w:szCs w:val="4"/>
              </w:rPr>
            </w:r>
          </w:p>
        </w:tc>
        <w:tc>
          <w:tcPr>
            <w:tcW w:w="1050" w:type="dxa"/>
            <w:tcBorders/>
            <w:shd w:fill="FFFFFF" w:val="clear"/>
            <w:vAlign w:val="bottom"/>
          </w:tcPr>
          <w:p>
            <w:pPr>
              <w:pStyle w:val="TableContents"/>
              <w:spacing w:before="0" w:after="283"/>
              <w:jc w:val="left"/>
              <w:rPr/>
            </w:pPr>
            <w:r>
              <w:rPr/>
              <w:t xml:space="preserve">  </w:t>
            </w:r>
          </w:p>
        </w:tc>
        <w:tc>
          <w:tcPr>
            <w:tcW w:w="317" w:type="dxa"/>
            <w:tcBorders/>
            <w:shd w:fill="FFFFFF" w:val="clear"/>
            <w:vAlign w:val="bottom"/>
          </w:tcPr>
          <w:p>
            <w:pPr>
              <w:pStyle w:val="TableContents"/>
              <w:spacing w:before="0" w:after="283"/>
              <w:rPr>
                <w:sz w:val="4"/>
                <w:szCs w:val="4"/>
              </w:rPr>
            </w:pPr>
            <w:r>
              <w:rPr>
                <w:sz w:val="4"/>
                <w:szCs w:val="4"/>
              </w:rPr>
            </w:r>
          </w:p>
        </w:tc>
      </w:tr>
      <w:tr>
        <w:trPr/>
        <w:tc>
          <w:tcPr>
            <w:tcW w:w="2489" w:type="dxa"/>
            <w:tcBorders/>
            <w:shd w:fill="CCEEFF" w:val="clear"/>
            <w:vAlign w:val="bottom"/>
          </w:tcPr>
          <w:p>
            <w:pPr>
              <w:pStyle w:val="TableContents"/>
              <w:spacing w:before="0" w:after="0"/>
              <w:ind w:left="200" w:right="0" w:hanging="200"/>
              <w:jc w:val="center"/>
              <w:rPr>
                <w:sz w:val="17"/>
              </w:rPr>
            </w:pPr>
            <w:r>
              <w:rPr>
                <w:sz w:val="17"/>
              </w:rPr>
              <w:t xml:space="preserve">thereafter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100.000 </w:t>
            </w:r>
          </w:p>
        </w:tc>
        <w:tc>
          <w:tcPr>
            <w:tcW w:w="311"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pPr>
            <w:r>
              <w:rPr/>
              <w:t xml:space="preserve">  </w:t>
            </w:r>
          </w:p>
        </w:tc>
        <w:tc>
          <w:tcPr>
            <w:tcW w:w="1565" w:type="dxa"/>
            <w:tcBorders/>
            <w:shd w:fill="CCEEFF" w:val="clear"/>
            <w:vAlign w:val="bottom"/>
          </w:tcPr>
          <w:p>
            <w:pPr>
              <w:pStyle w:val="TableContents"/>
              <w:spacing w:before="0" w:after="283"/>
              <w:jc w:val="center"/>
              <w:rPr>
                <w:sz w:val="17"/>
              </w:rPr>
            </w:pPr>
            <w:r>
              <w:rPr>
                <w:sz w:val="17"/>
              </w:rPr>
              <w:t xml:space="preserve">thereafter </w:t>
            </w:r>
          </w:p>
        </w:tc>
        <w:tc>
          <w:tcPr>
            <w:tcW w:w="93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rPr>
                <w:sz w:val="4"/>
                <w:szCs w:val="4"/>
              </w:rPr>
            </w:pPr>
            <w:r>
              <w:rPr>
                <w:sz w:val="4"/>
                <w:szCs w:val="4"/>
              </w:rPr>
            </w:r>
          </w:p>
        </w:tc>
        <w:tc>
          <w:tcPr>
            <w:tcW w:w="1050" w:type="dxa"/>
            <w:tcBorders/>
            <w:shd w:fill="CCEEFF" w:val="clear"/>
            <w:vAlign w:val="bottom"/>
          </w:tcPr>
          <w:p>
            <w:pPr>
              <w:pStyle w:val="TableContents"/>
              <w:spacing w:before="0" w:after="283"/>
              <w:jc w:val="left"/>
              <w:rPr>
                <w:sz w:val="17"/>
              </w:rPr>
            </w:pPr>
            <w:r>
              <w:rPr>
                <w:sz w:val="17"/>
              </w:rPr>
              <w:t xml:space="preserve">100.000 </w:t>
            </w:r>
          </w:p>
        </w:tc>
        <w:tc>
          <w:tcPr>
            <w:tcW w:w="317" w:type="dxa"/>
            <w:tcBorders/>
            <w:shd w:fill="CCEEFF" w:val="clear"/>
            <w:vAlign w:val="bottom"/>
          </w:tcPr>
          <w:p>
            <w:pPr>
              <w:pStyle w:val="TableContents"/>
              <w:spacing w:before="0" w:after="283"/>
              <w:rPr>
                <w:sz w:val="4"/>
                <w:szCs w:val="4"/>
              </w:rPr>
            </w:pPr>
            <w:r>
              <w:rPr>
                <w:sz w:val="4"/>
                <w:szCs w:val="4"/>
              </w:rPr>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October 2006, we issued $400 million of 6.125% Senior Notes due 2017 and $600 million of 6.65% Senior Notes due 2037. The notes were sold at 99.56% and 99.17% of face value, respectively. Interest payments are due on January 15 and July 15 of each year. We used the proceeds to fund the cash portion of our merger with Pacific. Net proceeds in excess of the cash portion of the merger consideration were used to repay amounts outstanding under our credit facilities and for general partnership purposes. In anticipation of the issuance of these notes, we had entered into $200 million notional principal amount of U.S. treasury locks to hedge the treasury rate portion of the interest rate on a portion of the notes. The treasury locks were entered into at an interest rate of 4.97%.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May 2006, we completed the sale of $250 million aggregate principal amount of 6.70% Senior Notes due 2036. The notes were sold at 99.82% of face value. Interest payments are due on May 15 and November 15 of each year. We used the proceeds to repay amounts outstanding under our credit facilities and for general partnership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our notes are fully and unconditionally guaranteed, jointly and severally, by all of our existing 100% owned subsidiaries, except for two subsidiaries with assets regulated by the California Public Utility Commission, and certain minor subsidiaries. See Note 12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credit agreements and the indentures governing our senior notes contain cross default provisions. Our credit agreements prohibit distributions on, or purchases or redemptions of, units if any default or event of default is continuing. In addition, the agreements contain various covenants limiting our ability to,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9"/>
        <w:gridCol w:w="9534"/>
      </w:tblGrid>
      <w:tr>
        <w:trPr/>
        <w:tc>
          <w:tcPr>
            <w:tcW w:w="40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incur indebtedness if certain financial ratios are not maintained;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grant liens;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engage in transactions with affiliates;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enter into sale-leaseback transactions;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sell substantially all of our assets or enter into a merger or consolidation.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credit facility treats a change of control as an event of default and also requires us to maintain a debt coverage ratio that will not be greater than 4.75 to 1.0 on all outstanding debt and 5.25 to 1.0 on outstanding debt during an acquisition period (generally, the period consisting of three fiscal quarters following an acquisition greater than $50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covenant compliance purposes, letters of credit and borrowings to fund hedged inventory and margin requirements are excluded when calculating the debt coverage ratio.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202"/>
        <w:gridCol w:w="10003"/>
      </w:tblGrid>
      <w:tr>
        <w:trPr/>
        <w:tc>
          <w:tcPr>
            <w:tcW w:w="202" w:type="dxa"/>
            <w:tcBorders/>
            <w:shd w:fill="FFFFFF" w:val="clear"/>
            <w:vAlign w:val="center"/>
          </w:tcPr>
          <w:p>
            <w:pPr>
              <w:pStyle w:val="TableContents"/>
              <w:spacing w:before="0" w:after="283"/>
              <w:rPr>
                <w:sz w:val="4"/>
                <w:szCs w:val="4"/>
              </w:rPr>
            </w:pPr>
            <w:r>
              <w:rPr>
                <w:sz w:val="4"/>
                <w:szCs w:val="4"/>
              </w:rPr>
            </w:r>
          </w:p>
        </w:tc>
        <w:tc>
          <w:tcPr>
            <w:tcW w:w="10003" w:type="dxa"/>
            <w:tcBorders/>
            <w:shd w:fill="FFFFFF" w:val="clear"/>
            <w:vAlign w:val="cente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rPr/>
            </w:pPr>
            <w:r>
              <w:rPr/>
              <w:t xml:space="preserve">   </w:t>
            </w:r>
          </w:p>
        </w:tc>
        <w:tc>
          <w:tcPr>
            <w:tcW w:w="10003" w:type="dxa"/>
            <w:tcBorders/>
            <w:shd w:fill="FFFFFF" w:val="clear"/>
          </w:tcPr>
          <w:p>
            <w:pPr>
              <w:pStyle w:val="TableContents"/>
              <w:spacing w:before="0" w:after="283"/>
              <w:rPr/>
            </w:pPr>
            <w:r>
              <w:rPr>
                <w:rFonts w:ascii="Times New Roman;Times" w:hAnsi="Times New Roman;Times"/>
                <w:b/>
                <w:i/>
              </w:rPr>
              <w:t>Contingencies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See Note 11 to our Consolidated Financial Statements.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202"/>
        <w:gridCol w:w="10003"/>
      </w:tblGrid>
      <w:tr>
        <w:trPr/>
        <w:tc>
          <w:tcPr>
            <w:tcW w:w="202" w:type="dxa"/>
            <w:tcBorders/>
            <w:shd w:fill="FFFFFF" w:val="clear"/>
            <w:vAlign w:val="center"/>
          </w:tcPr>
          <w:p>
            <w:pPr>
              <w:pStyle w:val="TableContents"/>
              <w:spacing w:before="0" w:after="283"/>
              <w:rPr>
                <w:sz w:val="4"/>
                <w:szCs w:val="4"/>
              </w:rPr>
            </w:pPr>
            <w:r>
              <w:rPr>
                <w:sz w:val="4"/>
                <w:szCs w:val="4"/>
              </w:rPr>
            </w:r>
          </w:p>
        </w:tc>
        <w:tc>
          <w:tcPr>
            <w:tcW w:w="10003" w:type="dxa"/>
            <w:tcBorders/>
            <w:shd w:fill="FFFFFF" w:val="clear"/>
            <w:vAlign w:val="center"/>
          </w:tcPr>
          <w:p>
            <w:pPr>
              <w:pStyle w:val="TableContents"/>
              <w:spacing w:before="0" w:after="283"/>
              <w:rPr>
                <w:sz w:val="4"/>
                <w:szCs w:val="4"/>
              </w:rPr>
            </w:pPr>
            <w:r>
              <w:rPr>
                <w:sz w:val="4"/>
                <w:szCs w:val="4"/>
              </w:rPr>
            </w:r>
          </w:p>
        </w:tc>
      </w:tr>
      <w:tr>
        <w:trPr/>
        <w:tc>
          <w:tcPr>
            <w:tcW w:w="202" w:type="dxa"/>
            <w:tcBorders/>
            <w:shd w:fill="FFFFFF" w:val="clear"/>
          </w:tcPr>
          <w:p>
            <w:pPr>
              <w:pStyle w:val="TableContents"/>
              <w:spacing w:before="0" w:after="283"/>
              <w:rPr/>
            </w:pPr>
            <w:r>
              <w:rPr/>
              <w:t xml:space="preserve">   </w:t>
            </w:r>
          </w:p>
        </w:tc>
        <w:tc>
          <w:tcPr>
            <w:tcW w:w="10003" w:type="dxa"/>
            <w:tcBorders/>
            <w:shd w:fill="FFFFFF" w:val="clear"/>
          </w:tcPr>
          <w:p>
            <w:pPr>
              <w:pStyle w:val="TableContents"/>
              <w:spacing w:before="0" w:after="283"/>
              <w:rPr/>
            </w:pPr>
            <w:r>
              <w:rPr>
                <w:rFonts w:ascii="Times New Roman;Times" w:hAnsi="Times New Roman;Times"/>
                <w:b/>
                <w:i/>
              </w:rPr>
              <w:t>Commitments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Contractual Obligations.</w:t>
      </w:r>
      <w:r>
        <w:rPr>
          <w:rFonts w:ascii="Times New Roman;Times" w:hAnsi="Times New Roman;Times"/>
          <w:color w:val="000000"/>
          <w:sz w:val="17"/>
          <w:highlight w:val="white"/>
        </w:rPr>
        <w:t xml:space="preserve">  In the ordinary course of doing business we purchase crude oil and LPG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crude oil and LPG purchases and sales and future delivery obligations.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includes our best estimate of the amount and timing of these payments as well as others due under the specified contractual obligations as of December 31, 2006.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623"/>
        <w:gridCol w:w="104"/>
        <w:gridCol w:w="204"/>
        <w:gridCol w:w="974"/>
        <w:gridCol w:w="132"/>
        <w:gridCol w:w="130"/>
        <w:gridCol w:w="204"/>
        <w:gridCol w:w="841"/>
        <w:gridCol w:w="132"/>
        <w:gridCol w:w="130"/>
        <w:gridCol w:w="204"/>
        <w:gridCol w:w="629"/>
        <w:gridCol w:w="132"/>
        <w:gridCol w:w="130"/>
        <w:gridCol w:w="204"/>
        <w:gridCol w:w="630"/>
        <w:gridCol w:w="132"/>
        <w:gridCol w:w="130"/>
        <w:gridCol w:w="204"/>
        <w:gridCol w:w="630"/>
        <w:gridCol w:w="132"/>
        <w:gridCol w:w="130"/>
        <w:gridCol w:w="203"/>
        <w:gridCol w:w="630"/>
        <w:gridCol w:w="132"/>
        <w:gridCol w:w="130"/>
        <w:gridCol w:w="235"/>
        <w:gridCol w:w="966"/>
        <w:gridCol w:w="148"/>
      </w:tblGrid>
      <w:tr>
        <w:trPr/>
        <w:tc>
          <w:tcPr>
            <w:tcW w:w="1623"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974"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841"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629"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63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63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3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jc w:val="right"/>
              <w:rPr/>
            </w:pPr>
            <w:r>
              <w:rPr/>
              <w:t> </w:t>
            </w:r>
          </w:p>
        </w:tc>
        <w:tc>
          <w:tcPr>
            <w:tcW w:w="966"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r>
      <w:tr>
        <w:trPr/>
        <w:tc>
          <w:tcPr>
            <w:tcW w:w="1623" w:type="dxa"/>
            <w:tcBorders/>
            <w:shd w:fill="FFFFFF" w:val="clear"/>
            <w:vAlign w:val="bottom"/>
          </w:tcPr>
          <w:p>
            <w:pPr>
              <w:pStyle w:val="TableContents"/>
              <w:spacing w:before="0" w:after="283"/>
              <w:jc w:val="center"/>
              <w:rPr/>
            </w:pPr>
            <w:r>
              <w:rPr/>
              <w:t xml:space="preserve">  </w:t>
            </w:r>
          </w:p>
        </w:tc>
        <w:tc>
          <w:tcPr>
            <w:tcW w:w="104" w:type="dxa"/>
            <w:tcBorders/>
            <w:shd w:fill="FFFFFF" w:val="clear"/>
            <w:vAlign w:val="bottom"/>
          </w:tcPr>
          <w:p>
            <w:pPr>
              <w:pStyle w:val="TableContents"/>
              <w:spacing w:before="0" w:after="283"/>
              <w:jc w:val="center"/>
              <w:rPr/>
            </w:pPr>
            <w:r>
              <w:rPr/>
              <w:t xml:space="preserve">  </w:t>
            </w:r>
          </w:p>
        </w:tc>
        <w:tc>
          <w:tcPr>
            <w:tcW w:w="1178"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1045"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3"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4"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4"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3" w:type="dxa"/>
            <w:gridSpan w:val="2"/>
            <w:tcBorders/>
            <w:shd w:fill="FFFFFF" w:val="clear"/>
            <w:vAlign w:val="bottom"/>
          </w:tcPr>
          <w:p>
            <w:pPr>
              <w:pStyle w:val="TableContents"/>
              <w:spacing w:before="0" w:after="283"/>
              <w:jc w:val="center"/>
              <w:rPr/>
            </w:pP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1201" w:type="dxa"/>
            <w:gridSpan w:val="2"/>
            <w:tcBorders/>
            <w:shd w:fill="FFFFFF" w:val="clear"/>
            <w:vAlign w:val="bottom"/>
          </w:tcPr>
          <w:p>
            <w:pPr>
              <w:pStyle w:val="TableContents"/>
              <w:spacing w:before="0" w:after="283"/>
              <w:jc w:val="center"/>
              <w:rPr>
                <w:b/>
              </w:rPr>
            </w:pPr>
            <w:r>
              <w:rPr>
                <w:b/>
              </w:rPr>
              <w:t>2012 and</w:t>
            </w:r>
          </w:p>
        </w:tc>
        <w:tc>
          <w:tcPr>
            <w:tcW w:w="148" w:type="dxa"/>
            <w:tcBorders/>
            <w:shd w:fill="FFFFFF" w:val="clear"/>
            <w:vAlign w:val="bottom"/>
          </w:tcPr>
          <w:p>
            <w:pPr>
              <w:pStyle w:val="TableContents"/>
              <w:spacing w:before="0" w:after="283"/>
              <w:jc w:val="center"/>
              <w:rPr/>
            </w:pPr>
            <w:r>
              <w:rPr/>
              <w:t xml:space="preserve">  </w:t>
            </w:r>
          </w:p>
        </w:tc>
      </w:tr>
      <w:tr>
        <w:trPr/>
        <w:tc>
          <w:tcPr>
            <w:tcW w:w="1623" w:type="dxa"/>
            <w:tcBorders/>
            <w:shd w:fill="FFFFFF" w:val="clear"/>
            <w:vAlign w:val="bottom"/>
          </w:tcPr>
          <w:p>
            <w:pPr>
              <w:pStyle w:val="TableContents"/>
              <w:spacing w:before="0" w:after="283"/>
              <w:jc w:val="center"/>
              <w:rPr/>
            </w:pPr>
            <w:r>
              <w:rPr/>
              <w:t xml:space="preserve">  </w:t>
            </w:r>
          </w:p>
        </w:tc>
        <w:tc>
          <w:tcPr>
            <w:tcW w:w="104" w:type="dxa"/>
            <w:tcBorders/>
            <w:shd w:fill="FFFFFF" w:val="clear"/>
            <w:vAlign w:val="bottom"/>
          </w:tcPr>
          <w:p>
            <w:pPr>
              <w:pStyle w:val="TableContents"/>
              <w:spacing w:before="0" w:after="283"/>
              <w:jc w:val="center"/>
              <w:rPr/>
            </w:pPr>
            <w:r>
              <w:rPr/>
              <w:t xml:space="preserve">  </w:t>
            </w:r>
          </w:p>
        </w:tc>
        <w:tc>
          <w:tcPr>
            <w:tcW w:w="117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10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2008</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2009</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2010</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83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2011</w:t>
            </w:r>
            <w:r>
              <w:rPr/>
              <w:t xml:space="preserve"> </w:t>
            </w:r>
          </w:p>
        </w:tc>
        <w:tc>
          <w:tcPr>
            <w:tcW w:w="132" w:type="dxa"/>
            <w:tcBorders/>
            <w:shd w:fill="FFFFFF" w:val="clear"/>
            <w:vAlign w:val="bottom"/>
          </w:tcPr>
          <w:p>
            <w:pPr>
              <w:pStyle w:val="TableContents"/>
              <w:spacing w:before="0" w:after="283"/>
              <w:jc w:val="center"/>
              <w:rPr/>
            </w:pPr>
            <w:r>
              <w:rPr/>
              <w:t xml:space="preserve">  </w:t>
            </w:r>
          </w:p>
        </w:tc>
        <w:tc>
          <w:tcPr>
            <w:tcW w:w="130" w:type="dxa"/>
            <w:tcBorders/>
            <w:shd w:fill="FFFFFF" w:val="clear"/>
            <w:vAlign w:val="bottom"/>
          </w:tcPr>
          <w:p>
            <w:pPr>
              <w:pStyle w:val="TableContents"/>
              <w:spacing w:before="0" w:after="283"/>
              <w:jc w:val="center"/>
              <w:rPr/>
            </w:pPr>
            <w:r>
              <w:rPr/>
              <w:t xml:space="preserve">  </w:t>
            </w:r>
          </w:p>
        </w:tc>
        <w:tc>
          <w:tcPr>
            <w:tcW w:w="120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Thereafter</w:t>
            </w:r>
            <w:r>
              <w:rPr/>
              <w:t xml:space="preserve"> </w:t>
            </w:r>
          </w:p>
        </w:tc>
        <w:tc>
          <w:tcPr>
            <w:tcW w:w="148" w:type="dxa"/>
            <w:tcBorders/>
            <w:shd w:fill="FFFFFF" w:val="clear"/>
            <w:vAlign w:val="bottom"/>
          </w:tcPr>
          <w:p>
            <w:pPr>
              <w:pStyle w:val="TableContents"/>
              <w:spacing w:before="0" w:after="283"/>
              <w:jc w:val="center"/>
              <w:rPr/>
            </w:pPr>
            <w:r>
              <w:rPr/>
              <w:t xml:space="preserve">  </w:t>
            </w:r>
          </w:p>
        </w:tc>
      </w:tr>
      <w:tr>
        <w:trPr/>
        <w:tc>
          <w:tcPr>
            <w:tcW w:w="1623" w:type="dxa"/>
            <w:tcBorders/>
            <w:shd w:fill="FFFFFF" w:val="clear"/>
            <w:vAlign w:val="bottom"/>
          </w:tcPr>
          <w:p>
            <w:pPr>
              <w:pStyle w:val="TableContents"/>
              <w:spacing w:before="0" w:after="283"/>
              <w:jc w:val="center"/>
              <w:rPr/>
            </w:pPr>
            <w:r>
              <w:rPr/>
              <w:t xml:space="preserve">  </w:t>
            </w:r>
          </w:p>
        </w:tc>
        <w:tc>
          <w:tcPr>
            <w:tcW w:w="104" w:type="dxa"/>
            <w:tcBorders/>
            <w:shd w:fill="FFFFFF" w:val="clear"/>
            <w:vAlign w:val="bottom"/>
          </w:tcPr>
          <w:p>
            <w:pPr>
              <w:pStyle w:val="TableContents"/>
              <w:spacing w:before="0" w:after="283"/>
              <w:jc w:val="center"/>
              <w:rPr/>
            </w:pPr>
            <w:r>
              <w:rPr/>
              <w:t xml:space="preserve">  </w:t>
            </w:r>
          </w:p>
        </w:tc>
        <w:tc>
          <w:tcPr>
            <w:tcW w:w="8330" w:type="dxa"/>
            <w:gridSpan w:val="26"/>
            <w:tcBorders/>
            <w:shd w:fill="FFFFFF" w:val="clear"/>
            <w:vAlign w:val="bottom"/>
          </w:tcPr>
          <w:p>
            <w:pPr>
              <w:pStyle w:val="TableContents"/>
              <w:spacing w:before="0" w:after="283"/>
              <w:jc w:val="center"/>
              <w:rPr/>
            </w:pPr>
            <w:r>
              <w:rPr>
                <w:b/>
              </w:rPr>
              <w:t>(In millions)</w:t>
            </w:r>
            <w:r>
              <w:rPr/>
              <w:t xml:space="preserve"> </w:t>
            </w:r>
          </w:p>
        </w:tc>
        <w:tc>
          <w:tcPr>
            <w:tcW w:w="148" w:type="dxa"/>
            <w:tcBorders/>
            <w:shd w:fill="FFFFFF" w:val="clear"/>
            <w:vAlign w:val="bottom"/>
          </w:tcPr>
          <w:p>
            <w:pPr>
              <w:pStyle w:val="TableContents"/>
              <w:spacing w:before="0" w:after="283"/>
              <w:jc w:val="center"/>
              <w:rPr/>
            </w:pPr>
            <w:r>
              <w:rPr/>
              <w:t xml:space="preserve">  </w:t>
            </w:r>
          </w:p>
        </w:tc>
      </w:tr>
      <w:tr>
        <w:trPr/>
        <w:tc>
          <w:tcPr>
            <w:tcW w:w="1623" w:type="dxa"/>
            <w:tcBorders/>
            <w:shd w:fill="FFFFFF" w:val="clear"/>
            <w:vAlign w:val="center"/>
          </w:tcPr>
          <w:p>
            <w:pPr>
              <w:pStyle w:val="TableContents"/>
              <w:spacing w:before="0" w:after="283"/>
              <w:rPr/>
            </w:pPr>
            <w:r>
              <w:rPr/>
              <w:t xml:space="preserve">  </w:t>
            </w:r>
          </w:p>
        </w:tc>
        <w:tc>
          <w:tcPr>
            <w:tcW w:w="8582" w:type="dxa"/>
            <w:gridSpan w:val="28"/>
            <w:tcBorders/>
            <w:shd w:fill="FFFFFF" w:val="clear"/>
          </w:tcPr>
          <w:p>
            <w:pPr>
              <w:pStyle w:val="TableContents"/>
              <w:spacing w:before="0" w:after="283"/>
              <w:rPr>
                <w:sz w:val="4"/>
                <w:szCs w:val="4"/>
              </w:rPr>
            </w:pPr>
            <w:r>
              <w:rPr>
                <w:sz w:val="4"/>
                <w:szCs w:val="4"/>
              </w:rPr>
            </w:r>
          </w:p>
        </w:tc>
      </w:tr>
      <w:tr>
        <w:trPr/>
        <w:tc>
          <w:tcPr>
            <w:tcW w:w="1623" w:type="dxa"/>
            <w:tcBorders/>
            <w:shd w:fill="CCEEFF" w:val="clear"/>
            <w:vAlign w:val="bottom"/>
          </w:tcPr>
          <w:p>
            <w:pPr>
              <w:pStyle w:val="TableContents"/>
              <w:spacing w:before="0" w:after="0"/>
              <w:ind w:left="200" w:right="0" w:hanging="200"/>
              <w:jc w:val="left"/>
              <w:rPr>
                <w:sz w:val="17"/>
              </w:rPr>
            </w:pPr>
            <w:r>
              <w:rPr>
                <w:sz w:val="17"/>
              </w:rPr>
              <w:t xml:space="preserve">Long-term debt and interest payments(1) </w:t>
            </w:r>
          </w:p>
        </w:tc>
        <w:tc>
          <w:tcPr>
            <w:tcW w:w="10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974" w:type="dxa"/>
            <w:tcBorders/>
            <w:shd w:fill="CCEEFF" w:val="clear"/>
            <w:vAlign w:val="bottom"/>
          </w:tcPr>
          <w:p>
            <w:pPr>
              <w:pStyle w:val="TableContents"/>
              <w:spacing w:before="0" w:after="283"/>
              <w:jc w:val="right"/>
              <w:rPr/>
            </w:pPr>
            <w:r>
              <w:rPr/>
              <w:t xml:space="preserve">5,181.6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841" w:type="dxa"/>
            <w:tcBorders/>
            <w:shd w:fill="CCEEFF" w:val="clear"/>
            <w:vAlign w:val="bottom"/>
          </w:tcPr>
          <w:p>
            <w:pPr>
              <w:pStyle w:val="TableContents"/>
              <w:spacing w:before="0" w:after="283"/>
              <w:jc w:val="right"/>
              <w:rPr/>
            </w:pPr>
            <w:r>
              <w:rPr/>
              <w:t xml:space="preserve">167.5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29" w:type="dxa"/>
            <w:tcBorders/>
            <w:shd w:fill="CCEEFF" w:val="clear"/>
            <w:vAlign w:val="bottom"/>
          </w:tcPr>
          <w:p>
            <w:pPr>
              <w:pStyle w:val="TableContents"/>
              <w:spacing w:before="0" w:after="283"/>
              <w:jc w:val="right"/>
              <w:rPr/>
            </w:pPr>
            <w:r>
              <w:rPr/>
              <w:t xml:space="preserve">167.5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339.4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159.2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158.5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966" w:type="dxa"/>
            <w:tcBorders/>
            <w:shd w:fill="CCEEFF" w:val="clear"/>
            <w:vAlign w:val="bottom"/>
          </w:tcPr>
          <w:p>
            <w:pPr>
              <w:pStyle w:val="TableContents"/>
              <w:spacing w:before="0" w:after="283"/>
              <w:jc w:val="right"/>
              <w:rPr/>
            </w:pPr>
            <w:r>
              <w:rPr/>
              <w:t xml:space="preserve">4,189.5 </w:t>
            </w:r>
          </w:p>
        </w:tc>
        <w:tc>
          <w:tcPr>
            <w:tcW w:w="148" w:type="dxa"/>
            <w:tcBorders/>
            <w:shd w:fill="CCEE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0"/>
              <w:ind w:left="200" w:right="0" w:hanging="200"/>
              <w:jc w:val="left"/>
              <w:rPr>
                <w:sz w:val="17"/>
              </w:rPr>
            </w:pPr>
            <w:r>
              <w:rPr>
                <w:sz w:val="17"/>
              </w:rPr>
              <w:t xml:space="preserve">Leases(2) </w:t>
            </w:r>
          </w:p>
        </w:tc>
        <w:tc>
          <w:tcPr>
            <w:tcW w:w="10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974" w:type="dxa"/>
            <w:tcBorders/>
            <w:shd w:fill="FFFFFF" w:val="clear"/>
            <w:vAlign w:val="bottom"/>
          </w:tcPr>
          <w:p>
            <w:pPr>
              <w:pStyle w:val="TableContents"/>
              <w:spacing w:before="0" w:after="283"/>
              <w:jc w:val="right"/>
              <w:rPr/>
            </w:pPr>
            <w:r>
              <w:rPr/>
              <w:t xml:space="preserve">394.3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841" w:type="dxa"/>
            <w:tcBorders/>
            <w:shd w:fill="FFFFFF" w:val="clear"/>
            <w:vAlign w:val="bottom"/>
          </w:tcPr>
          <w:p>
            <w:pPr>
              <w:pStyle w:val="TableContents"/>
              <w:spacing w:before="0" w:after="283"/>
              <w:jc w:val="right"/>
              <w:rPr/>
            </w:pPr>
            <w:r>
              <w:rPr/>
              <w:t xml:space="preserve">37.0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29" w:type="dxa"/>
            <w:tcBorders/>
            <w:shd w:fill="FFFFFF" w:val="clear"/>
            <w:vAlign w:val="bottom"/>
          </w:tcPr>
          <w:p>
            <w:pPr>
              <w:pStyle w:val="TableContents"/>
              <w:spacing w:before="0" w:after="283"/>
              <w:jc w:val="right"/>
              <w:rPr/>
            </w:pPr>
            <w:r>
              <w:rPr/>
              <w:t xml:space="preserve">33.9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28.9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22.2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18.6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966" w:type="dxa"/>
            <w:tcBorders/>
            <w:shd w:fill="FFFFFF" w:val="clear"/>
            <w:vAlign w:val="bottom"/>
          </w:tcPr>
          <w:p>
            <w:pPr>
              <w:pStyle w:val="TableContents"/>
              <w:spacing w:before="0" w:after="283"/>
              <w:jc w:val="right"/>
              <w:rPr/>
            </w:pPr>
            <w:r>
              <w:rPr/>
              <w:t xml:space="preserve">253.7 </w:t>
            </w:r>
          </w:p>
        </w:tc>
        <w:tc>
          <w:tcPr>
            <w:tcW w:w="148" w:type="dxa"/>
            <w:tcBorders/>
            <w:shd w:fill="FFFFFF" w:val="clear"/>
            <w:vAlign w:val="bottom"/>
          </w:tcPr>
          <w:p>
            <w:pPr>
              <w:pStyle w:val="TableContents"/>
              <w:spacing w:before="0" w:after="283"/>
              <w:jc w:val="left"/>
              <w:rPr/>
            </w:pPr>
            <w:r>
              <w:rPr/>
              <w:t xml:space="preserve">  </w:t>
            </w:r>
          </w:p>
        </w:tc>
      </w:tr>
      <w:tr>
        <w:trPr/>
        <w:tc>
          <w:tcPr>
            <w:tcW w:w="1623" w:type="dxa"/>
            <w:tcBorders/>
            <w:shd w:fill="CCEEFF" w:val="clear"/>
            <w:vAlign w:val="bottom"/>
          </w:tcPr>
          <w:p>
            <w:pPr>
              <w:pStyle w:val="TableContents"/>
              <w:spacing w:before="0" w:after="0"/>
              <w:ind w:left="200" w:right="0" w:hanging="200"/>
              <w:jc w:val="left"/>
              <w:rPr>
                <w:sz w:val="17"/>
              </w:rPr>
            </w:pPr>
            <w:r>
              <w:rPr>
                <w:sz w:val="17"/>
              </w:rPr>
              <w:t xml:space="preserve">Capital expenditure obligations </w:t>
            </w:r>
          </w:p>
        </w:tc>
        <w:tc>
          <w:tcPr>
            <w:tcW w:w="10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974" w:type="dxa"/>
            <w:tcBorders/>
            <w:shd w:fill="CCEEFF" w:val="clear"/>
            <w:vAlign w:val="bottom"/>
          </w:tcPr>
          <w:p>
            <w:pPr>
              <w:pStyle w:val="TableContents"/>
              <w:spacing w:before="0" w:after="283"/>
              <w:jc w:val="right"/>
              <w:rPr/>
            </w:pPr>
            <w:r>
              <w:rPr/>
              <w:t xml:space="preserve">11.5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841" w:type="dxa"/>
            <w:tcBorders/>
            <w:shd w:fill="CCEEFF" w:val="clear"/>
            <w:vAlign w:val="bottom"/>
          </w:tcPr>
          <w:p>
            <w:pPr>
              <w:pStyle w:val="TableContents"/>
              <w:spacing w:before="0" w:after="283"/>
              <w:jc w:val="right"/>
              <w:rPr/>
            </w:pPr>
            <w:r>
              <w:rPr/>
              <w:t xml:space="preserve">11.5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29" w:type="dxa"/>
            <w:tcBorders/>
            <w:shd w:fill="CCEEFF" w:val="cle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966"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0"/>
              <w:ind w:left="200" w:right="0" w:hanging="200"/>
              <w:jc w:val="left"/>
              <w:rPr>
                <w:sz w:val="17"/>
              </w:rPr>
            </w:pPr>
            <w:r>
              <w:rPr>
                <w:sz w:val="17"/>
              </w:rPr>
              <w:t xml:space="preserve">Other long-term liabilities(3) </w:t>
            </w:r>
          </w:p>
        </w:tc>
        <w:tc>
          <w:tcPr>
            <w:tcW w:w="10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974" w:type="dxa"/>
            <w:tcBorders/>
            <w:shd w:fill="FFFFFF" w:val="clear"/>
            <w:vAlign w:val="bottom"/>
          </w:tcPr>
          <w:p>
            <w:pPr>
              <w:pStyle w:val="TableContents"/>
              <w:spacing w:before="0" w:after="283"/>
              <w:jc w:val="right"/>
              <w:rPr/>
            </w:pPr>
            <w:r>
              <w:rPr/>
              <w:t xml:space="preserve">101.2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841" w:type="dxa"/>
            <w:tcBorders/>
            <w:shd w:fill="FFFFFF" w:val="clear"/>
            <w:vAlign w:val="bottom"/>
          </w:tcPr>
          <w:p>
            <w:pPr>
              <w:pStyle w:val="TableContents"/>
              <w:spacing w:before="0" w:after="283"/>
              <w:jc w:val="right"/>
              <w:rPr/>
            </w:pPr>
            <w:r>
              <w:rPr/>
              <w:t xml:space="preserve">49.3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29" w:type="dxa"/>
            <w:tcBorders/>
            <w:shd w:fill="FFFFFF" w:val="clear"/>
            <w:vAlign w:val="bottom"/>
          </w:tcPr>
          <w:p>
            <w:pPr>
              <w:pStyle w:val="TableContents"/>
              <w:spacing w:before="0" w:after="283"/>
              <w:jc w:val="right"/>
              <w:rPr/>
            </w:pPr>
            <w:r>
              <w:rPr/>
              <w:t xml:space="preserve">12.1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17.6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12.9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1.8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966" w:type="dxa"/>
            <w:tcBorders/>
            <w:shd w:fill="FFFFFF" w:val="clear"/>
            <w:vAlign w:val="bottom"/>
          </w:tcPr>
          <w:p>
            <w:pPr>
              <w:pStyle w:val="TableContents"/>
              <w:spacing w:before="0" w:after="283"/>
              <w:jc w:val="right"/>
              <w:rPr/>
            </w:pPr>
            <w:r>
              <w:rPr/>
              <w:t xml:space="preserve">7.5 </w:t>
            </w:r>
          </w:p>
        </w:tc>
        <w:tc>
          <w:tcPr>
            <w:tcW w:w="148" w:type="dxa"/>
            <w:tcBorders/>
            <w:shd w:fill="FFFF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r>
      <w:tr>
        <w:trPr/>
        <w:tc>
          <w:tcPr>
            <w:tcW w:w="1623" w:type="dxa"/>
            <w:tcBorders/>
            <w:shd w:fill="CCEEFF" w:val="clear"/>
            <w:vAlign w:val="bottom"/>
          </w:tcPr>
          <w:p>
            <w:pPr>
              <w:pStyle w:val="TableContents"/>
              <w:spacing w:before="0" w:after="0"/>
              <w:ind w:left="400" w:right="0" w:hanging="200"/>
              <w:jc w:val="left"/>
              <w:rPr>
                <w:sz w:val="17"/>
              </w:rPr>
            </w:pPr>
            <w:r>
              <w:rPr>
                <w:sz w:val="17"/>
              </w:rPr>
              <w:t xml:space="preserve">Subtotal </w:t>
            </w:r>
          </w:p>
        </w:tc>
        <w:tc>
          <w:tcPr>
            <w:tcW w:w="10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974" w:type="dxa"/>
            <w:tcBorders/>
            <w:shd w:fill="CCEEFF" w:val="clear"/>
            <w:vAlign w:val="bottom"/>
          </w:tcPr>
          <w:p>
            <w:pPr>
              <w:pStyle w:val="TableContents"/>
              <w:spacing w:before="0" w:after="283"/>
              <w:jc w:val="right"/>
              <w:rPr/>
            </w:pPr>
            <w:r>
              <w:rPr/>
              <w:t xml:space="preserve">5,688.6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841" w:type="dxa"/>
            <w:tcBorders/>
            <w:shd w:fill="CCEEFF" w:val="clear"/>
            <w:vAlign w:val="bottom"/>
          </w:tcPr>
          <w:p>
            <w:pPr>
              <w:pStyle w:val="TableContents"/>
              <w:spacing w:before="0" w:after="283"/>
              <w:jc w:val="right"/>
              <w:rPr/>
            </w:pPr>
            <w:r>
              <w:rPr/>
              <w:t xml:space="preserve">265.3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29" w:type="dxa"/>
            <w:tcBorders/>
            <w:shd w:fill="CCEEFF" w:val="clear"/>
            <w:vAlign w:val="bottom"/>
          </w:tcPr>
          <w:p>
            <w:pPr>
              <w:pStyle w:val="TableContents"/>
              <w:spacing w:before="0" w:after="283"/>
              <w:jc w:val="right"/>
              <w:rPr/>
            </w:pPr>
            <w:r>
              <w:rPr/>
              <w:t xml:space="preserve">213.5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385.9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194.3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178.9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966" w:type="dxa"/>
            <w:tcBorders/>
            <w:shd w:fill="CCEEFF" w:val="clear"/>
            <w:vAlign w:val="bottom"/>
          </w:tcPr>
          <w:p>
            <w:pPr>
              <w:pStyle w:val="TableContents"/>
              <w:spacing w:before="0" w:after="283"/>
              <w:jc w:val="right"/>
              <w:rPr/>
            </w:pPr>
            <w:r>
              <w:rPr/>
              <w:t xml:space="preserve">4,450.7 </w:t>
            </w:r>
          </w:p>
        </w:tc>
        <w:tc>
          <w:tcPr>
            <w:tcW w:w="148" w:type="dxa"/>
            <w:tcBorders/>
            <w:shd w:fill="CCEE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0"/>
              <w:ind w:left="200" w:right="0" w:hanging="200"/>
              <w:jc w:val="left"/>
              <w:rPr>
                <w:sz w:val="17"/>
              </w:rPr>
            </w:pPr>
            <w:r>
              <w:rPr>
                <w:sz w:val="17"/>
              </w:rPr>
              <w:t xml:space="preserve">Crude oil and LPG purchases(4) </w:t>
            </w:r>
          </w:p>
        </w:tc>
        <w:tc>
          <w:tcPr>
            <w:tcW w:w="10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974" w:type="dxa"/>
            <w:tcBorders/>
            <w:shd w:fill="FFFFFF" w:val="clear"/>
            <w:vAlign w:val="bottom"/>
          </w:tcPr>
          <w:p>
            <w:pPr>
              <w:pStyle w:val="TableContents"/>
              <w:spacing w:before="0" w:after="283"/>
              <w:jc w:val="right"/>
              <w:rPr/>
            </w:pPr>
            <w:r>
              <w:rPr/>
              <w:t xml:space="preserve">4,612.2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841" w:type="dxa"/>
            <w:tcBorders/>
            <w:shd w:fill="FFFFFF" w:val="clear"/>
            <w:vAlign w:val="bottom"/>
          </w:tcPr>
          <w:p>
            <w:pPr>
              <w:pStyle w:val="TableContents"/>
              <w:spacing w:before="0" w:after="283"/>
              <w:jc w:val="right"/>
              <w:rPr/>
            </w:pPr>
            <w:r>
              <w:rPr/>
              <w:t xml:space="preserve">2,667.6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29" w:type="dxa"/>
            <w:tcBorders/>
            <w:shd w:fill="FFFFFF" w:val="clear"/>
            <w:vAlign w:val="bottom"/>
          </w:tcPr>
          <w:p>
            <w:pPr>
              <w:pStyle w:val="TableContents"/>
              <w:spacing w:before="0" w:after="283"/>
              <w:jc w:val="right"/>
              <w:rPr/>
            </w:pPr>
            <w:r>
              <w:rPr/>
              <w:t xml:space="preserve">738.3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449.0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322.5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30" w:type="dxa"/>
            <w:tcBorders/>
            <w:shd w:fill="FFFFFF" w:val="clear"/>
            <w:vAlign w:val="bottom"/>
          </w:tcPr>
          <w:p>
            <w:pPr>
              <w:pStyle w:val="TableContents"/>
              <w:spacing w:before="0" w:after="283"/>
              <w:jc w:val="right"/>
              <w:rPr/>
            </w:pPr>
            <w:r>
              <w:rPr/>
              <w:t xml:space="preserve">240.3 </w:t>
            </w:r>
          </w:p>
        </w:tc>
        <w:tc>
          <w:tcPr>
            <w:tcW w:w="132" w:type="dxa"/>
            <w:tcBorders/>
            <w:shd w:fill="FFFFFF" w:val="clear"/>
            <w:vAlign w:val="bottom"/>
          </w:tcPr>
          <w:p>
            <w:pPr>
              <w:pStyle w:val="TableContents"/>
              <w:spacing w:before="0" w:after="283"/>
              <w:jc w:val="left"/>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966" w:type="dxa"/>
            <w:tcBorders/>
            <w:shd w:fill="FFFFFF" w:val="clear"/>
            <w:vAlign w:val="bottom"/>
          </w:tcPr>
          <w:p>
            <w:pPr>
              <w:pStyle w:val="TableContents"/>
              <w:spacing w:before="0" w:after="283"/>
              <w:jc w:val="right"/>
              <w:rPr/>
            </w:pPr>
            <w:r>
              <w:rPr/>
              <w:t xml:space="preserve">194.5 </w:t>
            </w:r>
          </w:p>
        </w:tc>
        <w:tc>
          <w:tcPr>
            <w:tcW w:w="148" w:type="dxa"/>
            <w:tcBorders/>
            <w:shd w:fill="FFFF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r>
      <w:tr>
        <w:trPr/>
        <w:tc>
          <w:tcPr>
            <w:tcW w:w="1623" w:type="dxa"/>
            <w:tcBorders/>
            <w:shd w:fill="CCEEFF" w:val="clear"/>
            <w:vAlign w:val="bottom"/>
          </w:tcPr>
          <w:p>
            <w:pPr>
              <w:pStyle w:val="TableContents"/>
              <w:spacing w:before="0" w:after="0"/>
              <w:ind w:left="400" w:right="0" w:hanging="200"/>
              <w:jc w:val="left"/>
              <w:rPr>
                <w:sz w:val="17"/>
              </w:rPr>
            </w:pPr>
            <w:r>
              <w:rPr>
                <w:sz w:val="17"/>
              </w:rPr>
              <w:t xml:space="preserve">Total </w:t>
            </w:r>
          </w:p>
        </w:tc>
        <w:tc>
          <w:tcPr>
            <w:tcW w:w="10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974" w:type="dxa"/>
            <w:tcBorders/>
            <w:shd w:fill="CCEEFF" w:val="clear"/>
            <w:vAlign w:val="bottom"/>
          </w:tcPr>
          <w:p>
            <w:pPr>
              <w:pStyle w:val="TableContents"/>
              <w:spacing w:before="0" w:after="283"/>
              <w:jc w:val="right"/>
              <w:rPr/>
            </w:pPr>
            <w:r>
              <w:rPr/>
              <w:t xml:space="preserve">10,300.8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841" w:type="dxa"/>
            <w:tcBorders/>
            <w:shd w:fill="CCEEFF" w:val="clear"/>
            <w:vAlign w:val="bottom"/>
          </w:tcPr>
          <w:p>
            <w:pPr>
              <w:pStyle w:val="TableContents"/>
              <w:spacing w:before="0" w:after="283"/>
              <w:jc w:val="right"/>
              <w:rPr/>
            </w:pPr>
            <w:r>
              <w:rPr/>
              <w:t xml:space="preserve">2,932.9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29" w:type="dxa"/>
            <w:tcBorders/>
            <w:shd w:fill="CCEEFF" w:val="clear"/>
            <w:vAlign w:val="bottom"/>
          </w:tcPr>
          <w:p>
            <w:pPr>
              <w:pStyle w:val="TableContents"/>
              <w:spacing w:before="0" w:after="283"/>
              <w:jc w:val="right"/>
              <w:rPr/>
            </w:pPr>
            <w:r>
              <w:rPr/>
              <w:t xml:space="preserve">951.8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834.9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516.8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30" w:type="dxa"/>
            <w:tcBorders/>
            <w:shd w:fill="CCEEFF" w:val="clear"/>
            <w:vAlign w:val="bottom"/>
          </w:tcPr>
          <w:p>
            <w:pPr>
              <w:pStyle w:val="TableContents"/>
              <w:spacing w:before="0" w:after="283"/>
              <w:jc w:val="right"/>
              <w:rPr/>
            </w:pPr>
            <w:r>
              <w:rPr/>
              <w:t xml:space="preserve">419.2 </w:t>
            </w:r>
          </w:p>
        </w:tc>
        <w:tc>
          <w:tcPr>
            <w:tcW w:w="132" w:type="dxa"/>
            <w:tcBorders/>
            <w:shd w:fill="CCEEFF" w:val="clear"/>
            <w:vAlign w:val="bottom"/>
          </w:tcPr>
          <w:p>
            <w:pPr>
              <w:pStyle w:val="TableContents"/>
              <w:spacing w:before="0" w:after="283"/>
              <w:jc w:val="left"/>
              <w:rPr/>
            </w:pPr>
            <w:r>
              <w:rPr/>
              <w:t xml:space="preserve">  </w:t>
            </w:r>
          </w:p>
        </w:tc>
        <w:tc>
          <w:tcPr>
            <w:tcW w:w="130"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966" w:type="dxa"/>
            <w:tcBorders/>
            <w:shd w:fill="CCEEFF" w:val="clear"/>
            <w:vAlign w:val="bottom"/>
          </w:tcPr>
          <w:p>
            <w:pPr>
              <w:pStyle w:val="TableContents"/>
              <w:spacing w:before="0" w:after="283"/>
              <w:jc w:val="right"/>
              <w:rPr/>
            </w:pPr>
            <w:r>
              <w:rPr/>
              <w:t xml:space="preserve">4,645.2 </w:t>
            </w:r>
          </w:p>
        </w:tc>
        <w:tc>
          <w:tcPr>
            <w:tcW w:w="148" w:type="dxa"/>
            <w:tcBorders/>
            <w:shd w:fill="CCEEFF" w:val="clear"/>
            <w:vAlign w:val="bottom"/>
          </w:tcPr>
          <w:p>
            <w:pPr>
              <w:pStyle w:val="TableContents"/>
              <w:spacing w:before="0" w:after="283"/>
              <w:jc w:val="left"/>
              <w:rPr/>
            </w:pPr>
            <w:r>
              <w:rPr/>
              <w:t xml:space="preserve">  </w:t>
            </w:r>
          </w:p>
        </w:tc>
      </w:tr>
      <w:tr>
        <w:trPr/>
        <w:tc>
          <w:tcPr>
            <w:tcW w:w="162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2" w:type="dxa"/>
            <w:tcBorders/>
            <w:shd w:fill="FFFFFF" w:val="clear"/>
            <w:vAlign w:val="bottom"/>
          </w:tcPr>
          <w:p>
            <w:pPr>
              <w:pStyle w:val="TableContents"/>
              <w:spacing w:before="0" w:after="283"/>
              <w:rPr/>
            </w:pPr>
            <w:r>
              <w:rPr/>
              <w:t xml:space="preserve">  </w:t>
            </w:r>
          </w:p>
        </w:tc>
        <w:tc>
          <w:tcPr>
            <w:tcW w:w="130" w:type="dxa"/>
            <w:tcBorders/>
            <w:shd w:fill="FFFFFF" w:val="clear"/>
            <w:vAlign w:val="bottom"/>
          </w:tcPr>
          <w:p>
            <w:pPr>
              <w:pStyle w:val="TableContents"/>
              <w:spacing w:before="0" w:after="283"/>
              <w:rPr/>
            </w:pPr>
            <w:r>
              <w:rPr/>
              <w:t xml:space="preserve">  </w:t>
            </w:r>
          </w:p>
        </w:tc>
        <w:tc>
          <w:tcPr>
            <w:tcW w:w="23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debt service payments, interest payments due on our senior notes and the commitment fee on our revolving credit facility. Although there is an outstanding balance on our revolving credit facility at December 31, 2006 (this amount is included in the amounts above), we historically repay and borrow at varying amounts. As such, we have included only the maximum commitment fee (as if no amounts were outstanding on the facility) in the amounts above.</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Leases are primarily for office rent and trucks used in our gathering activities.</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Excludes approximately $21.4 million non-current liability related to SFAS 133 included in crude oil and LPG purchases.</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Letters of Credit.</w:t>
      </w:r>
      <w:r>
        <w:rPr>
          <w:rFonts w:ascii="Times New Roman;Times" w:hAnsi="Times New Roman;Times"/>
          <w:color w:val="000000"/>
          <w:sz w:val="17"/>
          <w:highlight w:val="white"/>
        </w:rPr>
        <w:t xml:space="preserve">  In connection with our crude oil marketing,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2006, we had outstanding letters of credit of approximately $185.8 million.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Capital Contributions to PAA/Vulcan Gas Storage, LLC.  </w:t>
      </w:r>
      <w:r>
        <w:rPr>
          <w:rFonts w:ascii="Times New Roman;Times" w:hAnsi="Times New Roman;Times"/>
          <w:color w:val="000000"/>
          <w:sz w:val="17"/>
          <w:highlight w:val="white"/>
        </w:rPr>
        <w:t xml:space="preserve">We and Vulcan Gas Storage are both required to make capital contributions in equal proportions to fund equity requests associated with certain projects specified in the joint venture agreement. For certain other specified projects, Vulcan Gas Storage has the right, but not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See Note 8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Distributions.</w:t>
      </w:r>
      <w:r>
        <w:rPr>
          <w:rFonts w:ascii="Times New Roman;Times" w:hAnsi="Times New Roman;Times"/>
          <w:color w:val="000000"/>
          <w:sz w:val="17"/>
          <w:highlight w:val="white"/>
        </w:rPr>
        <w:t xml:space="preserve">  We plan to distribute 100% of our available cash within 45 days after the end of each quarter to unitholders of record and to our general partner. Available cash is generally defined as all cash and cash equivalents on hand at the end of the quarter, less reserves established in the discretion of our general partner for future requirements. On February 14, 2007, we paid a cash distribution of $0.80 per unit on all outstanding units. The total distribution paid was approximately $104.6 million, with approximately $87.5 million paid to our common unitholders and approximately $17.1 million paid to our general partner for its general partner interest ($1.8 million) and incentive distribution interest ($15.3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closing of the Pacific acquisition, our general partner agreed to reduce the amounts of its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Pursuant to this agreement, the incentive distribution paid to the general partner on February 14, 2007 was reduced by $5 million. The total reduction in incentive distributions will be $65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2006, we paid $33.1 million in incentive distributions to our general partner. See Item 13. Certain Relationships and Related Transactions, and Director Independence  Our General Partner.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Off-Balance Sheet Arrangements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invested in certain entities (PAA/Vulcan, Butte, Settoon Towing and Frontier) that are not consolidated in our financial statements. In conjunction with these investments, from time to time we may elect to provide financial and performance guarantees or other forms of credit support. See Note 9 to our Consolidated Financial Statements for more information concerning our obligations as they relate to our investment in PAA/Vulcan. </w:t>
      </w:r>
    </w:p>
    <w:p>
      <w:pPr>
        <w:pStyle w:val="TextBody"/>
        <w:spacing w:before="240" w:after="283"/>
        <w:rPr/>
      </w:pPr>
      <w:bookmarkStart w:id="13" w:name="111"/>
      <w:bookmarkEnd w:id="13"/>
      <w:r>
        <w:rPr/>
        <w:t> </w:t>
      </w:r>
    </w:p>
    <w:tbl>
      <w:tblPr>
        <w:tblW w:w="5000" w:type="pct"/>
        <w:jc w:val="left"/>
        <w:tblInd w:w="0" w:type="dxa"/>
        <w:shd w:fill="FFFFFF" w:val="clear"/>
        <w:tblCellMar>
          <w:top w:w="0" w:type="dxa"/>
          <w:left w:w="0" w:type="dxa"/>
          <w:bottom w:w="0" w:type="dxa"/>
          <w:right w:w="0" w:type="dxa"/>
        </w:tblCellMar>
      </w:tblPr>
      <w:tblGrid>
        <w:gridCol w:w="1055"/>
        <w:gridCol w:w="9150"/>
      </w:tblGrid>
      <w:tr>
        <w:trPr/>
        <w:tc>
          <w:tcPr>
            <w:tcW w:w="1055" w:type="dxa"/>
            <w:tcBorders/>
            <w:shd w:fill="FFFFFF" w:val="clear"/>
            <w:vAlign w:val="center"/>
          </w:tcPr>
          <w:p>
            <w:pPr>
              <w:pStyle w:val="TableContents"/>
              <w:spacing w:before="0" w:after="283"/>
              <w:rPr>
                <w:sz w:val="4"/>
                <w:szCs w:val="4"/>
              </w:rPr>
            </w:pPr>
            <w:r>
              <w:rPr>
                <w:sz w:val="4"/>
                <w:szCs w:val="4"/>
              </w:rPr>
            </w:r>
          </w:p>
        </w:tc>
        <w:tc>
          <w:tcPr>
            <w:tcW w:w="9150" w:type="dxa"/>
            <w:tcBorders/>
            <w:shd w:fill="FFFFFF" w:val="clear"/>
            <w:vAlign w:val="center"/>
          </w:tcPr>
          <w:p>
            <w:pPr>
              <w:pStyle w:val="TableContents"/>
              <w:spacing w:before="0" w:after="283"/>
              <w:rPr>
                <w:sz w:val="4"/>
                <w:szCs w:val="4"/>
              </w:rPr>
            </w:pPr>
            <w:r>
              <w:rPr>
                <w:sz w:val="4"/>
                <w:szCs w:val="4"/>
              </w:rPr>
            </w:r>
          </w:p>
        </w:tc>
      </w:tr>
      <w:tr>
        <w:trPr/>
        <w:tc>
          <w:tcPr>
            <w:tcW w:w="1055" w:type="dxa"/>
            <w:tcBorders/>
            <w:shd w:fill="FFFFFF" w:val="clear"/>
          </w:tcPr>
          <w:p>
            <w:pPr>
              <w:pStyle w:val="TableContents"/>
              <w:spacing w:before="0" w:after="283"/>
              <w:rPr/>
            </w:pPr>
            <w:r>
              <w:rPr>
                <w:rFonts w:ascii="Times New Roman;Times" w:hAnsi="Times New Roman;Times"/>
                <w:b/>
              </w:rPr>
              <w:t>Item 7A.  </w:t>
            </w:r>
            <w:r>
              <w:rPr/>
              <w:t xml:space="preserve"> </w:t>
            </w:r>
          </w:p>
        </w:tc>
        <w:tc>
          <w:tcPr>
            <w:tcW w:w="9150" w:type="dxa"/>
            <w:tcBorders/>
            <w:shd w:fill="FFFFFF" w:val="clear"/>
          </w:tcPr>
          <w:p>
            <w:pPr>
              <w:pStyle w:val="TableContents"/>
              <w:spacing w:before="0" w:after="283"/>
              <w:rPr/>
            </w:pPr>
            <w:r>
              <w:rPr>
                <w:rFonts w:ascii="Times New Roman;Times" w:hAnsi="Times New Roman;Times"/>
                <w:b/>
                <w:i/>
              </w:rPr>
              <w:t>Quantitative and Qualitative Disclosures About Market Risk</w:t>
            </w: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exposed to various market risks, including volatility in (i) crude oil, refined products, natural gas and LPG commodity prices, (ii) interest rates and (iii) currency exchange rates. We utilize various derivative instruments to manage such exposure and, in certain circumstances, to realize incremental margin during volatile market conditions.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interest rates, currency exchange rates, NYMEX, ICE and over-the-counter positions, and physical volumes, grades, locations and delivery schedules to ensure our hedging activities address our market risks. We have a risk management function that has direct responsibility and authority for our risk policies and our trading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controls and procedures and certain aspects of corporate risk management. Our risk management function also approves all new risk management strategies through a formal process. With the exception of the controlled trading program discussed below, our approved strategies are intended to mitigate enterprise level risks that are inherent in our core businesses of gathering and marketing and storage. To hedge the risks discussed above we engage in risk management activities that we categorize by the risks we are hedging. The following discussion addresses each category of risk.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101"/>
        <w:gridCol w:w="10104"/>
      </w:tblGrid>
      <w:tr>
        <w:trPr/>
        <w:tc>
          <w:tcPr>
            <w:tcW w:w="101" w:type="dxa"/>
            <w:tcBorders/>
            <w:shd w:fill="FFFFFF" w:val="clear"/>
            <w:vAlign w:val="center"/>
          </w:tcPr>
          <w:p>
            <w:pPr>
              <w:pStyle w:val="TableContents"/>
              <w:spacing w:before="0" w:after="283"/>
              <w:rPr>
                <w:sz w:val="4"/>
                <w:szCs w:val="4"/>
              </w:rPr>
            </w:pPr>
            <w:r>
              <w:rPr>
                <w:sz w:val="4"/>
                <w:szCs w:val="4"/>
              </w:rPr>
            </w:r>
          </w:p>
        </w:tc>
        <w:tc>
          <w:tcPr>
            <w:tcW w:w="10104" w:type="dxa"/>
            <w:tcBorders/>
            <w:shd w:fill="FFFFFF" w:val="clear"/>
            <w:vAlign w:val="center"/>
          </w:tcPr>
          <w:p>
            <w:pPr>
              <w:pStyle w:val="TableContents"/>
              <w:spacing w:before="0" w:after="283"/>
              <w:rPr>
                <w:sz w:val="4"/>
                <w:szCs w:val="4"/>
              </w:rPr>
            </w:pPr>
            <w:r>
              <w:rPr>
                <w:sz w:val="4"/>
                <w:szCs w:val="4"/>
              </w:rPr>
            </w:r>
          </w:p>
        </w:tc>
      </w:tr>
      <w:tr>
        <w:trPr/>
        <w:tc>
          <w:tcPr>
            <w:tcW w:w="101" w:type="dxa"/>
            <w:tcBorders/>
            <w:shd w:fill="FFFFFF" w:val="clear"/>
          </w:tcPr>
          <w:p>
            <w:pPr>
              <w:pStyle w:val="TableContents"/>
              <w:spacing w:before="0" w:after="283"/>
              <w:rPr>
                <w:sz w:val="4"/>
                <w:szCs w:val="4"/>
              </w:rPr>
            </w:pPr>
            <w:r>
              <w:rPr>
                <w:sz w:val="4"/>
                <w:szCs w:val="4"/>
              </w:rPr>
            </w:r>
          </w:p>
        </w:tc>
        <w:tc>
          <w:tcPr>
            <w:tcW w:w="10104" w:type="dxa"/>
            <w:tcBorders/>
            <w:shd w:fill="FFFFFF" w:val="clear"/>
          </w:tcPr>
          <w:p>
            <w:pPr>
              <w:pStyle w:val="TableContents"/>
              <w:spacing w:before="0" w:after="283"/>
              <w:rPr/>
            </w:pPr>
            <w:r>
              <w:rPr>
                <w:rFonts w:ascii="Times New Roman;Times" w:hAnsi="Times New Roman;Times"/>
                <w:b/>
              </w:rPr>
              <w:t>Commodity Price Risk</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hedge our exposure to price fluctuations with respect to crude oil, refined products, natural gas and LPG in storage, and expected purchases and sales of these commodities (relating primarily to crude oil and LPGs at this time). The derivative instruments utilized consist primarily of futures and option contracts traded on the NYMEX, ICE and over-the-counter transactions, including swap and option contracts entered into with financial institutions and other energy companies. Our policy is to purchase only commodity products for which we have a market, and to structure our sales contracts so that price fluctuations for those products do not materially affect the segment profit we receive. Except for the controlled trading program discussed below, we do not acquire and hold futures contracts or other derivative products for the purpose of speculating on price changes, as these activities could expose us to significant losses.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we seek to maintain a position that is substantially balanced within our various commodity purchase and sales activities (which mainly relate to crude oil and LPGs),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intent of our risk-management strategies is to hedge our margin, not all of our derivatives qualify for hedge accounting. In such instances, changes in the fair values of these derivatives will receive mark-to-market treatment in current earnings, and result in greater potential for earnings volatility. This accounting treatment is discussed further under Note 2 to our Consolidated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open commodity price risk derivatives at December 31, 2006 were categorized as non-trading. The fair value of these instruments and the change in fair value that would be expected from a 10 percent price increase are shown in the table below: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020"/>
        <w:gridCol w:w="181"/>
        <w:gridCol w:w="318"/>
        <w:gridCol w:w="1121"/>
        <w:gridCol w:w="194"/>
        <w:gridCol w:w="247"/>
        <w:gridCol w:w="392"/>
        <w:gridCol w:w="1532"/>
        <w:gridCol w:w="200"/>
      </w:tblGrid>
      <w:tr>
        <w:trPr/>
        <w:tc>
          <w:tcPr>
            <w:tcW w:w="602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1121"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392" w:type="dxa"/>
            <w:tcBorders/>
            <w:shd w:fill="FFFFFF" w:val="clear"/>
            <w:vAlign w:val="bottom"/>
          </w:tcPr>
          <w:p>
            <w:pPr>
              <w:pStyle w:val="TableContents"/>
              <w:spacing w:before="0" w:after="283"/>
              <w:jc w:val="right"/>
              <w:rPr/>
            </w:pPr>
            <w:r>
              <w:rPr/>
              <w:t> </w:t>
            </w:r>
          </w:p>
        </w:tc>
        <w:tc>
          <w:tcPr>
            <w:tcW w:w="1532" w:type="dxa"/>
            <w:tcBorders/>
            <w:shd w:fill="FFFFFF" w:val="clear"/>
            <w:vAlign w:val="bottom"/>
          </w:tcPr>
          <w:p>
            <w:pPr>
              <w:pStyle w:val="TableContents"/>
              <w:spacing w:before="0" w:after="283"/>
              <w:jc w:val="right"/>
              <w:rPr/>
            </w:pPr>
            <w:r>
              <w:rPr/>
              <w:t> </w:t>
            </w:r>
          </w:p>
        </w:tc>
        <w:tc>
          <w:tcPr>
            <w:tcW w:w="200" w:type="dxa"/>
            <w:tcBorders/>
            <w:shd w:fill="FFFFFF" w:val="clear"/>
            <w:vAlign w:val="bottom"/>
          </w:tcPr>
          <w:p>
            <w:pPr>
              <w:pStyle w:val="TableContents"/>
              <w:spacing w:before="0" w:after="283"/>
              <w:jc w:val="left"/>
              <w:rPr/>
            </w:pPr>
            <w:r>
              <w:rPr/>
              <w:t> </w:t>
            </w:r>
          </w:p>
        </w:tc>
      </w:tr>
      <w:tr>
        <w:trPr/>
        <w:tc>
          <w:tcPr>
            <w:tcW w:w="6020"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439" w:type="dxa"/>
            <w:gridSpan w:val="2"/>
            <w:tcBorders/>
            <w:shd w:fill="FFFFFF" w:val="clear"/>
            <w:vAlign w:val="bottom"/>
          </w:tcPr>
          <w:p>
            <w:pPr>
              <w:pStyle w:val="TableContents"/>
              <w:spacing w:before="0" w:after="283"/>
              <w:jc w:val="center"/>
              <w:rPr/>
            </w:pP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924" w:type="dxa"/>
            <w:gridSpan w:val="2"/>
            <w:tcBorders/>
            <w:shd w:fill="FFFFFF" w:val="clear"/>
            <w:vAlign w:val="bottom"/>
          </w:tcPr>
          <w:p>
            <w:pPr>
              <w:pStyle w:val="TableContents"/>
              <w:spacing w:before="0" w:after="283"/>
              <w:jc w:val="center"/>
              <w:rPr>
                <w:b/>
              </w:rPr>
            </w:pPr>
            <w:r>
              <w:rPr>
                <w:b/>
              </w:rPr>
              <w:t>Effect of 10%</w:t>
            </w:r>
          </w:p>
        </w:tc>
        <w:tc>
          <w:tcPr>
            <w:tcW w:w="200" w:type="dxa"/>
            <w:tcBorders/>
            <w:shd w:fill="FFFFFF" w:val="clear"/>
            <w:vAlign w:val="bottom"/>
          </w:tcPr>
          <w:p>
            <w:pPr>
              <w:pStyle w:val="TableContents"/>
              <w:spacing w:before="0" w:after="283"/>
              <w:jc w:val="center"/>
              <w:rPr/>
            </w:pPr>
            <w:r>
              <w:rPr/>
              <w:t xml:space="preserve">  </w:t>
            </w:r>
          </w:p>
        </w:tc>
      </w:tr>
      <w:tr>
        <w:trPr/>
        <w:tc>
          <w:tcPr>
            <w:tcW w:w="6020"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4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Fair Value</w:t>
            </w: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92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Price Increase</w:t>
            </w:r>
            <w:r>
              <w:rPr/>
              <w:t xml:space="preserve"> </w:t>
            </w:r>
          </w:p>
        </w:tc>
        <w:tc>
          <w:tcPr>
            <w:tcW w:w="200" w:type="dxa"/>
            <w:tcBorders/>
            <w:shd w:fill="FFFFFF" w:val="clear"/>
            <w:vAlign w:val="bottom"/>
          </w:tcPr>
          <w:p>
            <w:pPr>
              <w:pStyle w:val="TableContents"/>
              <w:spacing w:before="0" w:after="283"/>
              <w:jc w:val="center"/>
              <w:rPr/>
            </w:pPr>
            <w:r>
              <w:rPr/>
              <w:t xml:space="preserve">  </w:t>
            </w:r>
          </w:p>
        </w:tc>
      </w:tr>
      <w:tr>
        <w:trPr/>
        <w:tc>
          <w:tcPr>
            <w:tcW w:w="6020"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3804" w:type="dxa"/>
            <w:gridSpan w:val="6"/>
            <w:tcBorders/>
            <w:shd w:fill="FFFFFF" w:val="clear"/>
            <w:vAlign w:val="bottom"/>
          </w:tcPr>
          <w:p>
            <w:pPr>
              <w:pStyle w:val="TableContents"/>
              <w:spacing w:before="0" w:after="283"/>
              <w:jc w:val="center"/>
              <w:rPr/>
            </w:pPr>
            <w:r>
              <w:rPr>
                <w:b/>
              </w:rPr>
              <w:t>(In millions)</w:t>
            </w:r>
            <w:r>
              <w:rPr/>
              <w:t xml:space="preserve"> </w:t>
            </w:r>
          </w:p>
        </w:tc>
        <w:tc>
          <w:tcPr>
            <w:tcW w:w="200" w:type="dxa"/>
            <w:tcBorders/>
            <w:shd w:fill="FFFFFF" w:val="clear"/>
            <w:vAlign w:val="bottom"/>
          </w:tcPr>
          <w:p>
            <w:pPr>
              <w:pStyle w:val="TableContents"/>
              <w:spacing w:before="0" w:after="283"/>
              <w:jc w:val="center"/>
              <w:rPr/>
            </w:pPr>
            <w:r>
              <w:rPr/>
              <w:t xml:space="preserve">  </w:t>
            </w:r>
          </w:p>
        </w:tc>
      </w:tr>
      <w:tr>
        <w:trPr/>
        <w:tc>
          <w:tcPr>
            <w:tcW w:w="6020" w:type="dxa"/>
            <w:tcBorders/>
            <w:shd w:fill="FFFFFF" w:val="clear"/>
            <w:vAlign w:val="center"/>
          </w:tcPr>
          <w:p>
            <w:pPr>
              <w:pStyle w:val="TableContents"/>
              <w:spacing w:before="0" w:after="283"/>
              <w:rPr/>
            </w:pPr>
            <w:r>
              <w:rPr/>
              <w:t xml:space="preserve">  </w:t>
            </w:r>
          </w:p>
        </w:tc>
        <w:tc>
          <w:tcPr>
            <w:tcW w:w="4185" w:type="dxa"/>
            <w:gridSpan w:val="8"/>
            <w:tcBorders/>
            <w:shd w:fill="FFFFFF" w:val="clear"/>
          </w:tcPr>
          <w:p>
            <w:pPr>
              <w:pStyle w:val="TableContents"/>
              <w:spacing w:before="0" w:after="283"/>
              <w:rPr>
                <w:sz w:val="4"/>
                <w:szCs w:val="4"/>
              </w:rPr>
            </w:pPr>
            <w:r>
              <w:rPr>
                <w:sz w:val="4"/>
                <w:szCs w:val="4"/>
              </w:rPr>
            </w:r>
          </w:p>
        </w:tc>
      </w:tr>
      <w:tr>
        <w:trPr/>
        <w:tc>
          <w:tcPr>
            <w:tcW w:w="6020" w:type="dxa"/>
            <w:tcBorders/>
            <w:shd w:fill="CCEEFF" w:val="clear"/>
            <w:vAlign w:val="bottom"/>
          </w:tcPr>
          <w:p>
            <w:pPr>
              <w:pStyle w:val="TableContents"/>
              <w:spacing w:before="0" w:after="0"/>
              <w:ind w:left="200" w:right="0" w:hanging="200"/>
              <w:jc w:val="left"/>
              <w:rPr>
                <w:sz w:val="17"/>
              </w:rPr>
            </w:pPr>
            <w:r>
              <w:rPr>
                <w:sz w:val="17"/>
              </w:rPr>
              <w:t xml:space="preserve">Crude oil: </w:t>
            </w:r>
          </w:p>
        </w:tc>
        <w:tc>
          <w:tcPr>
            <w:tcW w:w="181" w:type="dxa"/>
            <w:tcBorders/>
            <w:shd w:fill="CCEEFF" w:val="clear"/>
            <w:vAlign w:val="bottom"/>
          </w:tcPr>
          <w:p>
            <w:pPr>
              <w:pStyle w:val="TableContents"/>
              <w:spacing w:before="0" w:after="283"/>
              <w:rPr/>
            </w:pPr>
            <w:r>
              <w:rPr/>
              <w:t xml:space="preserve">  </w:t>
            </w:r>
          </w:p>
        </w:tc>
        <w:tc>
          <w:tcPr>
            <w:tcW w:w="318" w:type="dxa"/>
            <w:tcBorders/>
            <w:shd w:fill="CCEEFF" w:val="clear"/>
            <w:vAlign w:val="bottom"/>
          </w:tcPr>
          <w:p>
            <w:pPr>
              <w:pStyle w:val="TableContents"/>
              <w:spacing w:before="0" w:after="283"/>
              <w:jc w:val="left"/>
              <w:rPr/>
            </w:pPr>
            <w:r>
              <w:rPr/>
              <w:t xml:space="preserve">  </w:t>
            </w:r>
          </w:p>
        </w:tc>
        <w:tc>
          <w:tcPr>
            <w:tcW w:w="1121" w:type="dxa"/>
            <w:tcBorders/>
            <w:shd w:fill="CCEEFF" w:val="clear"/>
            <w:vAlign w:val="bottom"/>
          </w:tcPr>
          <w:p>
            <w:pPr>
              <w:pStyle w:val="TableContents"/>
              <w:spacing w:before="0" w:after="283"/>
              <w:jc w:val="right"/>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392"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200" w:type="dxa"/>
            <w:tcBorders/>
            <w:shd w:fill="CCEEFF" w:val="clear"/>
            <w:vAlign w:val="bottom"/>
          </w:tcPr>
          <w:p>
            <w:pPr>
              <w:pStyle w:val="TableContents"/>
              <w:spacing w:before="0" w:after="283"/>
              <w:jc w:val="left"/>
              <w:rPr/>
            </w:pPr>
            <w:r>
              <w:rPr/>
              <w:t xml:space="preserve">  </w:t>
            </w:r>
          </w:p>
        </w:tc>
      </w:tr>
      <w:tr>
        <w:trPr/>
        <w:tc>
          <w:tcPr>
            <w:tcW w:w="6020" w:type="dxa"/>
            <w:tcBorders/>
            <w:shd w:fill="FFFFFF" w:val="clear"/>
            <w:vAlign w:val="bottom"/>
          </w:tcPr>
          <w:p>
            <w:pPr>
              <w:pStyle w:val="TableContents"/>
              <w:spacing w:before="0" w:after="0"/>
              <w:ind w:left="400" w:right="0" w:hanging="200"/>
              <w:jc w:val="left"/>
              <w:rPr>
                <w:sz w:val="17"/>
              </w:rPr>
            </w:pPr>
            <w:r>
              <w:rPr>
                <w:sz w:val="17"/>
              </w:rPr>
              <w:t xml:space="preserve">Futures contracts </w:t>
            </w:r>
          </w:p>
        </w:tc>
        <w:tc>
          <w:tcPr>
            <w:tcW w:w="181" w:type="dxa"/>
            <w:tcBorders/>
            <w:shd w:fill="FFFFFF" w:val="clear"/>
            <w:vAlign w:val="bottom"/>
          </w:tcPr>
          <w:p>
            <w:pPr>
              <w:pStyle w:val="TableContents"/>
              <w:spacing w:before="0" w:after="283"/>
              <w:rPr/>
            </w:pPr>
            <w:r>
              <w:rPr/>
              <w:t xml:space="preserve">  </w:t>
            </w:r>
          </w:p>
        </w:tc>
        <w:tc>
          <w:tcPr>
            <w:tcW w:w="318" w:type="dxa"/>
            <w:tcBorders/>
            <w:shd w:fill="FFFFFF" w:val="clear"/>
            <w:vAlign w:val="bottom"/>
          </w:tcPr>
          <w:p>
            <w:pPr>
              <w:pStyle w:val="TableContents"/>
              <w:spacing w:before="0" w:after="283"/>
              <w:jc w:val="left"/>
              <w:rPr/>
            </w:pPr>
            <w:r>
              <w:rPr/>
              <w:t xml:space="preserve">$ </w:t>
            </w:r>
          </w:p>
        </w:tc>
        <w:tc>
          <w:tcPr>
            <w:tcW w:w="1121" w:type="dxa"/>
            <w:tcBorders/>
            <w:shd w:fill="FFFFFF" w:val="clear"/>
            <w:vAlign w:val="bottom"/>
          </w:tcPr>
          <w:p>
            <w:pPr>
              <w:pStyle w:val="TableContents"/>
              <w:spacing w:before="0" w:after="283"/>
              <w:jc w:val="right"/>
              <w:rPr/>
            </w:pPr>
            <w:r>
              <w:rPr/>
              <w:t xml:space="preserve">(13.5 </w:t>
            </w:r>
          </w:p>
        </w:tc>
        <w:tc>
          <w:tcPr>
            <w:tcW w:w="194"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392"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(54.9 </w:t>
            </w:r>
          </w:p>
        </w:tc>
        <w:tc>
          <w:tcPr>
            <w:tcW w:w="200" w:type="dxa"/>
            <w:tcBorders/>
            <w:shd w:fill="FFFFFF" w:val="clear"/>
            <w:vAlign w:val="bottom"/>
          </w:tcPr>
          <w:p>
            <w:pPr>
              <w:pStyle w:val="TableContents"/>
              <w:spacing w:before="0" w:after="283"/>
              <w:jc w:val="left"/>
              <w:rPr/>
            </w:pPr>
            <w:r>
              <w:rPr/>
              <w:t xml:space="preserve">) </w:t>
            </w:r>
          </w:p>
        </w:tc>
      </w:tr>
      <w:tr>
        <w:trPr/>
        <w:tc>
          <w:tcPr>
            <w:tcW w:w="6020" w:type="dxa"/>
            <w:tcBorders/>
            <w:shd w:fill="CCEEFF" w:val="clear"/>
            <w:vAlign w:val="bottom"/>
          </w:tcPr>
          <w:p>
            <w:pPr>
              <w:pStyle w:val="TableContents"/>
              <w:spacing w:before="0" w:after="0"/>
              <w:ind w:left="400" w:right="0" w:hanging="200"/>
              <w:jc w:val="left"/>
              <w:rPr>
                <w:sz w:val="17"/>
              </w:rPr>
            </w:pPr>
            <w:r>
              <w:rPr>
                <w:sz w:val="17"/>
              </w:rPr>
              <w:t xml:space="preserve">Swaps and options contracts </w:t>
            </w:r>
          </w:p>
        </w:tc>
        <w:tc>
          <w:tcPr>
            <w:tcW w:w="181" w:type="dxa"/>
            <w:tcBorders/>
            <w:shd w:fill="CCEEFF" w:val="clear"/>
            <w:vAlign w:val="bottom"/>
          </w:tcPr>
          <w:p>
            <w:pPr>
              <w:pStyle w:val="TableContents"/>
              <w:spacing w:before="0" w:after="283"/>
              <w:rPr/>
            </w:pPr>
            <w:r>
              <w:rPr/>
              <w:t xml:space="preserve">  </w:t>
            </w:r>
          </w:p>
        </w:tc>
        <w:tc>
          <w:tcPr>
            <w:tcW w:w="318" w:type="dxa"/>
            <w:tcBorders/>
            <w:shd w:fill="CCEEFF" w:val="clear"/>
            <w:vAlign w:val="bottom"/>
          </w:tcPr>
          <w:p>
            <w:pPr>
              <w:pStyle w:val="TableContents"/>
              <w:spacing w:before="0" w:after="283"/>
              <w:jc w:val="left"/>
              <w:rPr/>
            </w:pPr>
            <w:r>
              <w:rPr/>
              <w:t xml:space="preserve">$ </w:t>
            </w:r>
          </w:p>
        </w:tc>
        <w:tc>
          <w:tcPr>
            <w:tcW w:w="1121" w:type="dxa"/>
            <w:tcBorders/>
            <w:shd w:fill="CCEEFF" w:val="clear"/>
            <w:vAlign w:val="bottom"/>
          </w:tcPr>
          <w:p>
            <w:pPr>
              <w:pStyle w:val="TableContents"/>
              <w:spacing w:before="0" w:after="283"/>
              <w:jc w:val="right"/>
              <w:rPr/>
            </w:pPr>
            <w:r>
              <w:rPr/>
              <w:t xml:space="preserve">(27.8 </w:t>
            </w:r>
          </w:p>
        </w:tc>
        <w:tc>
          <w:tcPr>
            <w:tcW w:w="194"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392"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(23.6 </w:t>
            </w:r>
          </w:p>
        </w:tc>
        <w:tc>
          <w:tcPr>
            <w:tcW w:w="200" w:type="dxa"/>
            <w:tcBorders/>
            <w:shd w:fill="CCEEFF" w:val="clear"/>
            <w:vAlign w:val="bottom"/>
          </w:tcPr>
          <w:p>
            <w:pPr>
              <w:pStyle w:val="TableContents"/>
              <w:spacing w:before="0" w:after="283"/>
              <w:jc w:val="left"/>
              <w:rPr/>
            </w:pPr>
            <w:r>
              <w:rPr/>
              <w:t xml:space="preserve">) </w:t>
            </w:r>
          </w:p>
        </w:tc>
      </w:tr>
      <w:tr>
        <w:trPr/>
        <w:tc>
          <w:tcPr>
            <w:tcW w:w="6020" w:type="dxa"/>
            <w:tcBorders/>
            <w:shd w:fill="FFFFFF" w:val="clear"/>
            <w:vAlign w:val="bottom"/>
          </w:tcPr>
          <w:p>
            <w:pPr>
              <w:pStyle w:val="TableContents"/>
              <w:spacing w:before="0" w:after="0"/>
              <w:ind w:left="200" w:right="0" w:hanging="200"/>
              <w:jc w:val="left"/>
              <w:rPr>
                <w:sz w:val="17"/>
              </w:rPr>
            </w:pPr>
            <w:r>
              <w:rPr>
                <w:sz w:val="17"/>
              </w:rPr>
              <w:t xml:space="preserve">LPG and other: </w:t>
            </w:r>
          </w:p>
        </w:tc>
        <w:tc>
          <w:tcPr>
            <w:tcW w:w="181" w:type="dxa"/>
            <w:tcBorders/>
            <w:shd w:fill="FFFFFF" w:val="clear"/>
            <w:vAlign w:val="bottom"/>
          </w:tcPr>
          <w:p>
            <w:pPr>
              <w:pStyle w:val="TableContents"/>
              <w:spacing w:before="0" w:after="283"/>
              <w:rPr/>
            </w:pPr>
            <w:r>
              <w:rPr/>
              <w:t xml:space="preserve">  </w:t>
            </w:r>
          </w:p>
        </w:tc>
        <w:tc>
          <w:tcPr>
            <w:tcW w:w="318" w:type="dxa"/>
            <w:tcBorders/>
            <w:shd w:fill="FFFFFF" w:val="clear"/>
            <w:vAlign w:val="bottom"/>
          </w:tcPr>
          <w:p>
            <w:pPr>
              <w:pStyle w:val="TableContents"/>
              <w:spacing w:before="0" w:after="283"/>
              <w:jc w:val="left"/>
              <w:rPr/>
            </w:pPr>
            <w:r>
              <w:rPr/>
              <w:t xml:space="preserve">  </w:t>
            </w:r>
          </w:p>
        </w:tc>
        <w:tc>
          <w:tcPr>
            <w:tcW w:w="1121" w:type="dxa"/>
            <w:tcBorders/>
            <w:shd w:fill="FFFFFF" w:val="clear"/>
            <w:vAlign w:val="bottom"/>
          </w:tcPr>
          <w:p>
            <w:pPr>
              <w:pStyle w:val="TableContents"/>
              <w:spacing w:before="0" w:after="283"/>
              <w:jc w:val="right"/>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392"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  </w:t>
            </w:r>
          </w:p>
        </w:tc>
        <w:tc>
          <w:tcPr>
            <w:tcW w:w="200" w:type="dxa"/>
            <w:tcBorders/>
            <w:shd w:fill="FFFFFF" w:val="clear"/>
            <w:vAlign w:val="bottom"/>
          </w:tcPr>
          <w:p>
            <w:pPr>
              <w:pStyle w:val="TableContents"/>
              <w:spacing w:before="0" w:after="283"/>
              <w:jc w:val="left"/>
              <w:rPr/>
            </w:pPr>
            <w:r>
              <w:rPr/>
              <w:t xml:space="preserve">  </w:t>
            </w:r>
          </w:p>
        </w:tc>
      </w:tr>
      <w:tr>
        <w:trPr/>
        <w:tc>
          <w:tcPr>
            <w:tcW w:w="6020" w:type="dxa"/>
            <w:tcBorders/>
            <w:shd w:fill="CCEEFF" w:val="clear"/>
            <w:vAlign w:val="bottom"/>
          </w:tcPr>
          <w:p>
            <w:pPr>
              <w:pStyle w:val="TableContents"/>
              <w:spacing w:before="0" w:after="0"/>
              <w:ind w:left="400" w:right="0" w:hanging="200"/>
              <w:jc w:val="left"/>
              <w:rPr>
                <w:sz w:val="17"/>
              </w:rPr>
            </w:pPr>
            <w:r>
              <w:rPr>
                <w:sz w:val="17"/>
              </w:rPr>
              <w:t xml:space="preserve">Futures contracts </w:t>
            </w:r>
          </w:p>
        </w:tc>
        <w:tc>
          <w:tcPr>
            <w:tcW w:w="181" w:type="dxa"/>
            <w:tcBorders/>
            <w:shd w:fill="CCEEFF" w:val="clear"/>
            <w:vAlign w:val="bottom"/>
          </w:tcPr>
          <w:p>
            <w:pPr>
              <w:pStyle w:val="TableContents"/>
              <w:spacing w:before="0" w:after="283"/>
              <w:rPr/>
            </w:pPr>
            <w:r>
              <w:rPr/>
              <w:t xml:space="preserve">  </w:t>
            </w:r>
          </w:p>
        </w:tc>
        <w:tc>
          <w:tcPr>
            <w:tcW w:w="318" w:type="dxa"/>
            <w:tcBorders/>
            <w:shd w:fill="CCEEFF" w:val="clear"/>
            <w:vAlign w:val="bottom"/>
          </w:tcPr>
          <w:p>
            <w:pPr>
              <w:pStyle w:val="TableContents"/>
              <w:spacing w:before="0" w:after="283"/>
              <w:jc w:val="left"/>
              <w:rPr/>
            </w:pPr>
            <w:r>
              <w:rPr/>
              <w:t xml:space="preserve">$ </w:t>
            </w:r>
          </w:p>
        </w:tc>
        <w:tc>
          <w:tcPr>
            <w:tcW w:w="1121" w:type="dxa"/>
            <w:tcBorders/>
            <w:shd w:fill="CCEEFF" w:val="clear"/>
            <w:vAlign w:val="bottom"/>
          </w:tcPr>
          <w:p>
            <w:pPr>
              <w:pStyle w:val="TableContents"/>
              <w:spacing w:before="0" w:after="283"/>
              <w:jc w:val="right"/>
              <w:rPr/>
            </w:pPr>
            <w:r>
              <w:rPr/>
              <w:t xml:space="preserve">(4.8 </w:t>
            </w:r>
          </w:p>
        </w:tc>
        <w:tc>
          <w:tcPr>
            <w:tcW w:w="194"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392"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5.9 </w:t>
            </w:r>
          </w:p>
        </w:tc>
        <w:tc>
          <w:tcPr>
            <w:tcW w:w="200" w:type="dxa"/>
            <w:tcBorders/>
            <w:shd w:fill="CCEEFF" w:val="clear"/>
            <w:vAlign w:val="bottom"/>
          </w:tcPr>
          <w:p>
            <w:pPr>
              <w:pStyle w:val="TableContents"/>
              <w:spacing w:before="0" w:after="283"/>
              <w:jc w:val="left"/>
              <w:rPr/>
            </w:pPr>
            <w:r>
              <w:rPr/>
              <w:t xml:space="preserve">  </w:t>
            </w:r>
          </w:p>
        </w:tc>
      </w:tr>
      <w:tr>
        <w:trPr/>
        <w:tc>
          <w:tcPr>
            <w:tcW w:w="6020" w:type="dxa"/>
            <w:tcBorders/>
            <w:shd w:fill="FFFFFF" w:val="clear"/>
            <w:vAlign w:val="bottom"/>
          </w:tcPr>
          <w:p>
            <w:pPr>
              <w:pStyle w:val="TableContents"/>
              <w:spacing w:before="0" w:after="0"/>
              <w:ind w:left="400" w:right="0" w:hanging="200"/>
              <w:jc w:val="left"/>
              <w:rPr>
                <w:sz w:val="17"/>
              </w:rPr>
            </w:pPr>
            <w:r>
              <w:rPr>
                <w:sz w:val="17"/>
              </w:rPr>
              <w:t xml:space="preserve">Swaps and options contracts </w:t>
            </w:r>
          </w:p>
        </w:tc>
        <w:tc>
          <w:tcPr>
            <w:tcW w:w="181" w:type="dxa"/>
            <w:tcBorders/>
            <w:shd w:fill="FFFFFF" w:val="clear"/>
            <w:vAlign w:val="bottom"/>
          </w:tcPr>
          <w:p>
            <w:pPr>
              <w:pStyle w:val="TableContents"/>
              <w:spacing w:before="0" w:after="283"/>
              <w:rPr/>
            </w:pPr>
            <w:r>
              <w:rPr/>
              <w:t xml:space="preserve">  </w:t>
            </w:r>
          </w:p>
        </w:tc>
        <w:tc>
          <w:tcPr>
            <w:tcW w:w="318" w:type="dxa"/>
            <w:tcBorders/>
            <w:shd w:fill="FFFFFF" w:val="clear"/>
            <w:vAlign w:val="bottom"/>
          </w:tcPr>
          <w:p>
            <w:pPr>
              <w:pStyle w:val="TableContents"/>
              <w:spacing w:before="0" w:after="283"/>
              <w:jc w:val="left"/>
              <w:rPr/>
            </w:pPr>
            <w:r>
              <w:rPr/>
              <w:t xml:space="preserve">$ </w:t>
            </w:r>
          </w:p>
        </w:tc>
        <w:tc>
          <w:tcPr>
            <w:tcW w:w="1121" w:type="dxa"/>
            <w:tcBorders/>
            <w:shd w:fill="FFFFFF" w:val="clear"/>
            <w:vAlign w:val="bottom"/>
          </w:tcPr>
          <w:p>
            <w:pPr>
              <w:pStyle w:val="TableContents"/>
              <w:spacing w:before="0" w:after="283"/>
              <w:jc w:val="right"/>
              <w:rPr/>
            </w:pPr>
            <w:r>
              <w:rPr/>
              <w:t xml:space="preserve">13.6 </w:t>
            </w:r>
          </w:p>
        </w:tc>
        <w:tc>
          <w:tcPr>
            <w:tcW w:w="194"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392" w:type="dxa"/>
            <w:tcBorders/>
            <w:shd w:fill="FFFFFF" w:val="clear"/>
            <w:vAlign w:val="bottom"/>
          </w:tcPr>
          <w:p>
            <w:pPr>
              <w:pStyle w:val="TableContents"/>
              <w:spacing w:before="0" w:after="283"/>
              <w:jc w:val="left"/>
              <w:rPr/>
            </w:pPr>
            <w:r>
              <w:rPr/>
              <w:t xml:space="preserve">$ </w:t>
            </w:r>
          </w:p>
        </w:tc>
        <w:tc>
          <w:tcPr>
            <w:tcW w:w="1532" w:type="dxa"/>
            <w:tcBorders/>
            <w:shd w:fill="FFFFFF" w:val="clear"/>
            <w:vAlign w:val="bottom"/>
          </w:tcPr>
          <w:p>
            <w:pPr>
              <w:pStyle w:val="TableContents"/>
              <w:spacing w:before="0" w:after="283"/>
              <w:jc w:val="right"/>
              <w:rPr/>
            </w:pPr>
            <w:r>
              <w:rPr/>
              <w:t xml:space="preserve">0.7 </w:t>
            </w:r>
          </w:p>
        </w:tc>
        <w:tc>
          <w:tcPr>
            <w:tcW w:w="200" w:type="dxa"/>
            <w:tcBorders/>
            <w:shd w:fill="FFFFFF" w:val="clear"/>
            <w:vAlign w:val="bottom"/>
          </w:tcPr>
          <w:p>
            <w:pPr>
              <w:pStyle w:val="TableContents"/>
              <w:spacing w:before="0" w:after="283"/>
              <w:jc w:val="left"/>
              <w:rPr/>
            </w:pPr>
            <w:r>
              <w:rPr/>
              <w:t xml:space="preserve">  </w:t>
            </w:r>
          </w:p>
        </w:tc>
      </w:tr>
      <w:tr>
        <w:trPr/>
        <w:tc>
          <w:tcPr>
            <w:tcW w:w="602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3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392"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r>
      <w:tr>
        <w:trPr/>
        <w:tc>
          <w:tcPr>
            <w:tcW w:w="6020" w:type="dxa"/>
            <w:tcBorders/>
            <w:shd w:fill="CCEEFF" w:val="clear"/>
            <w:vAlign w:val="bottom"/>
          </w:tcPr>
          <w:p>
            <w:pPr>
              <w:pStyle w:val="TableContents"/>
              <w:spacing w:before="0" w:after="0"/>
              <w:ind w:left="200" w:right="0" w:hanging="200"/>
              <w:jc w:val="left"/>
              <w:rPr>
                <w:sz w:val="17"/>
              </w:rPr>
            </w:pPr>
            <w:r>
              <w:rPr>
                <w:sz w:val="17"/>
              </w:rPr>
              <w:t xml:space="preserve">Total Fair Value </w:t>
            </w:r>
          </w:p>
        </w:tc>
        <w:tc>
          <w:tcPr>
            <w:tcW w:w="181" w:type="dxa"/>
            <w:tcBorders/>
            <w:shd w:fill="CCEEFF" w:val="clear"/>
            <w:vAlign w:val="bottom"/>
          </w:tcPr>
          <w:p>
            <w:pPr>
              <w:pStyle w:val="TableContents"/>
              <w:spacing w:before="0" w:after="283"/>
              <w:rPr/>
            </w:pPr>
            <w:r>
              <w:rPr/>
              <w:t xml:space="preserve">  </w:t>
            </w:r>
          </w:p>
        </w:tc>
        <w:tc>
          <w:tcPr>
            <w:tcW w:w="318" w:type="dxa"/>
            <w:tcBorders/>
            <w:shd w:fill="CCEEFF" w:val="clear"/>
            <w:vAlign w:val="bottom"/>
          </w:tcPr>
          <w:p>
            <w:pPr>
              <w:pStyle w:val="TableContents"/>
              <w:spacing w:before="0" w:after="283"/>
              <w:jc w:val="left"/>
              <w:rPr/>
            </w:pPr>
            <w:r>
              <w:rPr/>
              <w:t xml:space="preserve">$ </w:t>
            </w:r>
          </w:p>
        </w:tc>
        <w:tc>
          <w:tcPr>
            <w:tcW w:w="1121" w:type="dxa"/>
            <w:tcBorders/>
            <w:shd w:fill="CCEEFF" w:val="clear"/>
            <w:vAlign w:val="bottom"/>
          </w:tcPr>
          <w:p>
            <w:pPr>
              <w:pStyle w:val="TableContents"/>
              <w:spacing w:before="0" w:after="283"/>
              <w:jc w:val="right"/>
              <w:rPr/>
            </w:pPr>
            <w:r>
              <w:rPr/>
              <w:t xml:space="preserve">(32.5 </w:t>
            </w:r>
          </w:p>
        </w:tc>
        <w:tc>
          <w:tcPr>
            <w:tcW w:w="194"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392" w:type="dxa"/>
            <w:tcBorders/>
            <w:shd w:fill="CCEEFF" w:val="clear"/>
            <w:vAlign w:val="bottom"/>
          </w:tcPr>
          <w:p>
            <w:pPr>
              <w:pStyle w:val="TableContents"/>
              <w:spacing w:before="0" w:after="283"/>
              <w:jc w:val="left"/>
              <w:rPr/>
            </w:pPr>
            <w:r>
              <w:rPr/>
              <w:t xml:space="preserve">  </w:t>
            </w:r>
          </w:p>
        </w:tc>
        <w:tc>
          <w:tcPr>
            <w:tcW w:w="1532" w:type="dxa"/>
            <w:tcBorders/>
            <w:shd w:fill="CCEEFF" w:val="clear"/>
            <w:vAlign w:val="bottom"/>
          </w:tcPr>
          <w:p>
            <w:pPr>
              <w:pStyle w:val="TableContents"/>
              <w:spacing w:before="0" w:after="283"/>
              <w:jc w:val="right"/>
              <w:rPr/>
            </w:pPr>
            <w:r>
              <w:rPr/>
              <w:t xml:space="preserve">  </w:t>
            </w:r>
          </w:p>
        </w:tc>
        <w:tc>
          <w:tcPr>
            <w:tcW w:w="200" w:type="dxa"/>
            <w:tcBorders/>
            <w:shd w:fill="CCEEFF" w:val="clear"/>
            <w:vAlign w:val="bottom"/>
          </w:tcPr>
          <w:p>
            <w:pPr>
              <w:pStyle w:val="TableContents"/>
              <w:spacing w:before="0" w:after="283"/>
              <w:jc w:val="left"/>
              <w:rPr/>
            </w:pPr>
            <w:r>
              <w:rPr/>
              <w:t xml:space="preserve">  </w:t>
            </w:r>
          </w:p>
        </w:tc>
      </w:tr>
      <w:tr>
        <w:trPr/>
        <w:tc>
          <w:tcPr>
            <w:tcW w:w="602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3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392" w:type="dxa"/>
            <w:tcBorders/>
            <w:shd w:fill="FFFFFF" w:val="clear"/>
            <w:vAlign w:val="bottom"/>
          </w:tcPr>
          <w:p>
            <w:pPr>
              <w:pStyle w:val="TableContents"/>
              <w:spacing w:before="0" w:after="283"/>
              <w:rPr/>
            </w:pPr>
            <w:r>
              <w:rPr/>
              <w:t xml:space="preserve">  </w:t>
            </w:r>
          </w:p>
        </w:tc>
        <w:tc>
          <w:tcPr>
            <w:tcW w:w="1532"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fair value of futures contracts is based on quoted market prices obtained from the NYMEX or ICE. The fair value of swaps and option contracts is estimated based on quoted prices from various sources such as independent reporting services, industry publications and brokers. These quotes are compared to the contract price of the swap, which approximates the gain or loss that would have been realized if the contracts had been closed out at year end. For positions where independent quotations are not available, an estimate is provided, or the prevailing market price at which the positions could be liquidated is used. The assumptions used in these estimates as well as the source for the estimates are maintained by the independent risk control function. All hedge positions offset physical exposures to the cash market; none of these offsetting physical exposures are included in the above table. Price-risk sensitivities were calculated by assuming an across-the-board 10 percent increase in price regardless of term 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historical relationships between the contractual price of the instruments and the underlying commodity price. In the event of an actual 10 percent change in prompt month crude prices, the fair value of our derivative portfolio would typically change less than that shown in the table due to lower volatility in out-month prices.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Interest Rate Risk</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use both fixed and variable rate debt, and are exposed to market risk due to the floating interest rates on our credit facilities. Therefore, from time to time we use interest rate swaps and collars to hedge interest obligations on specific debt issuances, including anticipated debt issuances. In addition, in connection with the Pacific merger, we assumed interest rate swaps with an aggregate notional amount of $80 million. The interest rate swaps are a hedge against changes in the fair value of the 7.125% Senior Notes resulting from market fluctuations to LIBOR. The table below presents principal payments and the related weighted average interest rates by expected maturity dates for variable rate debt outstanding at December 31, 2006. All of our senior notes are fixed rate notes and thus not subject to market risk. Our variable rate debt bears interest at LIBOR, prime or the bankers acceptance rate plus the applicable margin. The average interest rates presented below are based upon rates in effect at December 31, 2006. The carrying values of the variable rate instruments in our credit facilities approximate fair value primarily because interest rates fluctuate with prevailing market rates, and the credit spread on outstanding borrowings reflects market.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36"/>
        <w:gridCol w:w="118"/>
        <w:gridCol w:w="219"/>
        <w:gridCol w:w="677"/>
        <w:gridCol w:w="290"/>
        <w:gridCol w:w="150"/>
        <w:gridCol w:w="260"/>
        <w:gridCol w:w="329"/>
        <w:gridCol w:w="144"/>
        <w:gridCol w:w="150"/>
        <w:gridCol w:w="260"/>
        <w:gridCol w:w="329"/>
        <w:gridCol w:w="143"/>
        <w:gridCol w:w="150"/>
        <w:gridCol w:w="260"/>
        <w:gridCol w:w="329"/>
        <w:gridCol w:w="144"/>
        <w:gridCol w:w="150"/>
        <w:gridCol w:w="260"/>
        <w:gridCol w:w="329"/>
        <w:gridCol w:w="144"/>
        <w:gridCol w:w="150"/>
        <w:gridCol w:w="510"/>
        <w:gridCol w:w="782"/>
        <w:gridCol w:w="144"/>
        <w:gridCol w:w="150"/>
        <w:gridCol w:w="219"/>
        <w:gridCol w:w="677"/>
        <w:gridCol w:w="302"/>
      </w:tblGrid>
      <w:tr>
        <w:trPr/>
        <w:tc>
          <w:tcPr>
            <w:tcW w:w="2436"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jc w:val="right"/>
              <w:rPr/>
            </w:pPr>
            <w:r>
              <w:rPr/>
              <w:t> </w:t>
            </w:r>
          </w:p>
        </w:tc>
        <w:tc>
          <w:tcPr>
            <w:tcW w:w="677" w:type="dxa"/>
            <w:tcBorders/>
            <w:shd w:fill="FFFFFF" w:val="clear"/>
            <w:vAlign w:val="bottom"/>
          </w:tcPr>
          <w:p>
            <w:pPr>
              <w:pStyle w:val="TableContents"/>
              <w:spacing w:before="0" w:after="283"/>
              <w:jc w:val="right"/>
              <w:rPr/>
            </w:pPr>
            <w:r>
              <w:rPr/>
              <w:t> </w:t>
            </w:r>
          </w:p>
        </w:tc>
        <w:tc>
          <w:tcPr>
            <w:tcW w:w="290"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329"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329"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329"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329"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510"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44" w:type="dxa"/>
            <w:tcBorders/>
            <w:shd w:fill="FFFFFF" w:val="clear"/>
            <w:vAlign w:val="bottom"/>
          </w:tcPr>
          <w:p>
            <w:pPr>
              <w:pStyle w:val="TableContents"/>
              <w:spacing w:before="0" w:after="283"/>
              <w:jc w:val="left"/>
              <w:rPr/>
            </w:pPr>
            <w:r>
              <w:rPr/>
              <w:t> </w:t>
            </w:r>
          </w:p>
        </w:tc>
        <w:tc>
          <w:tcPr>
            <w:tcW w:w="15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jc w:val="right"/>
              <w:rPr/>
            </w:pPr>
            <w:r>
              <w:rPr/>
              <w:t> </w:t>
            </w:r>
          </w:p>
        </w:tc>
        <w:tc>
          <w:tcPr>
            <w:tcW w:w="677" w:type="dxa"/>
            <w:tcBorders/>
            <w:shd w:fill="FFFFFF" w:val="clear"/>
            <w:vAlign w:val="bottom"/>
          </w:tcPr>
          <w:p>
            <w:pPr>
              <w:pStyle w:val="TableContents"/>
              <w:spacing w:before="0" w:after="283"/>
              <w:jc w:val="right"/>
              <w:rPr/>
            </w:pPr>
            <w:r>
              <w:rPr/>
              <w:t> </w:t>
            </w:r>
          </w:p>
        </w:tc>
        <w:tc>
          <w:tcPr>
            <w:tcW w:w="302" w:type="dxa"/>
            <w:tcBorders/>
            <w:shd w:fill="FFFFFF" w:val="clear"/>
            <w:vAlign w:val="bottom"/>
          </w:tcPr>
          <w:p>
            <w:pPr>
              <w:pStyle w:val="TableContents"/>
              <w:spacing w:before="0" w:after="283"/>
              <w:jc w:val="left"/>
              <w:rPr/>
            </w:pPr>
            <w:r>
              <w:rPr/>
              <w:t> </w:t>
            </w:r>
          </w:p>
        </w:tc>
      </w:tr>
      <w:tr>
        <w:trPr/>
        <w:tc>
          <w:tcPr>
            <w:tcW w:w="2436" w:type="dxa"/>
            <w:tcBorders/>
            <w:shd w:fill="FFFFFF" w:val="clear"/>
            <w:vAlign w:val="bottom"/>
          </w:tcPr>
          <w:p>
            <w:pPr>
              <w:pStyle w:val="TableContents"/>
              <w:spacing w:before="0" w:after="283"/>
              <w:jc w:val="center"/>
              <w:rPr/>
            </w:pPr>
            <w:r>
              <w:rPr/>
              <w:t xml:space="preserve">  </w:t>
            </w:r>
          </w:p>
        </w:tc>
        <w:tc>
          <w:tcPr>
            <w:tcW w:w="118" w:type="dxa"/>
            <w:tcBorders/>
            <w:shd w:fill="FFFFFF" w:val="clear"/>
            <w:vAlign w:val="bottom"/>
          </w:tcPr>
          <w:p>
            <w:pPr>
              <w:pStyle w:val="TableContents"/>
              <w:spacing w:before="0" w:after="283"/>
              <w:jc w:val="center"/>
              <w:rPr/>
            </w:pPr>
            <w:r>
              <w:rPr/>
              <w:t xml:space="preserve">  </w:t>
            </w:r>
          </w:p>
        </w:tc>
        <w:tc>
          <w:tcPr>
            <w:tcW w:w="7349" w:type="dxa"/>
            <w:gridSpan w:val="26"/>
            <w:tcBorders>
              <w:bottom w:val="single" w:sz="2" w:space="0" w:color="000000"/>
            </w:tcBorders>
            <w:shd w:fill="FFFFFF" w:val="clear"/>
            <w:tcMar>
              <w:bottom w:w="28" w:type="dxa"/>
            </w:tcMar>
            <w:vAlign w:val="bottom"/>
          </w:tcPr>
          <w:p>
            <w:pPr>
              <w:pStyle w:val="TableContents"/>
              <w:spacing w:before="0" w:after="283"/>
              <w:jc w:val="center"/>
              <w:rPr/>
            </w:pPr>
            <w:r>
              <w:rPr>
                <w:b/>
              </w:rPr>
              <w:t>Expected Year of Maturity</w:t>
            </w:r>
            <w:r>
              <w:rPr/>
              <w:t xml:space="preserve"> </w:t>
            </w:r>
          </w:p>
        </w:tc>
        <w:tc>
          <w:tcPr>
            <w:tcW w:w="302" w:type="dxa"/>
            <w:tcBorders/>
            <w:shd w:fill="FFFFFF" w:val="clear"/>
            <w:vAlign w:val="bottom"/>
          </w:tcPr>
          <w:p>
            <w:pPr>
              <w:pStyle w:val="TableContents"/>
              <w:spacing w:before="0" w:after="283"/>
              <w:jc w:val="center"/>
              <w:rPr/>
            </w:pPr>
            <w:r>
              <w:rPr/>
              <w:t xml:space="preserve">  </w:t>
            </w:r>
          </w:p>
        </w:tc>
      </w:tr>
      <w:tr>
        <w:trPr/>
        <w:tc>
          <w:tcPr>
            <w:tcW w:w="2436"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jc w:val="center"/>
              <w:rPr/>
            </w:pPr>
            <w:r>
              <w:rPr/>
              <w:t xml:space="preserve">  </w:t>
            </w:r>
          </w:p>
        </w:tc>
        <w:tc>
          <w:tcPr>
            <w:tcW w:w="8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290"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5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2008</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5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2009</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5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2010</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5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2011</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29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Thereafter</w:t>
            </w:r>
            <w:r>
              <w:rPr/>
              <w:t xml:space="preserve"> </w:t>
            </w:r>
          </w:p>
        </w:tc>
        <w:tc>
          <w:tcPr>
            <w:tcW w:w="144" w:type="dxa"/>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8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302" w:type="dxa"/>
            <w:tcBorders/>
            <w:shd w:fill="FFFFFF" w:val="clear"/>
            <w:vAlign w:val="bottom"/>
          </w:tcPr>
          <w:p>
            <w:pPr>
              <w:pStyle w:val="TableContents"/>
              <w:spacing w:before="0" w:after="283"/>
              <w:jc w:val="center"/>
              <w:rPr/>
            </w:pPr>
            <w:r>
              <w:rPr/>
              <w:t xml:space="preserve">  </w:t>
            </w:r>
          </w:p>
        </w:tc>
      </w:tr>
      <w:tr>
        <w:trPr/>
        <w:tc>
          <w:tcPr>
            <w:tcW w:w="2436" w:type="dxa"/>
            <w:tcBorders/>
            <w:shd w:fill="FFFFFF" w:val="clear"/>
            <w:vAlign w:val="bottom"/>
          </w:tcPr>
          <w:p>
            <w:pPr>
              <w:pStyle w:val="TableContents"/>
              <w:spacing w:before="0" w:after="283"/>
              <w:jc w:val="center"/>
              <w:rPr/>
            </w:pPr>
            <w:r>
              <w:rPr/>
              <w:t xml:space="preserve">  </w:t>
            </w:r>
          </w:p>
        </w:tc>
        <w:tc>
          <w:tcPr>
            <w:tcW w:w="118" w:type="dxa"/>
            <w:tcBorders/>
            <w:shd w:fill="FFFFFF" w:val="clear"/>
            <w:vAlign w:val="bottom"/>
          </w:tcPr>
          <w:p>
            <w:pPr>
              <w:pStyle w:val="TableContents"/>
              <w:spacing w:before="0" w:after="283"/>
              <w:jc w:val="center"/>
              <w:rPr/>
            </w:pPr>
            <w:r>
              <w:rPr/>
              <w:t xml:space="preserve">  </w:t>
            </w:r>
          </w:p>
        </w:tc>
        <w:tc>
          <w:tcPr>
            <w:tcW w:w="7349" w:type="dxa"/>
            <w:gridSpan w:val="26"/>
            <w:tcBorders/>
            <w:shd w:fill="FFFFFF" w:val="clear"/>
            <w:vAlign w:val="bottom"/>
          </w:tcPr>
          <w:p>
            <w:pPr>
              <w:pStyle w:val="TableContents"/>
              <w:spacing w:before="0" w:after="283"/>
              <w:jc w:val="center"/>
              <w:rPr/>
            </w:pPr>
            <w:r>
              <w:rPr>
                <w:b/>
              </w:rPr>
              <w:t>(Dollars in millions)</w:t>
            </w:r>
            <w:r>
              <w:rPr/>
              <w:t xml:space="preserve"> </w:t>
            </w:r>
          </w:p>
        </w:tc>
        <w:tc>
          <w:tcPr>
            <w:tcW w:w="302" w:type="dxa"/>
            <w:tcBorders/>
            <w:shd w:fill="FFFFFF" w:val="clear"/>
            <w:vAlign w:val="bottom"/>
          </w:tcPr>
          <w:p>
            <w:pPr>
              <w:pStyle w:val="TableContents"/>
              <w:spacing w:before="0" w:after="283"/>
              <w:jc w:val="center"/>
              <w:rPr/>
            </w:pPr>
            <w:r>
              <w:rPr/>
              <w:t xml:space="preserve">  </w:t>
            </w:r>
          </w:p>
        </w:tc>
      </w:tr>
      <w:tr>
        <w:trPr/>
        <w:tc>
          <w:tcPr>
            <w:tcW w:w="2436" w:type="dxa"/>
            <w:tcBorders/>
            <w:shd w:fill="FFFFFF" w:val="clear"/>
            <w:vAlign w:val="center"/>
          </w:tcPr>
          <w:p>
            <w:pPr>
              <w:pStyle w:val="TableContents"/>
              <w:spacing w:before="0" w:after="283"/>
              <w:rPr/>
            </w:pPr>
            <w:r>
              <w:rPr/>
              <w:t xml:space="preserve">  </w:t>
            </w:r>
          </w:p>
        </w:tc>
        <w:tc>
          <w:tcPr>
            <w:tcW w:w="7769" w:type="dxa"/>
            <w:gridSpan w:val="28"/>
            <w:tcBorders/>
            <w:shd w:fill="FFFFFF" w:val="clear"/>
          </w:tcPr>
          <w:p>
            <w:pPr>
              <w:pStyle w:val="TableContents"/>
              <w:spacing w:before="0" w:after="283"/>
              <w:rPr>
                <w:sz w:val="4"/>
                <w:szCs w:val="4"/>
              </w:rPr>
            </w:pPr>
            <w:r>
              <w:rPr>
                <w:sz w:val="4"/>
                <w:szCs w:val="4"/>
              </w:rPr>
            </w:r>
          </w:p>
        </w:tc>
      </w:tr>
      <w:tr>
        <w:trPr/>
        <w:tc>
          <w:tcPr>
            <w:tcW w:w="2436" w:type="dxa"/>
            <w:tcBorders/>
            <w:shd w:fill="CCEEFF" w:val="clear"/>
            <w:vAlign w:val="bottom"/>
          </w:tcPr>
          <w:p>
            <w:pPr>
              <w:pStyle w:val="TableContents"/>
              <w:spacing w:before="0" w:after="0"/>
              <w:ind w:left="200" w:right="0" w:hanging="200"/>
              <w:jc w:val="left"/>
              <w:rPr>
                <w:sz w:val="17"/>
              </w:rPr>
            </w:pPr>
            <w:r>
              <w:rPr>
                <w:sz w:val="17"/>
              </w:rPr>
              <w:t xml:space="preserve">Liabilities: </w:t>
            </w:r>
          </w:p>
        </w:tc>
        <w:tc>
          <w:tcPr>
            <w:tcW w:w="118"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677"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510"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677" w:type="dxa"/>
            <w:tcBorders/>
            <w:shd w:fill="CCEEFF" w:val="clear"/>
            <w:vAlign w:val="bottom"/>
          </w:tcPr>
          <w:p>
            <w:pPr>
              <w:pStyle w:val="TableContents"/>
              <w:spacing w:before="0" w:after="283"/>
              <w:jc w:val="right"/>
              <w:rPr/>
            </w:pPr>
            <w:r>
              <w:rPr/>
              <w:t xml:space="preserve">  </w:t>
            </w:r>
          </w:p>
        </w:tc>
        <w:tc>
          <w:tcPr>
            <w:tcW w:w="302" w:type="dxa"/>
            <w:tcBorders/>
            <w:shd w:fill="CCEEFF" w:val="clear"/>
            <w:vAlign w:val="bottom"/>
          </w:tcPr>
          <w:p>
            <w:pPr>
              <w:pStyle w:val="TableContents"/>
              <w:spacing w:before="0" w:after="283"/>
              <w:jc w:val="left"/>
              <w:rPr/>
            </w:pPr>
            <w:r>
              <w:rPr/>
              <w:t xml:space="preserve">  </w:t>
            </w:r>
          </w:p>
        </w:tc>
      </w:tr>
      <w:tr>
        <w:trPr/>
        <w:tc>
          <w:tcPr>
            <w:tcW w:w="2436" w:type="dxa"/>
            <w:tcBorders/>
            <w:shd w:fill="FFFFFF" w:val="clear"/>
            <w:vAlign w:val="bottom"/>
          </w:tcPr>
          <w:p>
            <w:pPr>
              <w:pStyle w:val="TableContents"/>
              <w:spacing w:before="0" w:after="0"/>
              <w:ind w:left="200" w:right="0" w:hanging="200"/>
              <w:jc w:val="left"/>
              <w:rPr>
                <w:sz w:val="17"/>
              </w:rPr>
            </w:pPr>
            <w:r>
              <w:rPr>
                <w:sz w:val="17"/>
              </w:rPr>
              <w:t xml:space="preserve">Short-term debt  variable rate </w:t>
            </w:r>
          </w:p>
        </w:tc>
        <w:tc>
          <w:tcPr>
            <w:tcW w:w="118"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677" w:type="dxa"/>
            <w:tcBorders/>
            <w:shd w:fill="FFFFFF" w:val="clear"/>
            <w:vAlign w:val="bottom"/>
          </w:tcPr>
          <w:p>
            <w:pPr>
              <w:pStyle w:val="TableContents"/>
              <w:spacing w:before="0" w:after="283"/>
              <w:jc w:val="right"/>
              <w:rPr/>
            </w:pPr>
            <w:r>
              <w:rPr/>
              <w:t xml:space="preserve">993.5 </w:t>
            </w:r>
          </w:p>
        </w:tc>
        <w:tc>
          <w:tcPr>
            <w:tcW w:w="290"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jc w:val="right"/>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510"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5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677" w:type="dxa"/>
            <w:tcBorders/>
            <w:shd w:fill="FFFFFF" w:val="clear"/>
            <w:vAlign w:val="bottom"/>
          </w:tcPr>
          <w:p>
            <w:pPr>
              <w:pStyle w:val="TableContents"/>
              <w:spacing w:before="0" w:after="283"/>
              <w:jc w:val="right"/>
              <w:rPr/>
            </w:pPr>
            <w:r>
              <w:rPr/>
              <w:t xml:space="preserve">993.5 </w:t>
            </w:r>
          </w:p>
        </w:tc>
        <w:tc>
          <w:tcPr>
            <w:tcW w:w="302" w:type="dxa"/>
            <w:tcBorders/>
            <w:shd w:fill="FFFFFF" w:val="clear"/>
            <w:vAlign w:val="bottom"/>
          </w:tcPr>
          <w:p>
            <w:pPr>
              <w:pStyle w:val="TableContents"/>
              <w:spacing w:before="0" w:after="283"/>
              <w:jc w:val="left"/>
              <w:rPr/>
            </w:pPr>
            <w:r>
              <w:rPr/>
              <w:t xml:space="preserve">  </w:t>
            </w:r>
          </w:p>
        </w:tc>
      </w:tr>
      <w:tr>
        <w:trPr/>
        <w:tc>
          <w:tcPr>
            <w:tcW w:w="2436" w:type="dxa"/>
            <w:tcBorders/>
            <w:shd w:fill="CCEEFF" w:val="clear"/>
            <w:vAlign w:val="bottom"/>
          </w:tcPr>
          <w:p>
            <w:pPr>
              <w:pStyle w:val="TableContents"/>
              <w:spacing w:before="0" w:after="0"/>
              <w:ind w:left="200" w:right="0" w:hanging="200"/>
              <w:jc w:val="left"/>
              <w:rPr>
                <w:sz w:val="17"/>
              </w:rPr>
            </w:pPr>
            <w:r>
              <w:rPr>
                <w:sz w:val="17"/>
              </w:rPr>
              <w:t xml:space="preserve">Average interest rate </w:t>
            </w:r>
          </w:p>
        </w:tc>
        <w:tc>
          <w:tcPr>
            <w:tcW w:w="118"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677" w:type="dxa"/>
            <w:tcBorders/>
            <w:shd w:fill="CCEEFF" w:val="clear"/>
            <w:vAlign w:val="bottom"/>
          </w:tcPr>
          <w:p>
            <w:pPr>
              <w:pStyle w:val="TableContents"/>
              <w:spacing w:before="0" w:after="283"/>
              <w:jc w:val="right"/>
              <w:rPr/>
            </w:pPr>
            <w:r>
              <w:rPr/>
              <w:t xml:space="preserve">5.8 </w:t>
            </w:r>
          </w:p>
        </w:tc>
        <w:tc>
          <w:tcPr>
            <w:tcW w:w="290"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510"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5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677" w:type="dxa"/>
            <w:tcBorders/>
            <w:shd w:fill="CCEEFF" w:val="clear"/>
            <w:vAlign w:val="bottom"/>
          </w:tcPr>
          <w:p>
            <w:pPr>
              <w:pStyle w:val="TableContents"/>
              <w:spacing w:before="0" w:after="283"/>
              <w:jc w:val="right"/>
              <w:rPr/>
            </w:pPr>
            <w:r>
              <w:rPr/>
              <w:t xml:space="preserve">5.8 </w:t>
            </w:r>
          </w:p>
        </w:tc>
        <w:tc>
          <w:tcPr>
            <w:tcW w:w="302" w:type="dxa"/>
            <w:tcBorders/>
            <w:shd w:fill="CCEEFF" w:val="clear"/>
            <w:vAlign w:val="bottom"/>
          </w:tcPr>
          <w:p>
            <w:pPr>
              <w:pStyle w:val="TableContents"/>
              <w:spacing w:before="0" w:after="283"/>
              <w:jc w:val="left"/>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Currency Exchange Risk</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a significant portion of our Canadian business is conducted in Canadian dollars, we use certain financial instruments to minimize the risks of changes in the exchange rate. These instruments may include forward exchange contracts and cross currency swaps.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the fair value of these instruments based on current termination values. The table shown below summarizes the fair value of our foreign currency hedges by year of maturity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161"/>
        <w:gridCol w:w="168"/>
        <w:gridCol w:w="222"/>
        <w:gridCol w:w="490"/>
        <w:gridCol w:w="186"/>
        <w:gridCol w:w="228"/>
        <w:gridCol w:w="257"/>
        <w:gridCol w:w="318"/>
        <w:gridCol w:w="157"/>
        <w:gridCol w:w="228"/>
        <w:gridCol w:w="257"/>
        <w:gridCol w:w="318"/>
        <w:gridCol w:w="157"/>
        <w:gridCol w:w="228"/>
        <w:gridCol w:w="257"/>
        <w:gridCol w:w="318"/>
        <w:gridCol w:w="157"/>
        <w:gridCol w:w="227"/>
        <w:gridCol w:w="257"/>
        <w:gridCol w:w="318"/>
        <w:gridCol w:w="157"/>
        <w:gridCol w:w="228"/>
        <w:gridCol w:w="222"/>
        <w:gridCol w:w="490"/>
        <w:gridCol w:w="199"/>
      </w:tblGrid>
      <w:tr>
        <w:trPr/>
        <w:tc>
          <w:tcPr>
            <w:tcW w:w="4161"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222" w:type="dxa"/>
            <w:tcBorders/>
            <w:shd w:fill="FFFFFF" w:val="clear"/>
            <w:vAlign w:val="bottom"/>
          </w:tcPr>
          <w:p>
            <w:pPr>
              <w:pStyle w:val="TableContents"/>
              <w:spacing w:before="0" w:after="283"/>
              <w:jc w:val="right"/>
              <w:rPr/>
            </w:pPr>
            <w:r>
              <w:rPr/>
              <w:t> </w:t>
            </w:r>
          </w:p>
        </w:tc>
        <w:tc>
          <w:tcPr>
            <w:tcW w:w="490"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27"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rPr/>
            </w:pPr>
            <w:r>
              <w:rPr/>
              <w:t> </w:t>
            </w:r>
          </w:p>
        </w:tc>
        <w:tc>
          <w:tcPr>
            <w:tcW w:w="222" w:type="dxa"/>
            <w:tcBorders/>
            <w:shd w:fill="FFFFFF" w:val="clear"/>
            <w:vAlign w:val="bottom"/>
          </w:tcPr>
          <w:p>
            <w:pPr>
              <w:pStyle w:val="TableContents"/>
              <w:spacing w:before="0" w:after="283"/>
              <w:jc w:val="right"/>
              <w:rPr/>
            </w:pPr>
            <w:r>
              <w:rPr/>
              <w:t> </w:t>
            </w:r>
          </w:p>
        </w:tc>
        <w:tc>
          <w:tcPr>
            <w:tcW w:w="490"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r>
      <w:tr>
        <w:trPr/>
        <w:tc>
          <w:tcPr>
            <w:tcW w:w="4161" w:type="dxa"/>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5677"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Year of Maturity</w:t>
            </w:r>
            <w:r>
              <w:rPr/>
              <w:t xml:space="preserve"> </w:t>
            </w:r>
          </w:p>
        </w:tc>
        <w:tc>
          <w:tcPr>
            <w:tcW w:w="199" w:type="dxa"/>
            <w:tcBorders/>
            <w:shd w:fill="FFFFFF" w:val="clear"/>
            <w:vAlign w:val="bottom"/>
          </w:tcPr>
          <w:p>
            <w:pPr>
              <w:pStyle w:val="TableContents"/>
              <w:spacing w:before="0" w:after="283"/>
              <w:jc w:val="center"/>
              <w:rPr/>
            </w:pPr>
            <w:r>
              <w:rPr/>
              <w:t xml:space="preserve">  </w:t>
            </w:r>
          </w:p>
        </w:tc>
      </w:tr>
      <w:tr>
        <w:trPr/>
        <w:tc>
          <w:tcPr>
            <w:tcW w:w="4161" w:type="dxa"/>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7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2007</w:t>
            </w: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228" w:type="dxa"/>
            <w:tcBorders/>
            <w:shd w:fill="FFFFFF" w:val="clear"/>
            <w:vAlign w:val="bottom"/>
          </w:tcPr>
          <w:p>
            <w:pPr>
              <w:pStyle w:val="TableContents"/>
              <w:spacing w:before="0" w:after="283"/>
              <w:jc w:val="center"/>
              <w:rPr/>
            </w:pPr>
            <w:r>
              <w:rPr/>
              <w:t xml:space="preserve">  </w:t>
            </w:r>
          </w:p>
        </w:tc>
        <w:tc>
          <w:tcPr>
            <w:tcW w:w="5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2008</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28" w:type="dxa"/>
            <w:tcBorders/>
            <w:shd w:fill="FFFFFF" w:val="clear"/>
            <w:vAlign w:val="bottom"/>
          </w:tcPr>
          <w:p>
            <w:pPr>
              <w:pStyle w:val="TableContents"/>
              <w:spacing w:before="0" w:after="283"/>
              <w:jc w:val="center"/>
              <w:rPr/>
            </w:pPr>
            <w:r>
              <w:rPr/>
              <w:t xml:space="preserve">  </w:t>
            </w:r>
          </w:p>
        </w:tc>
        <w:tc>
          <w:tcPr>
            <w:tcW w:w="5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2009</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28" w:type="dxa"/>
            <w:tcBorders/>
            <w:shd w:fill="FFFFFF" w:val="clear"/>
            <w:vAlign w:val="bottom"/>
          </w:tcPr>
          <w:p>
            <w:pPr>
              <w:pStyle w:val="TableContents"/>
              <w:spacing w:before="0" w:after="283"/>
              <w:jc w:val="center"/>
              <w:rPr/>
            </w:pPr>
            <w:r>
              <w:rPr/>
              <w:t xml:space="preserve">  </w:t>
            </w:r>
          </w:p>
        </w:tc>
        <w:tc>
          <w:tcPr>
            <w:tcW w:w="5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2010</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5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2011</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28" w:type="dxa"/>
            <w:tcBorders/>
            <w:shd w:fill="FFFFFF" w:val="clear"/>
            <w:vAlign w:val="bottom"/>
          </w:tcPr>
          <w:p>
            <w:pPr>
              <w:pStyle w:val="TableContents"/>
              <w:spacing w:before="0" w:after="283"/>
              <w:jc w:val="center"/>
              <w:rPr/>
            </w:pPr>
            <w:r>
              <w:rPr/>
              <w:t xml:space="preserve">  </w:t>
            </w:r>
          </w:p>
        </w:tc>
        <w:tc>
          <w:tcPr>
            <w:tcW w:w="7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99" w:type="dxa"/>
            <w:tcBorders/>
            <w:shd w:fill="FFFFFF" w:val="clear"/>
            <w:vAlign w:val="bottom"/>
          </w:tcPr>
          <w:p>
            <w:pPr>
              <w:pStyle w:val="TableContents"/>
              <w:spacing w:before="0" w:after="283"/>
              <w:jc w:val="center"/>
              <w:rPr/>
            </w:pPr>
            <w:r>
              <w:rPr/>
              <w:t xml:space="preserve">  </w:t>
            </w:r>
          </w:p>
        </w:tc>
      </w:tr>
      <w:tr>
        <w:trPr/>
        <w:tc>
          <w:tcPr>
            <w:tcW w:w="4161" w:type="dxa"/>
            <w:tcBorders/>
            <w:shd w:fill="FFFFFF" w:val="clear"/>
            <w:vAlign w:val="center"/>
          </w:tcPr>
          <w:p>
            <w:pPr>
              <w:pStyle w:val="TableContents"/>
              <w:spacing w:before="0" w:after="283"/>
              <w:rPr/>
            </w:pPr>
            <w:r>
              <w:rPr/>
              <w:t xml:space="preserve">  </w:t>
            </w:r>
          </w:p>
        </w:tc>
        <w:tc>
          <w:tcPr>
            <w:tcW w:w="6044" w:type="dxa"/>
            <w:gridSpan w:val="24"/>
            <w:tcBorders/>
            <w:shd w:fill="FFFFFF" w:val="clear"/>
          </w:tcPr>
          <w:p>
            <w:pPr>
              <w:pStyle w:val="TableContents"/>
              <w:spacing w:before="0" w:after="283"/>
              <w:rPr>
                <w:sz w:val="4"/>
                <w:szCs w:val="4"/>
              </w:rPr>
            </w:pPr>
            <w:r>
              <w:rPr>
                <w:sz w:val="4"/>
                <w:szCs w:val="4"/>
              </w:rPr>
            </w:r>
          </w:p>
        </w:tc>
      </w:tr>
      <w:tr>
        <w:trPr/>
        <w:tc>
          <w:tcPr>
            <w:tcW w:w="4161" w:type="dxa"/>
            <w:tcBorders/>
            <w:shd w:fill="CCEEFF" w:val="clear"/>
            <w:vAlign w:val="bottom"/>
          </w:tcPr>
          <w:p>
            <w:pPr>
              <w:pStyle w:val="TableContents"/>
              <w:spacing w:before="0" w:after="0"/>
              <w:ind w:left="200" w:right="0" w:hanging="200"/>
              <w:jc w:val="left"/>
              <w:rPr>
                <w:sz w:val="17"/>
              </w:rPr>
            </w:pPr>
            <w:r>
              <w:rPr>
                <w:sz w:val="17"/>
              </w:rPr>
              <w:t xml:space="preserve">Forward exchange contracts </w:t>
            </w:r>
          </w:p>
        </w:tc>
        <w:tc>
          <w:tcPr>
            <w:tcW w:w="168" w:type="dxa"/>
            <w:tcBorders/>
            <w:shd w:fill="CCEEFF" w:val="clear"/>
            <w:vAlign w:val="bottom"/>
          </w:tcPr>
          <w:p>
            <w:pPr>
              <w:pStyle w:val="TableContents"/>
              <w:spacing w:before="0" w:after="283"/>
              <w:rPr/>
            </w:pPr>
            <w:r>
              <w:rPr/>
              <w:t xml:space="preserve">  </w:t>
            </w:r>
          </w:p>
        </w:tc>
        <w:tc>
          <w:tcPr>
            <w:tcW w:w="222" w:type="dxa"/>
            <w:tcBorders/>
            <w:shd w:fill="CCEEFF" w:val="clear"/>
            <w:vAlign w:val="bottom"/>
          </w:tcPr>
          <w:p>
            <w:pPr>
              <w:pStyle w:val="TableContents"/>
              <w:spacing w:before="0" w:after="283"/>
              <w:jc w:val="left"/>
              <w:rPr/>
            </w:pPr>
            <w:r>
              <w:rPr/>
              <w:t xml:space="preserve">$ </w:t>
            </w:r>
          </w:p>
        </w:tc>
        <w:tc>
          <w:tcPr>
            <w:tcW w:w="490" w:type="dxa"/>
            <w:tcBorders/>
            <w:shd w:fill="CCEEFF" w:val="clear"/>
            <w:vAlign w:val="bottom"/>
          </w:tcPr>
          <w:p>
            <w:pPr>
              <w:pStyle w:val="TableContents"/>
              <w:spacing w:before="0" w:after="283"/>
              <w:jc w:val="right"/>
              <w:rPr/>
            </w:pPr>
            <w:r>
              <w:rPr/>
              <w:t xml:space="preserve">(2.0 </w:t>
            </w:r>
          </w:p>
        </w:tc>
        <w:tc>
          <w:tcPr>
            <w:tcW w:w="186" w:type="dxa"/>
            <w:tcBorders/>
            <w:shd w:fill="CCEEFF" w:val="clear"/>
            <w:vAlign w:val="bottom"/>
          </w:tcPr>
          <w:p>
            <w:pPr>
              <w:pStyle w:val="TableContents"/>
              <w:spacing w:before="0" w:after="283"/>
              <w:jc w:val="left"/>
              <w:rPr/>
            </w:pPr>
            <w:r>
              <w:rPr/>
              <w:t xml:space="preserve">) </w:t>
            </w:r>
          </w:p>
        </w:tc>
        <w:tc>
          <w:tcPr>
            <w:tcW w:w="228"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31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28"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31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28"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31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31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28" w:type="dxa"/>
            <w:tcBorders/>
            <w:shd w:fill="CCEEFF" w:val="clear"/>
            <w:vAlign w:val="bottom"/>
          </w:tcPr>
          <w:p>
            <w:pPr>
              <w:pStyle w:val="TableContents"/>
              <w:spacing w:before="0" w:after="283"/>
              <w:rPr/>
            </w:pPr>
            <w:r>
              <w:rPr/>
              <w:t xml:space="preserve">  </w:t>
            </w:r>
          </w:p>
        </w:tc>
        <w:tc>
          <w:tcPr>
            <w:tcW w:w="222" w:type="dxa"/>
            <w:tcBorders/>
            <w:shd w:fill="CCEEFF" w:val="clear"/>
            <w:vAlign w:val="bottom"/>
          </w:tcPr>
          <w:p>
            <w:pPr>
              <w:pStyle w:val="TableContents"/>
              <w:spacing w:before="0" w:after="283"/>
              <w:jc w:val="left"/>
              <w:rPr/>
            </w:pPr>
            <w:r>
              <w:rPr/>
              <w:t xml:space="preserve">$ </w:t>
            </w:r>
          </w:p>
        </w:tc>
        <w:tc>
          <w:tcPr>
            <w:tcW w:w="490" w:type="dxa"/>
            <w:tcBorders/>
            <w:shd w:fill="CCEEFF" w:val="clear"/>
            <w:vAlign w:val="bottom"/>
          </w:tcPr>
          <w:p>
            <w:pPr>
              <w:pStyle w:val="TableContents"/>
              <w:spacing w:before="0" w:after="283"/>
              <w:jc w:val="right"/>
              <w:rPr/>
            </w:pPr>
            <w:r>
              <w:rPr/>
              <w:t xml:space="preserve">(2.0 </w:t>
            </w:r>
          </w:p>
        </w:tc>
        <w:tc>
          <w:tcPr>
            <w:tcW w:w="199" w:type="dxa"/>
            <w:tcBorders/>
            <w:shd w:fill="CCEEFF" w:val="clear"/>
            <w:vAlign w:val="bottom"/>
          </w:tcPr>
          <w:p>
            <w:pPr>
              <w:pStyle w:val="TableContents"/>
              <w:spacing w:before="0" w:after="283"/>
              <w:jc w:val="left"/>
              <w:rPr/>
            </w:pPr>
            <w:r>
              <w:rPr/>
              <w:t xml:space="preserve">) </w:t>
            </w:r>
          </w:p>
        </w:tc>
      </w:tr>
      <w:tr>
        <w:trPr/>
        <w:tc>
          <w:tcPr>
            <w:tcW w:w="416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r>
        <w:trPr/>
        <w:tc>
          <w:tcPr>
            <w:tcW w:w="4161"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168" w:type="dxa"/>
            <w:tcBorders/>
            <w:shd w:fill="FFFFFF" w:val="clear"/>
            <w:vAlign w:val="bottom"/>
          </w:tcPr>
          <w:p>
            <w:pPr>
              <w:pStyle w:val="TableContents"/>
              <w:spacing w:before="0" w:after="283"/>
              <w:rPr/>
            </w:pPr>
            <w:r>
              <w:rPr/>
              <w:t xml:space="preserve">  </w:t>
            </w:r>
          </w:p>
        </w:tc>
        <w:tc>
          <w:tcPr>
            <w:tcW w:w="222" w:type="dxa"/>
            <w:tcBorders/>
            <w:shd w:fill="FFFFFF" w:val="clear"/>
            <w:vAlign w:val="bottom"/>
          </w:tcPr>
          <w:p>
            <w:pPr>
              <w:pStyle w:val="TableContents"/>
              <w:spacing w:before="0" w:after="283"/>
              <w:jc w:val="left"/>
              <w:rPr/>
            </w:pPr>
            <w:r>
              <w:rPr/>
              <w:t xml:space="preserve">$ </w:t>
            </w:r>
          </w:p>
        </w:tc>
        <w:tc>
          <w:tcPr>
            <w:tcW w:w="490" w:type="dxa"/>
            <w:tcBorders/>
            <w:shd w:fill="FFFFFF" w:val="clear"/>
            <w:vAlign w:val="bottom"/>
          </w:tcPr>
          <w:p>
            <w:pPr>
              <w:pStyle w:val="TableContents"/>
              <w:spacing w:before="0" w:after="283"/>
              <w:jc w:val="right"/>
              <w:rPr/>
            </w:pPr>
            <w:r>
              <w:rPr/>
              <w:t xml:space="preserve">(2.0 </w:t>
            </w:r>
          </w:p>
        </w:tc>
        <w:tc>
          <w:tcPr>
            <w:tcW w:w="186" w:type="dxa"/>
            <w:tcBorders/>
            <w:shd w:fill="FFFFFF" w:val="clear"/>
            <w:vAlign w:val="bottom"/>
          </w:tcPr>
          <w:p>
            <w:pPr>
              <w:pStyle w:val="TableContents"/>
              <w:spacing w:before="0" w:after="283"/>
              <w:jc w:val="left"/>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31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31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31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31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28" w:type="dxa"/>
            <w:tcBorders/>
            <w:shd w:fill="FFFFFF" w:val="clear"/>
            <w:vAlign w:val="bottom"/>
          </w:tcPr>
          <w:p>
            <w:pPr>
              <w:pStyle w:val="TableContents"/>
              <w:spacing w:before="0" w:after="283"/>
              <w:rPr/>
            </w:pPr>
            <w:r>
              <w:rPr/>
              <w:t xml:space="preserve">  </w:t>
            </w:r>
          </w:p>
        </w:tc>
        <w:tc>
          <w:tcPr>
            <w:tcW w:w="222" w:type="dxa"/>
            <w:tcBorders/>
            <w:shd w:fill="FFFFFF" w:val="clear"/>
            <w:vAlign w:val="bottom"/>
          </w:tcPr>
          <w:p>
            <w:pPr>
              <w:pStyle w:val="TableContents"/>
              <w:spacing w:before="0" w:after="283"/>
              <w:jc w:val="left"/>
              <w:rPr/>
            </w:pPr>
            <w:r>
              <w:rPr/>
              <w:t xml:space="preserve">$ </w:t>
            </w:r>
          </w:p>
        </w:tc>
        <w:tc>
          <w:tcPr>
            <w:tcW w:w="490" w:type="dxa"/>
            <w:tcBorders/>
            <w:shd w:fill="FFFFFF" w:val="clear"/>
            <w:vAlign w:val="bottom"/>
          </w:tcPr>
          <w:p>
            <w:pPr>
              <w:pStyle w:val="TableContents"/>
              <w:spacing w:before="0" w:after="283"/>
              <w:jc w:val="right"/>
              <w:rPr/>
            </w:pPr>
            <w:r>
              <w:rPr/>
              <w:t xml:space="preserve">(2.0 </w:t>
            </w:r>
          </w:p>
        </w:tc>
        <w:tc>
          <w:tcPr>
            <w:tcW w:w="199" w:type="dxa"/>
            <w:tcBorders/>
            <w:shd w:fill="FFFFFF" w:val="clear"/>
            <w:vAlign w:val="bottom"/>
          </w:tcPr>
          <w:p>
            <w:pPr>
              <w:pStyle w:val="TableContents"/>
              <w:spacing w:before="0" w:after="283"/>
              <w:jc w:val="left"/>
              <w:rPr/>
            </w:pPr>
            <w:r>
              <w:rPr/>
              <w:t xml:space="preserve">) </w:t>
            </w:r>
          </w:p>
        </w:tc>
      </w:tr>
      <w:tr>
        <w:trPr/>
        <w:tc>
          <w:tcPr>
            <w:tcW w:w="4161"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2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28" w:type="dxa"/>
            <w:tcBorders/>
            <w:shd w:fill="FFFFFF" w:val="clear"/>
            <w:vAlign w:val="bottom"/>
          </w:tcPr>
          <w:p>
            <w:pPr>
              <w:pStyle w:val="TableContents"/>
              <w:spacing w:before="0" w:after="283"/>
              <w:rPr/>
            </w:pPr>
            <w:r>
              <w:rPr/>
              <w:t xml:space="preserve">  </w:t>
            </w:r>
          </w:p>
        </w:tc>
        <w:tc>
          <w:tcPr>
            <w:tcW w:w="22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r>
    </w:tbl>
    <w:p>
      <w:pPr>
        <w:pStyle w:val="TextBody"/>
        <w:spacing w:before="240" w:after="283"/>
        <w:rPr/>
      </w:pPr>
      <w:bookmarkStart w:id="14" w:name="112"/>
      <w:bookmarkEnd w:id="14"/>
      <w:r>
        <w:rPr/>
        <w:t> </w:t>
      </w:r>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8.  </w:t>
            </w:r>
            <w:r>
              <w:rPr/>
              <w:t xml:space="preserve"> </w:t>
            </w:r>
          </w:p>
        </w:tc>
        <w:tc>
          <w:tcPr>
            <w:tcW w:w="9390" w:type="dxa"/>
            <w:tcBorders/>
            <w:shd w:fill="FFFFFF" w:val="clear"/>
          </w:tcPr>
          <w:p>
            <w:pPr>
              <w:pStyle w:val="TableContents"/>
              <w:spacing w:before="0" w:after="283"/>
              <w:rPr/>
            </w:pPr>
            <w:r>
              <w:rPr>
                <w:rFonts w:ascii="Times New Roman;Times" w:hAnsi="Times New Roman;Times"/>
                <w:b/>
                <w:i/>
              </w:rPr>
              <w:t>Financial Statements and Supplementary Data</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See Index to the Consolidated Financial Statements on page F-1. </w:t>
      </w:r>
    </w:p>
    <w:p>
      <w:pPr>
        <w:pStyle w:val="TextBody"/>
        <w:spacing w:before="240" w:after="283"/>
        <w:rPr/>
      </w:pPr>
      <w:bookmarkStart w:id="15" w:name="113"/>
      <w:bookmarkEnd w:id="15"/>
      <w:r>
        <w:rPr/>
        <w:t> </w:t>
      </w:r>
    </w:p>
    <w:tbl>
      <w:tblPr>
        <w:tblW w:w="5000" w:type="pct"/>
        <w:jc w:val="left"/>
        <w:tblInd w:w="0" w:type="dxa"/>
        <w:shd w:fill="FFFFFF" w:val="clear"/>
        <w:tblCellMar>
          <w:top w:w="0" w:type="dxa"/>
          <w:left w:w="0" w:type="dxa"/>
          <w:bottom w:w="0" w:type="dxa"/>
          <w:right w:w="0" w:type="dxa"/>
        </w:tblCellMar>
      </w:tblPr>
      <w:tblGrid>
        <w:gridCol w:w="816"/>
        <w:gridCol w:w="9389"/>
      </w:tblGrid>
      <w:tr>
        <w:trPr/>
        <w:tc>
          <w:tcPr>
            <w:tcW w:w="816" w:type="dxa"/>
            <w:tcBorders/>
            <w:shd w:fill="FFFFFF" w:val="clear"/>
            <w:vAlign w:val="center"/>
          </w:tcPr>
          <w:p>
            <w:pPr>
              <w:pStyle w:val="TableContents"/>
              <w:spacing w:before="0" w:after="283"/>
              <w:rPr>
                <w:sz w:val="4"/>
                <w:szCs w:val="4"/>
              </w:rPr>
            </w:pPr>
            <w:r>
              <w:rPr>
                <w:sz w:val="4"/>
                <w:szCs w:val="4"/>
              </w:rPr>
            </w:r>
          </w:p>
        </w:tc>
        <w:tc>
          <w:tcPr>
            <w:tcW w:w="9389" w:type="dxa"/>
            <w:tcBorders/>
            <w:shd w:fill="FFFFFF" w:val="clear"/>
            <w:vAlign w:val="center"/>
          </w:tcPr>
          <w:p>
            <w:pPr>
              <w:pStyle w:val="TableContents"/>
              <w:spacing w:before="0" w:after="283"/>
              <w:rPr>
                <w:sz w:val="4"/>
                <w:szCs w:val="4"/>
              </w:rPr>
            </w:pPr>
            <w:r>
              <w:rPr>
                <w:sz w:val="4"/>
                <w:szCs w:val="4"/>
              </w:rPr>
            </w:r>
          </w:p>
        </w:tc>
      </w:tr>
      <w:tr>
        <w:trPr/>
        <w:tc>
          <w:tcPr>
            <w:tcW w:w="816" w:type="dxa"/>
            <w:tcBorders/>
            <w:shd w:fill="FFFFFF" w:val="clear"/>
          </w:tcPr>
          <w:p>
            <w:pPr>
              <w:pStyle w:val="TableContents"/>
              <w:spacing w:before="0" w:after="283"/>
              <w:rPr/>
            </w:pPr>
            <w:r>
              <w:rPr>
                <w:rFonts w:ascii="Times New Roman;Times" w:hAnsi="Times New Roman;Times"/>
                <w:b/>
              </w:rPr>
              <w:t>Item 9.  </w:t>
            </w:r>
            <w:r>
              <w:rPr/>
              <w:t xml:space="preserve"> </w:t>
            </w:r>
          </w:p>
        </w:tc>
        <w:tc>
          <w:tcPr>
            <w:tcW w:w="9389" w:type="dxa"/>
            <w:tcBorders/>
            <w:shd w:fill="FFFFFF" w:val="clear"/>
          </w:tcPr>
          <w:p>
            <w:pPr>
              <w:pStyle w:val="TableContents"/>
              <w:spacing w:before="0" w:after="283"/>
              <w:rPr/>
            </w:pPr>
            <w:r>
              <w:rPr>
                <w:rFonts w:ascii="Times New Roman;Times" w:hAnsi="Times New Roman;Times"/>
                <w:b/>
                <w:i/>
              </w:rPr>
              <w:t>Changes In and Disagreements With Accountants on Accounting and Financial Disclosure</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 applicable. </w:t>
      </w:r>
    </w:p>
    <w:p>
      <w:pPr>
        <w:pStyle w:val="TextBody"/>
        <w:spacing w:before="240" w:after="283"/>
        <w:rPr/>
      </w:pPr>
      <w:bookmarkStart w:id="16" w:name="114"/>
      <w:bookmarkEnd w:id="16"/>
      <w:r>
        <w:rPr/>
        <w:t> </w:t>
      </w:r>
    </w:p>
    <w:tbl>
      <w:tblPr>
        <w:tblW w:w="5000" w:type="pct"/>
        <w:jc w:val="left"/>
        <w:tblInd w:w="0" w:type="dxa"/>
        <w:shd w:fill="FFFFFF" w:val="clear"/>
        <w:tblCellMar>
          <w:top w:w="0" w:type="dxa"/>
          <w:left w:w="0" w:type="dxa"/>
          <w:bottom w:w="0" w:type="dxa"/>
          <w:right w:w="0" w:type="dxa"/>
        </w:tblCellMar>
      </w:tblPr>
      <w:tblGrid>
        <w:gridCol w:w="1066"/>
        <w:gridCol w:w="9139"/>
      </w:tblGrid>
      <w:tr>
        <w:trPr/>
        <w:tc>
          <w:tcPr>
            <w:tcW w:w="1066" w:type="dxa"/>
            <w:tcBorders/>
            <w:shd w:fill="FFFFFF" w:val="clear"/>
            <w:vAlign w:val="center"/>
          </w:tcPr>
          <w:p>
            <w:pPr>
              <w:pStyle w:val="TableContents"/>
              <w:spacing w:before="0" w:after="283"/>
              <w:rPr>
                <w:sz w:val="4"/>
                <w:szCs w:val="4"/>
              </w:rPr>
            </w:pPr>
            <w:r>
              <w:rPr>
                <w:sz w:val="4"/>
                <w:szCs w:val="4"/>
              </w:rPr>
            </w:r>
          </w:p>
        </w:tc>
        <w:tc>
          <w:tcPr>
            <w:tcW w:w="9139" w:type="dxa"/>
            <w:tcBorders/>
            <w:shd w:fill="FFFFFF" w:val="clear"/>
            <w:vAlign w:val="center"/>
          </w:tcPr>
          <w:p>
            <w:pPr>
              <w:pStyle w:val="TableContents"/>
              <w:spacing w:before="0" w:after="283"/>
              <w:rPr>
                <w:sz w:val="4"/>
                <w:szCs w:val="4"/>
              </w:rPr>
            </w:pPr>
            <w:r>
              <w:rPr>
                <w:sz w:val="4"/>
                <w:szCs w:val="4"/>
              </w:rPr>
            </w:r>
          </w:p>
        </w:tc>
      </w:tr>
      <w:tr>
        <w:trPr/>
        <w:tc>
          <w:tcPr>
            <w:tcW w:w="1066" w:type="dxa"/>
            <w:tcBorders/>
            <w:shd w:fill="FFFFFF" w:val="clear"/>
          </w:tcPr>
          <w:p>
            <w:pPr>
              <w:pStyle w:val="TableContents"/>
              <w:spacing w:before="0" w:after="283"/>
              <w:rPr/>
            </w:pPr>
            <w:r>
              <w:rPr>
                <w:rFonts w:ascii="Times New Roman;Times" w:hAnsi="Times New Roman;Times"/>
                <w:b/>
              </w:rPr>
              <w:t>Item 9A.  </w:t>
            </w:r>
            <w:r>
              <w:rPr/>
              <w:t xml:space="preserve"> </w:t>
            </w:r>
          </w:p>
        </w:tc>
        <w:tc>
          <w:tcPr>
            <w:tcW w:w="9139" w:type="dxa"/>
            <w:tcBorders/>
            <w:shd w:fill="FFFFFF" w:val="clear"/>
          </w:tcPr>
          <w:p>
            <w:pPr>
              <w:pStyle w:val="TableContents"/>
              <w:spacing w:before="0" w:after="283"/>
              <w:rPr/>
            </w:pPr>
            <w:r>
              <w:rPr>
                <w:rFonts w:ascii="Times New Roman;Times" w:hAnsi="Times New Roman;Times"/>
                <w:b/>
                <w:i/>
              </w:rPr>
              <w:t>Controls and Procedures</w:t>
            </w: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maintain written disclosure controls and procedures, which we refer to as our DCP. The purpose of our DCP is to provide reasonable assurance that (i) information is recorded, processed, summarized and reported in time to allow for timely disclosure of such information in accordance with the securities laws and SEC regulations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and (ii) information is accumulated and communicated to management, including our Chief Executive Officer and Chief Financial Officer, to allow for timely decisions regarding required disclosure.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December 31, 2006,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information concerning our DCP, we are required to disclose certain changes in our internal control over financial reporting. Although we have made various enhancements to our controls during preparation for our assertion on internal control over financial reporting, there was no change in our internal control over financial reporting that has materially affected, or is reasonably likely to materially affect, our internal control over financial reporting.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including our Chief Executive Officer and our Chief Financial Officer, has evaluated the effectiveness of our internal control over financial reporting as of December 31, 2006. See Managements Report on Internal Control Over Financial Reporting on page F-2. </w:t>
      </w:r>
    </w:p>
    <w:p>
      <w:pPr>
        <w:pStyle w:val="TextBody"/>
        <w:spacing w:before="240" w:after="283"/>
        <w:rPr/>
      </w:pPr>
      <w:bookmarkStart w:id="17" w:name="115"/>
      <w:bookmarkEnd w:id="17"/>
      <w:r>
        <w:rPr/>
        <w:t> </w:t>
      </w:r>
    </w:p>
    <w:tbl>
      <w:tblPr>
        <w:tblW w:w="5000" w:type="pct"/>
        <w:jc w:val="left"/>
        <w:tblInd w:w="0" w:type="dxa"/>
        <w:shd w:fill="FFFFFF" w:val="clear"/>
        <w:tblCellMar>
          <w:top w:w="0" w:type="dxa"/>
          <w:left w:w="0" w:type="dxa"/>
          <w:bottom w:w="0" w:type="dxa"/>
          <w:right w:w="0" w:type="dxa"/>
        </w:tblCellMar>
      </w:tblPr>
      <w:tblGrid>
        <w:gridCol w:w="1042"/>
        <w:gridCol w:w="9163"/>
      </w:tblGrid>
      <w:tr>
        <w:trPr/>
        <w:tc>
          <w:tcPr>
            <w:tcW w:w="1042" w:type="dxa"/>
            <w:tcBorders/>
            <w:shd w:fill="FFFFFF" w:val="clear"/>
            <w:vAlign w:val="center"/>
          </w:tcPr>
          <w:p>
            <w:pPr>
              <w:pStyle w:val="TableContents"/>
              <w:spacing w:before="0" w:after="283"/>
              <w:rPr>
                <w:sz w:val="4"/>
                <w:szCs w:val="4"/>
              </w:rPr>
            </w:pPr>
            <w:r>
              <w:rPr>
                <w:sz w:val="4"/>
                <w:szCs w:val="4"/>
              </w:rPr>
            </w:r>
          </w:p>
        </w:tc>
        <w:tc>
          <w:tcPr>
            <w:tcW w:w="9163" w:type="dxa"/>
            <w:tcBorders/>
            <w:shd w:fill="FFFFFF" w:val="clear"/>
            <w:vAlign w:val="center"/>
          </w:tcPr>
          <w:p>
            <w:pPr>
              <w:pStyle w:val="TableContents"/>
              <w:spacing w:before="0" w:after="283"/>
              <w:rPr>
                <w:sz w:val="4"/>
                <w:szCs w:val="4"/>
              </w:rPr>
            </w:pPr>
            <w:r>
              <w:rPr>
                <w:sz w:val="4"/>
                <w:szCs w:val="4"/>
              </w:rPr>
            </w:r>
          </w:p>
        </w:tc>
      </w:tr>
      <w:tr>
        <w:trPr/>
        <w:tc>
          <w:tcPr>
            <w:tcW w:w="1042" w:type="dxa"/>
            <w:tcBorders/>
            <w:shd w:fill="FFFFFF" w:val="clear"/>
          </w:tcPr>
          <w:p>
            <w:pPr>
              <w:pStyle w:val="TableContents"/>
              <w:spacing w:before="0" w:after="283"/>
              <w:rPr/>
            </w:pPr>
            <w:r>
              <w:rPr>
                <w:rFonts w:ascii="Times New Roman;Times" w:hAnsi="Times New Roman;Times"/>
                <w:b/>
              </w:rPr>
              <w:t>Item 9B.  </w:t>
            </w:r>
            <w:r>
              <w:rPr/>
              <w:t xml:space="preserve"> </w:t>
            </w:r>
          </w:p>
        </w:tc>
        <w:tc>
          <w:tcPr>
            <w:tcW w:w="9163" w:type="dxa"/>
            <w:tcBorders/>
            <w:shd w:fill="FFFFFF" w:val="clear"/>
          </w:tcPr>
          <w:p>
            <w:pPr>
              <w:pStyle w:val="TableContents"/>
              <w:spacing w:before="0" w:after="283"/>
              <w:rPr/>
            </w:pPr>
            <w:r>
              <w:rPr>
                <w:rFonts w:ascii="Times New Roman;Times" w:hAnsi="Times New Roman;Times"/>
                <w:b/>
                <w:i/>
              </w:rPr>
              <w:t>Other Information</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was no information that was required to be disclosed in a report on Form 8-K during the fourth quarter of 2006 that has not previously been reported. </w:t>
      </w:r>
    </w:p>
    <w:p>
      <w:pPr>
        <w:pStyle w:val="TextBody"/>
        <w:spacing w:before="360" w:after="283"/>
        <w:rPr/>
      </w:pPr>
      <w:bookmarkStart w:id="18" w:name="116"/>
      <w:bookmarkEnd w:id="1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 III</w:t>
      </w:r>
      <w:r>
        <w:rPr>
          <w:rFonts w:ascii="Arial;Helvetica" w:hAnsi="Arial;Helvetica"/>
          <w:color w:val="000000"/>
          <w:sz w:val="17"/>
          <w:highlight w:val="white"/>
        </w:rPr>
        <w:t xml:space="preserve"> </w:t>
      </w:r>
    </w:p>
    <w:p>
      <w:pPr>
        <w:pStyle w:val="TextBody"/>
        <w:spacing w:before="240" w:after="283"/>
        <w:rPr/>
      </w:pPr>
      <w:bookmarkStart w:id="19" w:name="117"/>
      <w:bookmarkEnd w:id="19"/>
      <w:r>
        <w:rPr/>
        <w:t> </w:t>
      </w:r>
    </w:p>
    <w:tbl>
      <w:tblPr>
        <w:tblW w:w="5000" w:type="pct"/>
        <w:jc w:val="left"/>
        <w:tblInd w:w="0" w:type="dxa"/>
        <w:shd w:fill="FFFFFF" w:val="clear"/>
        <w:tblCellMar>
          <w:top w:w="0" w:type="dxa"/>
          <w:left w:w="0" w:type="dxa"/>
          <w:bottom w:w="0" w:type="dxa"/>
          <w:right w:w="0" w:type="dxa"/>
        </w:tblCellMar>
      </w:tblPr>
      <w:tblGrid>
        <w:gridCol w:w="918"/>
        <w:gridCol w:w="9287"/>
      </w:tblGrid>
      <w:tr>
        <w:trPr/>
        <w:tc>
          <w:tcPr>
            <w:tcW w:w="918" w:type="dxa"/>
            <w:tcBorders/>
            <w:shd w:fill="FFFFFF" w:val="clear"/>
            <w:vAlign w:val="center"/>
          </w:tcPr>
          <w:p>
            <w:pPr>
              <w:pStyle w:val="TableContents"/>
              <w:spacing w:before="0" w:after="283"/>
              <w:rPr>
                <w:sz w:val="4"/>
                <w:szCs w:val="4"/>
              </w:rPr>
            </w:pPr>
            <w:r>
              <w:rPr>
                <w:sz w:val="4"/>
                <w:szCs w:val="4"/>
              </w:rPr>
            </w:r>
          </w:p>
        </w:tc>
        <w:tc>
          <w:tcPr>
            <w:tcW w:w="9287" w:type="dxa"/>
            <w:tcBorders/>
            <w:shd w:fill="FFFFFF" w:val="clear"/>
            <w:vAlign w:val="center"/>
          </w:tcPr>
          <w:p>
            <w:pPr>
              <w:pStyle w:val="TableContents"/>
              <w:spacing w:before="0" w:after="283"/>
              <w:rPr>
                <w:sz w:val="4"/>
                <w:szCs w:val="4"/>
              </w:rPr>
            </w:pPr>
            <w:r>
              <w:rPr>
                <w:sz w:val="4"/>
                <w:szCs w:val="4"/>
              </w:rPr>
            </w:r>
          </w:p>
        </w:tc>
      </w:tr>
      <w:tr>
        <w:trPr/>
        <w:tc>
          <w:tcPr>
            <w:tcW w:w="918" w:type="dxa"/>
            <w:tcBorders/>
            <w:shd w:fill="FFFFFF" w:val="clear"/>
          </w:tcPr>
          <w:p>
            <w:pPr>
              <w:pStyle w:val="TableContents"/>
              <w:spacing w:before="0" w:after="283"/>
              <w:rPr/>
            </w:pPr>
            <w:r>
              <w:rPr>
                <w:rFonts w:ascii="Times New Roman;Times" w:hAnsi="Times New Roman;Times"/>
                <w:b/>
              </w:rPr>
              <w:t>Item 10.  </w:t>
            </w:r>
            <w:r>
              <w:rPr/>
              <w:t xml:space="preserve"> </w:t>
            </w:r>
          </w:p>
        </w:tc>
        <w:tc>
          <w:tcPr>
            <w:tcW w:w="9287" w:type="dxa"/>
            <w:tcBorders/>
            <w:shd w:fill="FFFFFF" w:val="clear"/>
          </w:tcPr>
          <w:p>
            <w:pPr>
              <w:pStyle w:val="TableContents"/>
              <w:spacing w:before="0" w:after="283"/>
              <w:rPr/>
            </w:pPr>
            <w:r>
              <w:rPr>
                <w:rFonts w:ascii="Times New Roman;Times" w:hAnsi="Times New Roman;Times"/>
                <w:b/>
                <w:i/>
              </w:rPr>
              <w:t>Directors and Executive Officers of Our General Partner and Corporate Governance</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Partnership Management and Governance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is the case with many publicly traded partnerships, we do not directly have officers, directors or employees. Our operations and activities are managed by the general partner of our general partner, Plains All American GP LLC (GP LLC), which employs our management and operational personnel (other than our Canadian personnel who are employed by PMC (Nova Scotia) Company). References to our general partner, unless the context otherwise requires, include GP LLC. References to our officers, directors and employees are references to the officers, directors and employees of GP LLC (or, in the case of our Canadian operations, PMC (Nova Scotia) Company).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manages our operations and activities. Unitholders are limited partners and do not directly or indirectly participate in our management or operation. Our general partner owes a fiduciary duty to our unitholders, as limited by our partnership agreement.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partnership agreement provides that the general partner will manage and operate us and that, unlike holders of common stock in a corporation, unitholders will have only limited voting rights on matters affecting our business or governance. The corporate governance of GP LLC is, in effect, the corporate governance of our partnership, subject in all cases to any specific unitholder rights contained in our partnership agreement. Specifically, our partnership agreement defines Board of Directors to mean the board of directors of GP LLC, which consists of up to eight directors elected by the members of GP LLC, and not by our unitholders. The Board currently consists of seven directors. Under the Second Amended and Restated Limited Liability Company Agreement of GP LLC (the GP LLC Agreement), three of the members of GP LLC have the right to designate one director each and our CEO is a director by virtue of holding the office. In addition, the GP LLC Agreement provides that three independent directors (and an eighth seat that is currently vacant) are elected, and may be removed, by a majority of the membership interest. The vacant seat is not required to be independent.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August 2005, a former members 19% interest in the general partner was sold pro rata to the other general partner owners, resulting in Vulcan Energys ownership interest increasing from 44% to 54%. See Item 12. Security Ownership of Certain Beneficial Owners and Management and Related Unitholder Matters  Beneficial Ownership of General Partner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this transaction, Vulcan Energy entered into an agreement with GP LLC pursuant to which Vulcan Energy has agreed to restrict certain of its voting rights to help preserve a balanced board. Vulcan Energy has agreed that, with respect to any action taken involving the election or removal of an independent director, Vulcan Energy will vote all of its interest in excess of 49.9% in the same way and proportionate to the votes of all membership interests other than Vulcan Energys. Without the voting agreement, Vulcan Energys ownership interest would allow Vulcan Energy, in effect, to unilaterally elect five of the eight board seats: the Vulcan Energy designee, the currently vacant seat and the three independent directors (subject, in the case of the independent directors, to the qualification requirements of the GP LLC Agreement, our partnership agreement, NYSE listing standards and SEC regulations). Vulcan Energy has the right at any time to give notice of termination of the agreement. The time between notice and termination depends on the circumstances, but would never be longer than one year. In connection with the August 2005 transaction, Messrs. Armstrong and Pefanis entered into waivers of the change in control provisions of their employment agreements, which otherwise would have been triggered by the transaction. These waivers were contingent upon Vulcans execution of the voting agreement, and will terminate upon any breach or termination by Vulcan Energy of, or notice of termination under, the voting agreement. See Item 11. Executive Compensation  Employment Contracts and   Potential Payments upon Termination or Change-in-Control.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Another member, Lynx Holdings I, LLC, also agreed to certain restrictions on its voting rights with respect to its approximate 1.2% interest in GP LLC and Plains AAP, L.P. The Lynx voting agreement requires Lynx to vote its membership interest (in the context of elections or the removal of an independent director) in the same way and proportionate to the votes of the other membership interests (excluding Vulcans and Lynxs). Lynx has the right to terminate its voting agreement at any time upon termination of the Vulcan voting agreement or the sale or transfer of all of its interest in the general partner to an unaffiliated third party.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Non-Management Executive Sessions and Shareholder Communications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Non-management directors meet in executive session in connection with each regular board meeting. Each non-management director acts as presiding director at the regularly scheduled executive sessions, rotating alphabetically by last name.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Interested parties can communicate directly with non-management directors by mail in care of the General Counsel and Secretary or Director of Internal Audit, Plains All American Pipeline, L.P., 333 Clay Street, Suite 1600, Houston, Texas 77002. Such communications should specify the intended recipient or recipients. Commercial solicitations or communications will not be forwarded.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Independence Determinations and Audit Committee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we are a limited partnership, the listing standards of the NYSE do not require that we or our general partner have a majority of independent directors or a nominating or compensation committee of the board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directors. We are, however, required to have an audit committee, and all of its members are required to be independent as defined by the NYSE.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NYSE listing standards, to be considered independent,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an audit committee that reviews our external financial reporting, engages our independent auditors and reviews the adequacy of our internal accounting controls. The charter of our audit committee is available on our website. See   Meetings and Other Information. The board of directors has determined that each member of our audit committee (Messrs. Goyanes, Smith and Symonds) is (i) independent under applicable NYSE rules and (ii) an Audit Committee Financial Expert, as that term is defined in Item 407 of Regulation S-K.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determining the independence of the members of our audit committee, the board of directors considered the relationships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Mr. Everardo Goyanes, </w:t>
      </w:r>
      <w:r>
        <w:rPr>
          <w:rFonts w:ascii="Times New Roman;Times" w:hAnsi="Times New Roman;Times"/>
          <w:color w:val="000000"/>
          <w:sz w:val="17"/>
          <w:highlight w:val="white"/>
        </w:rPr>
        <w:t xml:space="preserve">the chairman of our audit committee, is President and Chief Executive Officer of Liberty Energy Holdings, LLC (LEH), a subsidiary of Liberty Mutual Insurance Company. LEH makes investments in producing properties, from some of which Plains Marketing, L.P. buys the production. LEH does not operate the properties in which it invests. Plains Marketing pays the same amount per barrel to LEH that it pays to other interest owners in the properties. In 2006, the amount paid to LEH by Plains Marketing was approximately $1.1 million (net of severance taxes). The board has determined that the transactions with LEH are not material and do not compromise Mr. Goyanes independence.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Mr. J. Taft Symonds, </w:t>
      </w:r>
      <w:r>
        <w:rPr>
          <w:rFonts w:ascii="Times New Roman;Times" w:hAnsi="Times New Roman;Times"/>
          <w:color w:val="000000"/>
          <w:sz w:val="17"/>
          <w:highlight w:val="white"/>
        </w:rPr>
        <w:t xml:space="preserve">a member of our audit committee, was a director and the non-executive Chairman of the Board of Tetra Technologies, Inc. (Tetra) through December 2006. A subsidiary of Tetra owns crude oil producing properties, from some of which Plains Marketing buys the production. Mr. Symonds was not an officer of Tetra, and did not participate in operational decision making, including decisions concerning selection of crude oil purchasers or entering into sales or marketing arrangements. In 2006, the amount paid to the Tetra subsidiary by Plains Marketing was approximately $14.0 million (net of severance taxes). The board has determined that the transactions with Tetra were not material and did not compromise Mr. Symonds independence.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Mr. Arthur L. Smith, </w:t>
      </w:r>
      <w:r>
        <w:rPr>
          <w:rFonts w:ascii="Times New Roman;Times" w:hAnsi="Times New Roman;Times"/>
          <w:color w:val="000000"/>
          <w:sz w:val="17"/>
          <w:highlight w:val="white"/>
        </w:rPr>
        <w:t xml:space="preserve">a member of our audit committee, has no relationships with either GP LLC or us, other than as a director and unitholder.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 Meetings and Other Information. The compensation committee currently consists of Messrs. Capobianco, Petersen and Sinnott. Under applicable stock exchange rules, none of the members of our compensation committee is required to be independent. None of the members of the compensation committee has been determined to be independent at this time. The compensation committee has the sole authority to retain any compensation consultants to be used to assist the committee, but did not retain any consultants in 2006. Similarly, the compensation committee has not delegated any of its authority to subcommittees. The compensation committee has delegated limited authority to the CEO to administer our long-term incentive plans with respect to non-officers.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Governance and Other Committees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have a governance committee that periodically reviews our governance guidelines. The charter of our governance committee is available on our website. See  Meetings and Other Information. The governance committee currently consists of Messrs. Smith and Symonds, each of whom is independent under the NYSEs listing standards. As a limited partnership, we are not required by the listing standards of the NYSE to have a nominating committee. As discussed above, three of the owners of our general partner each have the right to appoint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director, and Mr. Armstrong is a director by virtue of his office. In the event of a vacancy in the three independent director seats, the governance committee will assist in identifying and screening potential candidates. Upon request of the owners of the general partner, the governance committee is also available to assist in identifying and screening potential candidates for the currently vacant at large seat. The governance committee will base its recommendations on an assessment of the skills, experience and characteristics of the candidate in the context of the needs of the board. As a minimum requirement for the independent board seats, any candidate must be independent and qualify for service on the audit committee under applicable SEC and NYSE rules.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partnership agreement provides for the establishment or activation of a conflicts committee as circumstances warrant to review conflicts of interest between us and our general partner or the owners of our general partner. Such a committee would consist of a minimum of two members, none of whom can be officers or employees of our general partner or directors, officers or employees of its affiliates nor owners of the general partner interest. Any matters approved by the conflicts committee will be conclusively deemed to be fair and reasonable to us, approved by all of our partners, and not a breach by our general partner of any duties owed to us or our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Meetings and Other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last fiscal year our board of directors had eight regularly scheduled and special meetings, our audit committee had 14 meetings, our compensation committee had one meeting and our governance committee had two meetings. None of our directors attended fewer than 75% of the aggregate number of meetings of the board of directors and committees of the board on which the director served.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discussed above, the corporate governance of GP LLC is, in effect, the corporate governance of our partnership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http://www.paalp.com. Print versions of the foregoing are available to any unitholder upon request by writing to our Secretary, Plains All American Pipeline, L.P., 333 Clay Street, Suite 1600, Houston, Texas 77002. We intend to disclose any amendment to or waiver of the Code of Ethics for Senior Financial Officers and any waiver of our Code of Business Conduct on behalf of an executive officer or director either on our Internet website or in an 8-K filing. Our Chief Executive Officer submitted to the NYSE the most recent annual certification, without qualification, as required by Section 303A.12(a) of the NYSEs Listed Company Manual.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 of the Audit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of Plains All American GP LLC oversees the Partnerships financial reporting process on behalf of the board of directors. Management has the primary responsibility for the financial statements and the reporting process including the systems of internal controls.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fulfilling its oversight responsibilities, the audit committee reviewed and discussed with management the audited financial statements contained in this Annual Report on Form 10-K.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independent registered public accounting firm, PricewaterhouseCoopers LLP, is responsible for expressing an opinion on the conformity of the audited financial statements with accounting principles generally accepted in the United States of America and opinions on managements assessment and on the effectiveness of the Partnerships internal control over financial reporting. The audit committee reviewed with PricewaterhouseCoopers LLP their judgment as to the quality, not just the acceptability, of the Partnerships accounting principles and such other matters as are required to be discussed with the audit committee under generally accepted auditing standards.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discussed with PricewaterhouseCoopers LLP the matters required to be discussed by SAS 61 (Codification of Statement on Auditing Standards, AU § 380), as may be modified or supplemented.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committee received written disclosures and the letter from PricewaterhouseCoopers LLP required by Independence Standards Board No. 1, </w:t>
      </w:r>
      <w:r>
        <w:rPr>
          <w:rFonts w:ascii="Times New Roman;Times" w:hAnsi="Times New Roman;Times"/>
          <w:i/>
          <w:color w:val="000000"/>
          <w:sz w:val="17"/>
          <w:highlight w:val="white"/>
        </w:rPr>
        <w:t>Independence Discussions with Audit Committees</w:t>
      </w:r>
      <w:r>
        <w:rPr>
          <w:rFonts w:ascii="Times New Roman;Times" w:hAnsi="Times New Roman;Times"/>
          <w:color w:val="000000"/>
          <w:sz w:val="17"/>
          <w:highlight w:val="white"/>
        </w:rPr>
        <w:t xml:space="preserve">, as may be modified or supplemented, and has discussed with PricewaterhouseCoopers LLP its independence from management and the Partnership.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the reviews and discussions referred to above, the audit committee recommended to the board of directors that the audited financial statements be included in the Annual Report on Form 10-K for the year ended December 31, 2006 for filing with the SEC.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Everardo Goyanes,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Arthur L. Smith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J. Taft Symonds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 of the Compensation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compensation committee of Plains All American GP LLC reviews and makes recommendations to the board of directors regarding the compensation for the executive officers and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fulfilling its oversight responsibilities, the compensation committee reviewed and discussed with management the compensation discussion and analysis contained in this Annual Report on Form 10-K. Based on the reviews and discussions referred to above, the compensation committee recommended to the board of directors that the compensation discussion and analysis be included in the Annual Report on Form 10-K for the year ended December 31, 2006 for filing with the SEC.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David N. Capobianco,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Gary R. Petersen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Robert V. Sinnott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Committee Interlocks and Insider Participation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Messrs. Capobianco, Petersen and Sinnott served on the compensation committee during 2006. During 2006, none of the members of the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Messrs. Capobianco, Petersen and Sinnott are associated with business entities with which we have relationships. See Item 13. Certain Relationships and Related Transactions, and Director Independence.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Directors and Executive Officers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to serve until their resignation, death or removal. There is no family relationship between any executive officer and director. Three of the owners of our general partner each have the right to separately designate a member of our board. Such designees are indicated in footnote 2 to the following table.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781"/>
        <w:gridCol w:w="204"/>
        <w:gridCol w:w="369"/>
        <w:gridCol w:w="673"/>
        <w:gridCol w:w="379"/>
        <w:gridCol w:w="280"/>
        <w:gridCol w:w="4519"/>
      </w:tblGrid>
      <w:tr>
        <w:trPr/>
        <w:tc>
          <w:tcPr>
            <w:tcW w:w="3781"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369"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379" w:type="dxa"/>
            <w:tcBorders/>
            <w:shd w:fill="FFFFFF" w:val="clear"/>
            <w:vAlign w:val="bottom"/>
          </w:tcPr>
          <w:p>
            <w:pPr>
              <w:pStyle w:val="TableContents"/>
              <w:spacing w:before="0" w:after="283"/>
              <w:rPr/>
            </w:pPr>
            <w:r>
              <w:rPr/>
              <w:t> </w:t>
            </w:r>
          </w:p>
        </w:tc>
        <w:tc>
          <w:tcPr>
            <w:tcW w:w="280" w:type="dxa"/>
            <w:tcBorders/>
            <w:shd w:fill="FFFFFF" w:val="clear"/>
            <w:vAlign w:val="bottom"/>
          </w:tcPr>
          <w:p>
            <w:pPr>
              <w:pStyle w:val="TableContents"/>
              <w:spacing w:before="0" w:after="283"/>
              <w:rPr/>
            </w:pPr>
            <w:r>
              <w:rPr/>
              <w:t> </w:t>
            </w:r>
          </w:p>
        </w:tc>
        <w:tc>
          <w:tcPr>
            <w:tcW w:w="4519" w:type="dxa"/>
            <w:tcBorders/>
            <w:shd w:fill="FFFFFF" w:val="clear"/>
            <w:vAlign w:val="bottom"/>
          </w:tcPr>
          <w:p>
            <w:pPr>
              <w:pStyle w:val="TableContents"/>
              <w:spacing w:before="0" w:after="283"/>
              <w:rPr/>
            </w:pPr>
            <w:r>
              <w:rPr/>
              <w:t> </w:t>
            </w:r>
          </w:p>
        </w:tc>
      </w:tr>
      <w:tr>
        <w:trPr/>
        <w:tc>
          <w:tcPr>
            <w:tcW w:w="3781"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shd w:fill="FFFFFF" w:val="clear"/>
            <w:vAlign w:val="bottom"/>
          </w:tcPr>
          <w:p>
            <w:pPr>
              <w:pStyle w:val="TableContents"/>
              <w:spacing w:before="0" w:after="283"/>
              <w:jc w:val="center"/>
              <w:rPr>
                <w:b/>
              </w:rPr>
            </w:pPr>
            <w:r>
              <w:rPr>
                <w:b/>
              </w:rPr>
              <w:t>Age</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283"/>
              <w:jc w:val="center"/>
              <w:rPr/>
            </w:pPr>
            <w:r>
              <w:rPr/>
              <w:t xml:space="preserve">  </w:t>
            </w:r>
          </w:p>
        </w:tc>
      </w:tr>
      <w:tr>
        <w:trPr/>
        <w:tc>
          <w:tcPr>
            <w:tcW w:w="3781"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shd w:fill="FFFFFF" w:val="clear"/>
            <w:vAlign w:val="bottom"/>
          </w:tcPr>
          <w:p>
            <w:pPr>
              <w:pStyle w:val="TableContents"/>
              <w:spacing w:before="0" w:after="283"/>
              <w:jc w:val="center"/>
              <w:rPr>
                <w:b/>
              </w:rPr>
            </w:pPr>
            <w:r>
              <w:rPr>
                <w:b/>
              </w:rPr>
              <w:t>(as of</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283"/>
              <w:jc w:val="center"/>
              <w:rPr/>
            </w:pPr>
            <w:r>
              <w:rPr/>
              <w:t xml:space="preserve">  </w:t>
            </w:r>
          </w:p>
        </w:tc>
      </w:tr>
      <w:tr>
        <w:trPr/>
        <w:tc>
          <w:tcPr>
            <w:tcW w:w="3781" w:type="dxa"/>
            <w:tcBorders/>
            <w:shd w:fill="FFFFFF" w:val="clear"/>
            <w:vAlign w:val="bottom"/>
          </w:tcPr>
          <w:p>
            <w:pPr>
              <w:pStyle w:val="TableContents"/>
              <w:spacing w:before="0" w:after="0"/>
              <w:jc w:val="left"/>
              <w:rPr>
                <w:bdr w:val="single" w:sz="2" w:space="1" w:color="000000"/>
              </w:rPr>
            </w:pPr>
            <w:r>
              <w:rPr>
                <w:b/>
                <w:bdr w:val="single" w:sz="2" w:space="1" w:color="000000"/>
              </w:rPr>
              <w:t>Name</w:t>
            </w:r>
            <w:r>
              <w:rPr>
                <w:bdr w:val="single" w:sz="2" w:space="1" w:color="000000"/>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12/31/06)</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0"/>
              <w:jc w:val="center"/>
              <w:rPr>
                <w:bdr w:val="single" w:sz="2" w:space="1" w:color="000000"/>
              </w:rPr>
            </w:pPr>
            <w:r>
              <w:rPr>
                <w:b/>
                <w:bdr w:val="single" w:sz="2" w:space="1" w:color="000000"/>
              </w:rPr>
              <w:t>Position(1)</w:t>
            </w:r>
            <w:r>
              <w:rPr>
                <w:bdr w:val="single" w:sz="2" w:space="1" w:color="000000"/>
              </w:rPr>
              <w:t xml:space="preserve"> </w:t>
            </w:r>
          </w:p>
        </w:tc>
      </w:tr>
      <w:tr>
        <w:trPr/>
        <w:tc>
          <w:tcPr>
            <w:tcW w:w="3781" w:type="dxa"/>
            <w:tcBorders/>
            <w:shd w:fill="FFFFFF" w:val="clear"/>
            <w:vAlign w:val="center"/>
          </w:tcPr>
          <w:p>
            <w:pPr>
              <w:pStyle w:val="TableContents"/>
              <w:spacing w:before="0" w:after="283"/>
              <w:rPr/>
            </w:pPr>
            <w:r>
              <w:rPr/>
              <w:t xml:space="preserve">  </w:t>
            </w:r>
          </w:p>
        </w:tc>
        <w:tc>
          <w:tcPr>
            <w:tcW w:w="6424" w:type="dxa"/>
            <w:gridSpan w:val="6"/>
            <w:tcBorders/>
            <w:shd w:fill="FFFFFF" w:val="clear"/>
          </w:tcPr>
          <w:p>
            <w:pPr>
              <w:pStyle w:val="TableContents"/>
              <w:spacing w:before="0" w:after="283"/>
              <w:rPr>
                <w:sz w:val="4"/>
                <w:szCs w:val="4"/>
              </w:rPr>
            </w:pPr>
            <w:r>
              <w:rPr>
                <w:sz w:val="4"/>
                <w:szCs w:val="4"/>
              </w:rPr>
            </w:r>
          </w:p>
        </w:tc>
      </w:tr>
      <w:tr>
        <w:trPr/>
        <w:tc>
          <w:tcPr>
            <w:tcW w:w="3781" w:type="dxa"/>
            <w:tcBorders/>
            <w:shd w:fill="CCEEFF" w:val="clear"/>
          </w:tcPr>
          <w:p>
            <w:pPr>
              <w:pStyle w:val="TableContents"/>
              <w:spacing w:before="0" w:after="0"/>
              <w:ind w:left="200" w:right="0" w:hanging="200"/>
              <w:jc w:val="left"/>
              <w:rPr>
                <w:sz w:val="17"/>
              </w:rPr>
            </w:pPr>
            <w:r>
              <w:rPr>
                <w:sz w:val="17"/>
              </w:rPr>
              <w:t xml:space="preserve">Greg L. Armstrong*(2) </w:t>
            </w:r>
          </w:p>
        </w:tc>
        <w:tc>
          <w:tcPr>
            <w:tcW w:w="204" w:type="dxa"/>
            <w:tcBorders/>
            <w:shd w:fill="CCEEFF" w:val="clear"/>
            <w:vAlign w:val="bottom"/>
          </w:tcPr>
          <w:p>
            <w:pPr>
              <w:pStyle w:val="TableContents"/>
              <w:spacing w:before="0" w:after="283"/>
              <w:rPr/>
            </w:pPr>
            <w:r>
              <w:rPr/>
              <w:t xml:space="preserve">  </w:t>
            </w:r>
          </w:p>
        </w:tc>
        <w:tc>
          <w:tcPr>
            <w:tcW w:w="369"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tcPr>
          <w:p>
            <w:pPr>
              <w:pStyle w:val="TableContents"/>
              <w:spacing w:before="0" w:after="283"/>
              <w:jc w:val="right"/>
              <w:rPr>
                <w:sz w:val="17"/>
              </w:rPr>
            </w:pPr>
            <w:r>
              <w:rPr>
                <w:sz w:val="17"/>
              </w:rPr>
              <w:t xml:space="preserve">48 </w:t>
            </w:r>
          </w:p>
        </w:tc>
        <w:tc>
          <w:tcPr>
            <w:tcW w:w="379"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xml:space="preserve">  </w:t>
            </w:r>
          </w:p>
        </w:tc>
        <w:tc>
          <w:tcPr>
            <w:tcW w:w="4519" w:type="dxa"/>
            <w:tcBorders/>
            <w:shd w:fill="CCEEFF" w:val="clear"/>
            <w:vAlign w:val="bottom"/>
          </w:tcPr>
          <w:p>
            <w:pPr>
              <w:pStyle w:val="TableContents"/>
              <w:spacing w:before="0" w:after="283"/>
              <w:jc w:val="left"/>
              <w:rPr>
                <w:sz w:val="17"/>
              </w:rPr>
            </w:pPr>
            <w:r>
              <w:rPr>
                <w:sz w:val="17"/>
              </w:rPr>
              <w:t xml:space="preserve">Chairman of the Board, Chief Executive Officer and Director </w:t>
            </w:r>
          </w:p>
        </w:tc>
      </w:tr>
      <w:tr>
        <w:trPr/>
        <w:tc>
          <w:tcPr>
            <w:tcW w:w="3781" w:type="dxa"/>
            <w:tcBorders/>
            <w:shd w:fill="FFFFFF" w:val="clear"/>
          </w:tcPr>
          <w:p>
            <w:pPr>
              <w:pStyle w:val="TableContents"/>
              <w:spacing w:before="0" w:after="0"/>
              <w:ind w:left="200" w:right="0" w:hanging="200"/>
              <w:jc w:val="left"/>
              <w:rPr>
                <w:sz w:val="17"/>
              </w:rPr>
            </w:pPr>
            <w:r>
              <w:rPr>
                <w:sz w:val="17"/>
              </w:rPr>
              <w:t xml:space="preserve">Harry N. Pefanis* </w:t>
            </w:r>
          </w:p>
        </w:tc>
        <w:tc>
          <w:tcPr>
            <w:tcW w:w="204" w:type="dxa"/>
            <w:tcBorders/>
            <w:shd w:fill="FFFFFF" w:val="clear"/>
            <w:vAlign w:val="bottom"/>
          </w:tcPr>
          <w:p>
            <w:pPr>
              <w:pStyle w:val="TableContents"/>
              <w:spacing w:before="0" w:after="283"/>
              <w:rPr/>
            </w:pPr>
            <w:r>
              <w:rPr/>
              <w:t xml:space="preserve">  </w:t>
            </w:r>
          </w:p>
        </w:tc>
        <w:tc>
          <w:tcPr>
            <w:tcW w:w="369" w:type="dxa"/>
            <w:tcBorders/>
            <w:shd w:fill="FFFFFF" w:val="clear"/>
            <w:vAlign w:val="bottom"/>
          </w:tcPr>
          <w:p>
            <w:pPr>
              <w:pStyle w:val="TableContents"/>
              <w:spacing w:before="0" w:after="283"/>
              <w:rPr>
                <w:sz w:val="4"/>
                <w:szCs w:val="4"/>
              </w:rPr>
            </w:pPr>
            <w:r>
              <w:rPr>
                <w:sz w:val="4"/>
                <w:szCs w:val="4"/>
              </w:rPr>
            </w:r>
          </w:p>
        </w:tc>
        <w:tc>
          <w:tcPr>
            <w:tcW w:w="673" w:type="dxa"/>
            <w:tcBorders/>
            <w:shd w:fill="FFFFFF" w:val="clear"/>
          </w:tcPr>
          <w:p>
            <w:pPr>
              <w:pStyle w:val="TableContents"/>
              <w:spacing w:before="0" w:after="283"/>
              <w:jc w:val="right"/>
              <w:rPr>
                <w:sz w:val="17"/>
              </w:rPr>
            </w:pPr>
            <w:r>
              <w:rPr>
                <w:sz w:val="17"/>
              </w:rPr>
              <w:t xml:space="preserve">49 </w:t>
            </w:r>
          </w:p>
        </w:tc>
        <w:tc>
          <w:tcPr>
            <w:tcW w:w="379" w:type="dxa"/>
            <w:tcBorders/>
            <w:shd w:fill="FFFFFF" w:val="clear"/>
            <w:vAlign w:val="bottom"/>
          </w:tcPr>
          <w:p>
            <w:pPr>
              <w:pStyle w:val="TableContents"/>
              <w:spacing w:before="0" w:after="283"/>
              <w:rPr>
                <w:sz w:val="4"/>
                <w:szCs w:val="4"/>
              </w:rPr>
            </w:pPr>
            <w:r>
              <w:rPr>
                <w:sz w:val="4"/>
                <w:szCs w:val="4"/>
              </w:rPr>
            </w:r>
          </w:p>
        </w:tc>
        <w:tc>
          <w:tcPr>
            <w:tcW w:w="280" w:type="dxa"/>
            <w:tcBorders/>
            <w:shd w:fill="FFFFFF" w:val="clear"/>
            <w:vAlign w:val="bottom"/>
          </w:tcPr>
          <w:p>
            <w:pPr>
              <w:pStyle w:val="TableContents"/>
              <w:spacing w:before="0" w:after="283"/>
              <w:rPr/>
            </w:pPr>
            <w:r>
              <w:rPr/>
              <w:t xml:space="preserve">  </w:t>
            </w:r>
          </w:p>
        </w:tc>
        <w:tc>
          <w:tcPr>
            <w:tcW w:w="4519" w:type="dxa"/>
            <w:tcBorders/>
            <w:shd w:fill="FFFFFF" w:val="clear"/>
            <w:vAlign w:val="bottom"/>
          </w:tcPr>
          <w:p>
            <w:pPr>
              <w:pStyle w:val="TableContents"/>
              <w:spacing w:before="0" w:after="283"/>
              <w:jc w:val="left"/>
              <w:rPr>
                <w:sz w:val="17"/>
              </w:rPr>
            </w:pPr>
            <w:r>
              <w:rPr>
                <w:sz w:val="17"/>
              </w:rPr>
              <w:t xml:space="preserve">President and Chief Operating Officer </w:t>
            </w:r>
          </w:p>
        </w:tc>
      </w:tr>
      <w:tr>
        <w:trPr/>
        <w:tc>
          <w:tcPr>
            <w:tcW w:w="3781" w:type="dxa"/>
            <w:tcBorders/>
            <w:shd w:fill="CCEEFF" w:val="clear"/>
          </w:tcPr>
          <w:p>
            <w:pPr>
              <w:pStyle w:val="TableContents"/>
              <w:spacing w:before="0" w:after="0"/>
              <w:ind w:left="200" w:right="0" w:hanging="200"/>
              <w:jc w:val="left"/>
              <w:rPr>
                <w:sz w:val="17"/>
              </w:rPr>
            </w:pPr>
            <w:r>
              <w:rPr>
                <w:sz w:val="17"/>
              </w:rPr>
              <w:t xml:space="preserve">Phillip D. Kramer* </w:t>
            </w:r>
          </w:p>
        </w:tc>
        <w:tc>
          <w:tcPr>
            <w:tcW w:w="204" w:type="dxa"/>
            <w:tcBorders/>
            <w:shd w:fill="CCEEFF" w:val="clear"/>
            <w:vAlign w:val="bottom"/>
          </w:tcPr>
          <w:p>
            <w:pPr>
              <w:pStyle w:val="TableContents"/>
              <w:spacing w:before="0" w:after="283"/>
              <w:rPr/>
            </w:pPr>
            <w:r>
              <w:rPr/>
              <w:t xml:space="preserve">  </w:t>
            </w:r>
          </w:p>
        </w:tc>
        <w:tc>
          <w:tcPr>
            <w:tcW w:w="369"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tcPr>
          <w:p>
            <w:pPr>
              <w:pStyle w:val="TableContents"/>
              <w:spacing w:before="0" w:after="283"/>
              <w:jc w:val="right"/>
              <w:rPr>
                <w:sz w:val="17"/>
              </w:rPr>
            </w:pPr>
            <w:r>
              <w:rPr>
                <w:sz w:val="17"/>
              </w:rPr>
              <w:t xml:space="preserve">50 </w:t>
            </w:r>
          </w:p>
        </w:tc>
        <w:tc>
          <w:tcPr>
            <w:tcW w:w="379"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xml:space="preserve">  </w:t>
            </w:r>
          </w:p>
        </w:tc>
        <w:tc>
          <w:tcPr>
            <w:tcW w:w="4519" w:type="dxa"/>
            <w:tcBorders/>
            <w:shd w:fill="CCEEFF" w:val="clear"/>
            <w:vAlign w:val="bottom"/>
          </w:tcPr>
          <w:p>
            <w:pPr>
              <w:pStyle w:val="TableContents"/>
              <w:spacing w:before="0" w:after="283"/>
              <w:jc w:val="left"/>
              <w:rPr>
                <w:sz w:val="17"/>
              </w:rPr>
            </w:pPr>
            <w:r>
              <w:rPr>
                <w:sz w:val="17"/>
              </w:rPr>
              <w:t xml:space="preserve">Executive Vice President and Chief Financial Officer </w:t>
            </w:r>
          </w:p>
        </w:tc>
      </w:tr>
      <w:tr>
        <w:trPr/>
        <w:tc>
          <w:tcPr>
            <w:tcW w:w="3781" w:type="dxa"/>
            <w:tcBorders/>
            <w:shd w:fill="FFFFFF" w:val="clear"/>
          </w:tcPr>
          <w:p>
            <w:pPr>
              <w:pStyle w:val="TableContents"/>
              <w:spacing w:before="0" w:after="0"/>
              <w:ind w:left="200" w:right="0" w:hanging="200"/>
              <w:jc w:val="left"/>
              <w:rPr>
                <w:sz w:val="17"/>
              </w:rPr>
            </w:pPr>
            <w:r>
              <w:rPr>
                <w:sz w:val="17"/>
              </w:rPr>
              <w:t xml:space="preserve">George R. Coiner* </w:t>
            </w:r>
          </w:p>
        </w:tc>
        <w:tc>
          <w:tcPr>
            <w:tcW w:w="204" w:type="dxa"/>
            <w:tcBorders/>
            <w:shd w:fill="FFFFFF" w:val="clear"/>
            <w:vAlign w:val="bottom"/>
          </w:tcPr>
          <w:p>
            <w:pPr>
              <w:pStyle w:val="TableContents"/>
              <w:spacing w:before="0" w:after="283"/>
              <w:rPr/>
            </w:pPr>
            <w:r>
              <w:rPr/>
              <w:t xml:space="preserve">  </w:t>
            </w:r>
          </w:p>
        </w:tc>
        <w:tc>
          <w:tcPr>
            <w:tcW w:w="369" w:type="dxa"/>
            <w:tcBorders/>
            <w:shd w:fill="FFFFFF" w:val="clear"/>
            <w:vAlign w:val="bottom"/>
          </w:tcPr>
          <w:p>
            <w:pPr>
              <w:pStyle w:val="TableContents"/>
              <w:spacing w:before="0" w:after="283"/>
              <w:rPr>
                <w:sz w:val="4"/>
                <w:szCs w:val="4"/>
              </w:rPr>
            </w:pPr>
            <w:r>
              <w:rPr>
                <w:sz w:val="4"/>
                <w:szCs w:val="4"/>
              </w:rPr>
            </w:r>
          </w:p>
        </w:tc>
        <w:tc>
          <w:tcPr>
            <w:tcW w:w="673" w:type="dxa"/>
            <w:tcBorders/>
            <w:shd w:fill="FFFFFF" w:val="clear"/>
          </w:tcPr>
          <w:p>
            <w:pPr>
              <w:pStyle w:val="TableContents"/>
              <w:spacing w:before="0" w:after="283"/>
              <w:jc w:val="right"/>
              <w:rPr>
                <w:sz w:val="17"/>
              </w:rPr>
            </w:pPr>
            <w:r>
              <w:rPr>
                <w:sz w:val="17"/>
              </w:rPr>
              <w:t xml:space="preserve">56 </w:t>
            </w:r>
          </w:p>
        </w:tc>
        <w:tc>
          <w:tcPr>
            <w:tcW w:w="379" w:type="dxa"/>
            <w:tcBorders/>
            <w:shd w:fill="FFFFFF" w:val="clear"/>
            <w:vAlign w:val="bottom"/>
          </w:tcPr>
          <w:p>
            <w:pPr>
              <w:pStyle w:val="TableContents"/>
              <w:spacing w:before="0" w:after="283"/>
              <w:rPr>
                <w:sz w:val="4"/>
                <w:szCs w:val="4"/>
              </w:rPr>
            </w:pPr>
            <w:r>
              <w:rPr>
                <w:sz w:val="4"/>
                <w:szCs w:val="4"/>
              </w:rPr>
            </w:r>
          </w:p>
        </w:tc>
        <w:tc>
          <w:tcPr>
            <w:tcW w:w="280" w:type="dxa"/>
            <w:tcBorders/>
            <w:shd w:fill="FFFFFF" w:val="clear"/>
            <w:vAlign w:val="bottom"/>
          </w:tcPr>
          <w:p>
            <w:pPr>
              <w:pStyle w:val="TableContents"/>
              <w:spacing w:before="0" w:after="283"/>
              <w:rPr/>
            </w:pPr>
            <w:r>
              <w:rPr/>
              <w:t xml:space="preserve">  </w:t>
            </w:r>
          </w:p>
        </w:tc>
        <w:tc>
          <w:tcPr>
            <w:tcW w:w="4519" w:type="dxa"/>
            <w:tcBorders/>
            <w:shd w:fill="FFFFFF" w:val="clear"/>
            <w:vAlign w:val="bottom"/>
          </w:tcPr>
          <w:p>
            <w:pPr>
              <w:pStyle w:val="TableContents"/>
              <w:spacing w:before="0" w:after="283"/>
              <w:jc w:val="left"/>
              <w:rPr>
                <w:sz w:val="17"/>
              </w:rPr>
            </w:pPr>
            <w:r>
              <w:rPr>
                <w:sz w:val="17"/>
              </w:rPr>
              <w:t xml:space="preserve">Senior Group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3823"/>
        <w:gridCol w:w="177"/>
        <w:gridCol w:w="330"/>
        <w:gridCol w:w="671"/>
        <w:gridCol w:w="340"/>
        <w:gridCol w:w="239"/>
        <w:gridCol w:w="4625"/>
      </w:tblGrid>
      <w:tr>
        <w:trPr/>
        <w:tc>
          <w:tcPr>
            <w:tcW w:w="3823"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rPr/>
            </w:pPr>
            <w:r>
              <w:rPr/>
              <w:t> </w:t>
            </w:r>
          </w:p>
        </w:tc>
        <w:tc>
          <w:tcPr>
            <w:tcW w:w="330" w:type="dxa"/>
            <w:tcBorders/>
            <w:shd w:fill="FFFFFF" w:val="clear"/>
            <w:vAlign w:val="bottom"/>
          </w:tcPr>
          <w:p>
            <w:pPr>
              <w:pStyle w:val="TableContents"/>
              <w:spacing w:before="0" w:after="283"/>
              <w:rPr/>
            </w:pPr>
            <w:r>
              <w:rPr/>
              <w:t> </w:t>
            </w:r>
          </w:p>
        </w:tc>
        <w:tc>
          <w:tcPr>
            <w:tcW w:w="671"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rPr/>
            </w:pPr>
            <w:r>
              <w:rPr/>
              <w:t> </w:t>
            </w:r>
          </w:p>
        </w:tc>
        <w:tc>
          <w:tcPr>
            <w:tcW w:w="4625" w:type="dxa"/>
            <w:tcBorders/>
            <w:shd w:fill="FFFFFF" w:val="clear"/>
            <w:vAlign w:val="bottom"/>
          </w:tcPr>
          <w:p>
            <w:pPr>
              <w:pStyle w:val="TableContents"/>
              <w:spacing w:before="0" w:after="283"/>
              <w:rPr/>
            </w:pPr>
            <w:r>
              <w:rPr/>
              <w:t> </w:t>
            </w:r>
          </w:p>
        </w:tc>
      </w:tr>
      <w:tr>
        <w:trPr/>
        <w:tc>
          <w:tcPr>
            <w:tcW w:w="3823"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341" w:type="dxa"/>
            <w:gridSpan w:val="3"/>
            <w:tcBorders/>
            <w:shd w:fill="FFFFFF" w:val="clear"/>
            <w:vAlign w:val="bottom"/>
          </w:tcPr>
          <w:p>
            <w:pPr>
              <w:pStyle w:val="TableContents"/>
              <w:spacing w:before="0" w:after="283"/>
              <w:jc w:val="center"/>
              <w:rPr>
                <w:b/>
              </w:rPr>
            </w:pPr>
            <w:r>
              <w:rPr>
                <w:b/>
              </w:rPr>
              <w:t>Age</w:t>
            </w:r>
          </w:p>
        </w:tc>
        <w:tc>
          <w:tcPr>
            <w:tcW w:w="239" w:type="dxa"/>
            <w:tcBorders/>
            <w:shd w:fill="FFFFFF" w:val="clear"/>
            <w:vAlign w:val="bottom"/>
          </w:tcPr>
          <w:p>
            <w:pPr>
              <w:pStyle w:val="TableContents"/>
              <w:spacing w:before="0" w:after="283"/>
              <w:jc w:val="center"/>
              <w:rPr/>
            </w:pPr>
            <w:r>
              <w:rPr/>
              <w:t xml:space="preserve">  </w:t>
            </w:r>
          </w:p>
        </w:tc>
        <w:tc>
          <w:tcPr>
            <w:tcW w:w="4625" w:type="dxa"/>
            <w:tcBorders/>
            <w:shd w:fill="FFFFFF" w:val="clear"/>
            <w:vAlign w:val="bottom"/>
          </w:tcPr>
          <w:p>
            <w:pPr>
              <w:pStyle w:val="TableContents"/>
              <w:spacing w:before="0" w:after="283"/>
              <w:jc w:val="center"/>
              <w:rPr/>
            </w:pPr>
            <w:r>
              <w:rPr/>
              <w:t xml:space="preserve">  </w:t>
            </w:r>
          </w:p>
        </w:tc>
      </w:tr>
      <w:tr>
        <w:trPr/>
        <w:tc>
          <w:tcPr>
            <w:tcW w:w="3823" w:type="dxa"/>
            <w:tcBorders/>
            <w:shd w:fill="FFFFFF" w:val="clear"/>
            <w:vAlign w:val="bottom"/>
          </w:tcPr>
          <w:p>
            <w:pPr>
              <w:pStyle w:val="TableContents"/>
              <w:spacing w:before="0" w:after="283"/>
              <w:jc w:val="left"/>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341" w:type="dxa"/>
            <w:gridSpan w:val="3"/>
            <w:tcBorders/>
            <w:shd w:fill="FFFFFF" w:val="clear"/>
            <w:vAlign w:val="bottom"/>
          </w:tcPr>
          <w:p>
            <w:pPr>
              <w:pStyle w:val="TableContents"/>
              <w:spacing w:before="0" w:after="283"/>
              <w:jc w:val="center"/>
              <w:rPr>
                <w:b/>
              </w:rPr>
            </w:pPr>
            <w:r>
              <w:rPr>
                <w:b/>
              </w:rPr>
              <w:t>(as of</w:t>
            </w:r>
          </w:p>
        </w:tc>
        <w:tc>
          <w:tcPr>
            <w:tcW w:w="239" w:type="dxa"/>
            <w:tcBorders/>
            <w:shd w:fill="FFFFFF" w:val="clear"/>
            <w:vAlign w:val="bottom"/>
          </w:tcPr>
          <w:p>
            <w:pPr>
              <w:pStyle w:val="TableContents"/>
              <w:spacing w:before="0" w:after="283"/>
              <w:jc w:val="center"/>
              <w:rPr/>
            </w:pPr>
            <w:r>
              <w:rPr/>
              <w:t xml:space="preserve">  </w:t>
            </w:r>
          </w:p>
        </w:tc>
        <w:tc>
          <w:tcPr>
            <w:tcW w:w="4625" w:type="dxa"/>
            <w:tcBorders/>
            <w:shd w:fill="FFFFFF" w:val="clear"/>
            <w:vAlign w:val="bottom"/>
          </w:tcPr>
          <w:p>
            <w:pPr>
              <w:pStyle w:val="TableContents"/>
              <w:spacing w:before="0" w:after="283"/>
              <w:jc w:val="center"/>
              <w:rPr/>
            </w:pPr>
            <w:r>
              <w:rPr/>
              <w:t xml:space="preserve">  </w:t>
            </w:r>
          </w:p>
        </w:tc>
      </w:tr>
      <w:tr>
        <w:trPr/>
        <w:tc>
          <w:tcPr>
            <w:tcW w:w="3823" w:type="dxa"/>
            <w:tcBorders/>
            <w:shd w:fill="FFFFFF" w:val="clear"/>
            <w:vAlign w:val="bottom"/>
          </w:tcPr>
          <w:p>
            <w:pPr>
              <w:pStyle w:val="TableContents"/>
              <w:spacing w:before="0" w:after="0"/>
              <w:jc w:val="left"/>
              <w:rPr>
                <w:bdr w:val="single" w:sz="2" w:space="1" w:color="000000"/>
              </w:rPr>
            </w:pPr>
            <w:r>
              <w:rPr>
                <w:b/>
                <w:bdr w:val="single" w:sz="2" w:space="1" w:color="000000"/>
              </w:rPr>
              <w:t>Name</w:t>
            </w:r>
            <w:r>
              <w:rPr>
                <w:bdr w:val="single" w:sz="2" w:space="1" w:color="000000"/>
              </w:rPr>
              <w:t xml:space="preserve"> </w:t>
            </w:r>
          </w:p>
        </w:tc>
        <w:tc>
          <w:tcPr>
            <w:tcW w:w="177" w:type="dxa"/>
            <w:tcBorders/>
            <w:shd w:fill="FFFFFF" w:val="clear"/>
            <w:vAlign w:val="bottom"/>
          </w:tcPr>
          <w:p>
            <w:pPr>
              <w:pStyle w:val="TableContents"/>
              <w:spacing w:before="0" w:after="283"/>
              <w:jc w:val="center"/>
              <w:rPr/>
            </w:pPr>
            <w:r>
              <w:rPr/>
              <w:t xml:space="preserve">  </w:t>
            </w:r>
          </w:p>
        </w:tc>
        <w:tc>
          <w:tcPr>
            <w:tcW w:w="134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12/31/06)</w:t>
            </w:r>
            <w:r>
              <w:rPr/>
              <w:t xml:space="preserve"> </w:t>
            </w:r>
          </w:p>
        </w:tc>
        <w:tc>
          <w:tcPr>
            <w:tcW w:w="239" w:type="dxa"/>
            <w:tcBorders/>
            <w:shd w:fill="FFFFFF" w:val="clear"/>
            <w:vAlign w:val="bottom"/>
          </w:tcPr>
          <w:p>
            <w:pPr>
              <w:pStyle w:val="TableContents"/>
              <w:spacing w:before="0" w:after="283"/>
              <w:jc w:val="center"/>
              <w:rPr/>
            </w:pPr>
            <w:r>
              <w:rPr/>
              <w:t xml:space="preserve">  </w:t>
            </w:r>
          </w:p>
        </w:tc>
        <w:tc>
          <w:tcPr>
            <w:tcW w:w="4625" w:type="dxa"/>
            <w:tcBorders/>
            <w:shd w:fill="FFFFFF" w:val="clear"/>
            <w:vAlign w:val="bottom"/>
          </w:tcPr>
          <w:p>
            <w:pPr>
              <w:pStyle w:val="TableContents"/>
              <w:spacing w:before="0" w:after="0"/>
              <w:jc w:val="center"/>
              <w:rPr>
                <w:bdr w:val="single" w:sz="2" w:space="1" w:color="000000"/>
              </w:rPr>
            </w:pPr>
            <w:r>
              <w:rPr>
                <w:b/>
                <w:bdr w:val="single" w:sz="2" w:space="1" w:color="000000"/>
              </w:rPr>
              <w:t>Position(1)</w:t>
            </w:r>
            <w:r>
              <w:rPr>
                <w:bdr w:val="single" w:sz="2" w:space="1" w:color="000000"/>
              </w:rPr>
              <w:t xml:space="preserve"> </w:t>
            </w:r>
          </w:p>
        </w:tc>
      </w:tr>
      <w:tr>
        <w:trPr/>
        <w:tc>
          <w:tcPr>
            <w:tcW w:w="3823" w:type="dxa"/>
            <w:tcBorders/>
            <w:shd w:fill="FFFFFF" w:val="clear"/>
            <w:vAlign w:val="center"/>
          </w:tcPr>
          <w:p>
            <w:pPr>
              <w:pStyle w:val="TableContents"/>
              <w:spacing w:before="0" w:after="283"/>
              <w:rPr/>
            </w:pPr>
            <w:r>
              <w:rPr/>
              <w:t xml:space="preserve">  </w:t>
            </w:r>
          </w:p>
        </w:tc>
        <w:tc>
          <w:tcPr>
            <w:tcW w:w="6382" w:type="dxa"/>
            <w:gridSpan w:val="6"/>
            <w:tcBorders/>
            <w:shd w:fill="FFFFFF" w:val="clear"/>
          </w:tcPr>
          <w:p>
            <w:pPr>
              <w:pStyle w:val="TableContents"/>
              <w:spacing w:before="0" w:after="283"/>
              <w:rPr>
                <w:sz w:val="4"/>
                <w:szCs w:val="4"/>
              </w:rPr>
            </w:pPr>
            <w:r>
              <w:rPr>
                <w:sz w:val="4"/>
                <w:szCs w:val="4"/>
              </w:rPr>
            </w:r>
          </w:p>
        </w:tc>
      </w:tr>
      <w:tr>
        <w:trPr/>
        <w:tc>
          <w:tcPr>
            <w:tcW w:w="3823" w:type="dxa"/>
            <w:tcBorders/>
            <w:shd w:fill="CCEEFF" w:val="clear"/>
          </w:tcPr>
          <w:p>
            <w:pPr>
              <w:pStyle w:val="TableContents"/>
              <w:spacing w:before="0" w:after="0"/>
              <w:ind w:left="200" w:right="0" w:hanging="200"/>
              <w:jc w:val="left"/>
              <w:rPr>
                <w:sz w:val="17"/>
              </w:rPr>
            </w:pPr>
            <w:r>
              <w:rPr>
                <w:sz w:val="17"/>
              </w:rPr>
              <w:t xml:space="preserve">W. David Duckett*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51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President  PMC (Nova Scotia) Company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Mark F. Shires*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49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Senior Vice President  Operations </w:t>
            </w:r>
          </w:p>
        </w:tc>
      </w:tr>
      <w:tr>
        <w:trPr/>
        <w:tc>
          <w:tcPr>
            <w:tcW w:w="3823" w:type="dxa"/>
            <w:tcBorders/>
            <w:shd w:fill="CCEEFF" w:val="clear"/>
          </w:tcPr>
          <w:p>
            <w:pPr>
              <w:pStyle w:val="TableContents"/>
              <w:spacing w:before="0" w:after="0"/>
              <w:ind w:left="200" w:right="0" w:hanging="200"/>
              <w:jc w:val="left"/>
              <w:rPr>
                <w:sz w:val="17"/>
              </w:rPr>
            </w:pPr>
            <w:r>
              <w:rPr>
                <w:sz w:val="17"/>
              </w:rPr>
              <w:t xml:space="preserve">Alfred A. Lindseth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37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Senior Vice President  Technology, Process &amp; Risk Management </w:t>
            </w:r>
          </w:p>
        </w:tc>
      </w:tr>
      <w:tr>
        <w:trPr/>
        <w:tc>
          <w:tcPr>
            <w:tcW w:w="3823" w:type="dxa"/>
            <w:tcBorders/>
            <w:shd w:fill="FFFFFF" w:val="clear"/>
          </w:tcPr>
          <w:p>
            <w:pPr>
              <w:pStyle w:val="TableContents"/>
              <w:spacing w:before="0" w:after="0"/>
              <w:ind w:left="200" w:right="0" w:hanging="200"/>
              <w:jc w:val="left"/>
              <w:rPr>
                <w:sz w:val="17"/>
              </w:rPr>
            </w:pPr>
            <w:r>
              <w:rPr>
                <w:sz w:val="17"/>
              </w:rPr>
              <w:t xml:space="preserve">D. Mark Alenius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47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and Chief Financial Officer of PMC (Nova Scotia) Company </w:t>
            </w:r>
          </w:p>
        </w:tc>
      </w:tr>
      <w:tr>
        <w:trPr/>
        <w:tc>
          <w:tcPr>
            <w:tcW w:w="3823" w:type="dxa"/>
            <w:tcBorders/>
            <w:shd w:fill="CCEEFF" w:val="clear"/>
          </w:tcPr>
          <w:p>
            <w:pPr>
              <w:pStyle w:val="TableContents"/>
              <w:spacing w:before="0" w:after="0"/>
              <w:ind w:left="200" w:right="0" w:hanging="200"/>
              <w:jc w:val="left"/>
              <w:rPr>
                <w:sz w:val="17"/>
              </w:rPr>
            </w:pPr>
            <w:r>
              <w:rPr>
                <w:sz w:val="17"/>
              </w:rPr>
              <w:t xml:space="preserve">Stephen L. Bart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46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Operations of PMC (Nova Scotia) Company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Ralph R. Cross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51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Business Development and Transportation Services of PMC (Nova Scotia) Company </w:t>
            </w:r>
          </w:p>
        </w:tc>
      </w:tr>
      <w:tr>
        <w:trPr/>
        <w:tc>
          <w:tcPr>
            <w:tcW w:w="3823" w:type="dxa"/>
            <w:tcBorders/>
            <w:shd w:fill="CCEEFF" w:val="clear"/>
          </w:tcPr>
          <w:p>
            <w:pPr>
              <w:pStyle w:val="TableContents"/>
              <w:spacing w:before="0" w:after="0"/>
              <w:ind w:left="200" w:right="0" w:hanging="200"/>
              <w:jc w:val="left"/>
              <w:rPr>
                <w:sz w:val="17"/>
              </w:rPr>
            </w:pPr>
            <w:r>
              <w:rPr>
                <w:sz w:val="17"/>
              </w:rPr>
              <w:t xml:space="preserve">Lawrence J. Dreyfuss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52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General Counsel  Commercial &amp; Litigation and Assistant Secretary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Roger D. Everett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61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Human Resources </w:t>
            </w:r>
          </w:p>
        </w:tc>
      </w:tr>
      <w:tr>
        <w:trPr/>
        <w:tc>
          <w:tcPr>
            <w:tcW w:w="3823" w:type="dxa"/>
            <w:tcBorders/>
            <w:shd w:fill="CCEEFF" w:val="clear"/>
          </w:tcPr>
          <w:p>
            <w:pPr>
              <w:pStyle w:val="TableContents"/>
              <w:spacing w:before="0" w:after="0"/>
              <w:ind w:left="200" w:right="0" w:hanging="200"/>
              <w:jc w:val="left"/>
              <w:rPr>
                <w:sz w:val="17"/>
              </w:rPr>
            </w:pPr>
            <w:r>
              <w:rPr>
                <w:sz w:val="17"/>
              </w:rPr>
              <w:t xml:space="preserve">James B. Fryfogle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55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Refinery Supply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Mark J. Gorman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52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w:t>
            </w:r>
          </w:p>
        </w:tc>
      </w:tr>
      <w:tr>
        <w:trPr/>
        <w:tc>
          <w:tcPr>
            <w:tcW w:w="3823" w:type="dxa"/>
            <w:tcBorders/>
            <w:shd w:fill="CCEEFF" w:val="clear"/>
          </w:tcPr>
          <w:p>
            <w:pPr>
              <w:pStyle w:val="TableContents"/>
              <w:spacing w:before="0" w:after="0"/>
              <w:ind w:left="200" w:right="0" w:hanging="200"/>
              <w:jc w:val="left"/>
              <w:rPr>
                <w:sz w:val="17"/>
              </w:rPr>
            </w:pPr>
            <w:r>
              <w:rPr>
                <w:sz w:val="17"/>
              </w:rPr>
              <w:t xml:space="preserve">M.D. (Mike) Hallahan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46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Crude Oil of PMC (Nova Scotia) Company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Richard (Rick) Henson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52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Corporate Services of PMC (Nova Scotia) Company </w:t>
            </w:r>
          </w:p>
        </w:tc>
      </w:tr>
      <w:tr>
        <w:trPr/>
        <w:tc>
          <w:tcPr>
            <w:tcW w:w="3823" w:type="dxa"/>
            <w:tcBorders/>
            <w:shd w:fill="CCEEFF" w:val="clear"/>
          </w:tcPr>
          <w:p>
            <w:pPr>
              <w:pStyle w:val="TableContents"/>
              <w:spacing w:before="0" w:after="0"/>
              <w:ind w:left="200" w:right="0" w:hanging="200"/>
              <w:jc w:val="left"/>
              <w:rPr>
                <w:sz w:val="17"/>
              </w:rPr>
            </w:pPr>
            <w:r>
              <w:rPr>
                <w:sz w:val="17"/>
              </w:rPr>
              <w:t xml:space="preserve">Jim G. Hester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47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Acquisitions </w:t>
            </w:r>
          </w:p>
        </w:tc>
      </w:tr>
      <w:tr>
        <w:trPr/>
        <w:tc>
          <w:tcPr>
            <w:tcW w:w="3823" w:type="dxa"/>
            <w:tcBorders/>
            <w:shd w:fill="FFFFFF" w:val="clear"/>
          </w:tcPr>
          <w:p>
            <w:pPr>
              <w:pStyle w:val="TableContents"/>
              <w:spacing w:before="0" w:after="0"/>
              <w:ind w:left="200" w:right="0" w:hanging="200"/>
              <w:jc w:val="left"/>
              <w:rPr>
                <w:sz w:val="17"/>
              </w:rPr>
            </w:pPr>
            <w:r>
              <w:rPr>
                <w:sz w:val="17"/>
              </w:rPr>
              <w:t xml:space="preserve">John Keffer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47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Terminals </w:t>
            </w:r>
          </w:p>
        </w:tc>
      </w:tr>
      <w:tr>
        <w:trPr/>
        <w:tc>
          <w:tcPr>
            <w:tcW w:w="3823" w:type="dxa"/>
            <w:tcBorders/>
            <w:shd w:fill="CCEEFF" w:val="clear"/>
          </w:tcPr>
          <w:p>
            <w:pPr>
              <w:pStyle w:val="TableContents"/>
              <w:spacing w:before="0" w:after="0"/>
              <w:ind w:left="200" w:right="0" w:hanging="200"/>
              <w:jc w:val="left"/>
              <w:rPr>
                <w:sz w:val="17"/>
              </w:rPr>
            </w:pPr>
            <w:r>
              <w:rPr>
                <w:sz w:val="17"/>
              </w:rPr>
              <w:t xml:space="preserve">Tim Moore*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49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General Counsel and Secretary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Daniel J. Nerbonne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49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Engineering </w:t>
            </w:r>
          </w:p>
        </w:tc>
      </w:tr>
      <w:tr>
        <w:trPr/>
        <w:tc>
          <w:tcPr>
            <w:tcW w:w="3823" w:type="dxa"/>
            <w:tcBorders/>
            <w:shd w:fill="CCEEFF" w:val="clear"/>
          </w:tcPr>
          <w:p>
            <w:pPr>
              <w:pStyle w:val="TableContents"/>
              <w:spacing w:before="0" w:after="0"/>
              <w:ind w:left="200" w:right="0" w:hanging="200"/>
              <w:jc w:val="left"/>
              <w:rPr>
                <w:sz w:val="17"/>
              </w:rPr>
            </w:pPr>
            <w:r>
              <w:rPr>
                <w:sz w:val="17"/>
              </w:rPr>
              <w:t xml:space="preserve">John F. Russell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58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Pipeline Operations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Robert Sanford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57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Lease Supply </w:t>
            </w:r>
          </w:p>
        </w:tc>
      </w:tr>
      <w:tr>
        <w:trPr/>
        <w:tc>
          <w:tcPr>
            <w:tcW w:w="3823" w:type="dxa"/>
            <w:tcBorders/>
            <w:shd w:fill="CCEEFF" w:val="clear"/>
          </w:tcPr>
          <w:p>
            <w:pPr>
              <w:pStyle w:val="TableContents"/>
              <w:spacing w:before="0" w:after="0"/>
              <w:ind w:left="200" w:right="0" w:hanging="200"/>
              <w:jc w:val="left"/>
              <w:rPr>
                <w:sz w:val="17"/>
              </w:rPr>
            </w:pPr>
            <w:r>
              <w:rPr>
                <w:sz w:val="17"/>
              </w:rPr>
              <w:t xml:space="preserve">Al Swanson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42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Finance and Treasurer </w:t>
            </w:r>
          </w:p>
        </w:tc>
      </w:tr>
      <w:tr>
        <w:trPr/>
        <w:tc>
          <w:tcPr>
            <w:tcW w:w="3823" w:type="dxa"/>
            <w:tcBorders/>
            <w:shd w:fill="FFFFFF" w:val="clear"/>
          </w:tcPr>
          <w:p>
            <w:pPr>
              <w:pStyle w:val="TableContents"/>
              <w:spacing w:before="0" w:after="0"/>
              <w:ind w:left="200" w:right="0" w:hanging="200"/>
              <w:jc w:val="left"/>
              <w:rPr>
                <w:sz w:val="17"/>
              </w:rPr>
            </w:pPr>
            <w:r>
              <w:rPr>
                <w:sz w:val="17"/>
              </w:rPr>
              <w:t xml:space="preserve">Tina L. Val*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37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Accounting and Chief Accounting Officer </w:t>
            </w:r>
          </w:p>
        </w:tc>
      </w:tr>
      <w:tr>
        <w:trPr/>
        <w:tc>
          <w:tcPr>
            <w:tcW w:w="3823" w:type="dxa"/>
            <w:tcBorders/>
            <w:shd w:fill="CCEEFF" w:val="clear"/>
          </w:tcPr>
          <w:p>
            <w:pPr>
              <w:pStyle w:val="TableContents"/>
              <w:spacing w:before="0" w:after="0"/>
              <w:ind w:left="200" w:right="0" w:hanging="200"/>
              <w:jc w:val="left"/>
              <w:rPr>
                <w:sz w:val="17"/>
              </w:rPr>
            </w:pPr>
            <w:r>
              <w:rPr>
                <w:sz w:val="17"/>
              </w:rPr>
              <w:t xml:space="preserve">Troy E. Valenzuela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45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 Environmental, Health and Safety </w:t>
            </w:r>
          </w:p>
        </w:tc>
      </w:tr>
      <w:tr>
        <w:trPr/>
        <w:tc>
          <w:tcPr>
            <w:tcW w:w="3823" w:type="dxa"/>
            <w:tcBorders/>
            <w:shd w:fill="FFFFFF" w:val="clear"/>
          </w:tcPr>
          <w:p>
            <w:pPr>
              <w:pStyle w:val="TableContents"/>
              <w:spacing w:before="0" w:after="0"/>
              <w:ind w:left="200" w:right="0" w:hanging="200"/>
              <w:jc w:val="left"/>
              <w:rPr>
                <w:sz w:val="17"/>
              </w:rPr>
            </w:pPr>
            <w:r>
              <w:rPr>
                <w:sz w:val="17"/>
              </w:rPr>
              <w:t xml:space="preserve">John P. vonBerg*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52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Trading </w:t>
            </w:r>
          </w:p>
        </w:tc>
      </w:tr>
      <w:tr>
        <w:trPr/>
        <w:tc>
          <w:tcPr>
            <w:tcW w:w="3823" w:type="dxa"/>
            <w:tcBorders/>
            <w:shd w:fill="CCEEFF" w:val="clear"/>
          </w:tcPr>
          <w:p>
            <w:pPr>
              <w:pStyle w:val="TableContents"/>
              <w:spacing w:before="0" w:after="0"/>
              <w:ind w:left="200" w:right="0" w:hanging="200"/>
              <w:jc w:val="left"/>
              <w:rPr>
                <w:sz w:val="17"/>
              </w:rPr>
            </w:pPr>
            <w:r>
              <w:rPr>
                <w:sz w:val="17"/>
              </w:rPr>
              <w:t xml:space="preserve">David E. Wright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61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Vice President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Ron F. Wunder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38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Vice President  LPG of PMC (Nova Scotia) Company </w:t>
            </w:r>
          </w:p>
        </w:tc>
      </w:tr>
      <w:tr>
        <w:trPr/>
        <w:tc>
          <w:tcPr>
            <w:tcW w:w="3823" w:type="dxa"/>
            <w:tcBorders/>
            <w:shd w:fill="CCEEFF" w:val="clear"/>
          </w:tcPr>
          <w:p>
            <w:pPr>
              <w:pStyle w:val="TableContents"/>
              <w:spacing w:before="0" w:after="0"/>
              <w:ind w:left="200" w:right="0" w:hanging="200"/>
              <w:jc w:val="left"/>
              <w:rPr>
                <w:sz w:val="17"/>
              </w:rPr>
            </w:pPr>
            <w:r>
              <w:rPr>
                <w:sz w:val="17"/>
              </w:rPr>
              <w:t xml:space="preserve">David N. Capobianco(2)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37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Director and Member of Compensation** Committee </w:t>
            </w:r>
          </w:p>
        </w:tc>
      </w:tr>
      <w:tr>
        <w:trPr/>
        <w:tc>
          <w:tcPr>
            <w:tcW w:w="3823" w:type="dxa"/>
            <w:tcBorders/>
            <w:shd w:fill="FFFFFF" w:val="clear"/>
          </w:tcPr>
          <w:p>
            <w:pPr>
              <w:pStyle w:val="TableContents"/>
              <w:spacing w:before="0" w:after="0"/>
              <w:ind w:left="200" w:right="0" w:hanging="200"/>
              <w:jc w:val="left"/>
              <w:rPr>
                <w:sz w:val="17"/>
              </w:rPr>
            </w:pPr>
            <w:r>
              <w:rPr>
                <w:sz w:val="17"/>
              </w:rPr>
              <w:t xml:space="preserve">Everardo Goyanes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62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Director and Member of Audit** Committee </w:t>
            </w:r>
          </w:p>
        </w:tc>
      </w:tr>
      <w:tr>
        <w:trPr/>
        <w:tc>
          <w:tcPr>
            <w:tcW w:w="3823" w:type="dxa"/>
            <w:tcBorders/>
            <w:shd w:fill="CCEEFF" w:val="clear"/>
          </w:tcPr>
          <w:p>
            <w:pPr>
              <w:pStyle w:val="TableContents"/>
              <w:spacing w:before="0" w:after="0"/>
              <w:ind w:left="200" w:right="0" w:hanging="200"/>
              <w:jc w:val="left"/>
              <w:rPr>
                <w:sz w:val="17"/>
              </w:rPr>
            </w:pPr>
            <w:r>
              <w:rPr>
                <w:sz w:val="17"/>
              </w:rPr>
              <w:t xml:space="preserve">Gary R. Petersen(2)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60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Director and Member of Compensation Committee </w:t>
            </w:r>
          </w:p>
        </w:tc>
      </w:tr>
      <w:tr>
        <w:trPr/>
        <w:tc>
          <w:tcPr>
            <w:tcW w:w="3823" w:type="dxa"/>
            <w:tcBorders/>
            <w:shd w:fill="FFFFFF" w:val="clear"/>
          </w:tcPr>
          <w:p>
            <w:pPr>
              <w:pStyle w:val="TableContents"/>
              <w:spacing w:before="0" w:after="0"/>
              <w:ind w:left="200" w:right="0" w:hanging="200"/>
              <w:jc w:val="left"/>
              <w:rPr>
                <w:sz w:val="17"/>
              </w:rPr>
            </w:pPr>
            <w:r>
              <w:rPr>
                <w:sz w:val="17"/>
              </w:rPr>
              <w:t xml:space="preserve">Robert V. Sinnott(2) </w:t>
            </w:r>
          </w:p>
        </w:tc>
        <w:tc>
          <w:tcPr>
            <w:tcW w:w="177" w:type="dxa"/>
            <w:tcBorders/>
            <w:shd w:fill="FFFFFF" w:val="clear"/>
            <w:vAlign w:val="bottom"/>
          </w:tcPr>
          <w:p>
            <w:pPr>
              <w:pStyle w:val="TableContents"/>
              <w:spacing w:before="0" w:after="283"/>
              <w:rPr/>
            </w:pPr>
            <w:r>
              <w:rPr/>
              <w:t xml:space="preserve">  </w:t>
            </w:r>
          </w:p>
        </w:tc>
        <w:tc>
          <w:tcPr>
            <w:tcW w:w="330" w:type="dxa"/>
            <w:tcBorders/>
            <w:shd w:fill="FFFFFF" w:val="clear"/>
            <w:vAlign w:val="bottom"/>
          </w:tcPr>
          <w:p>
            <w:pPr>
              <w:pStyle w:val="TableContents"/>
              <w:spacing w:before="0" w:after="283"/>
              <w:rPr>
                <w:sz w:val="4"/>
                <w:szCs w:val="4"/>
              </w:rPr>
            </w:pPr>
            <w:r>
              <w:rPr>
                <w:sz w:val="4"/>
                <w:szCs w:val="4"/>
              </w:rPr>
            </w:r>
          </w:p>
        </w:tc>
        <w:tc>
          <w:tcPr>
            <w:tcW w:w="671" w:type="dxa"/>
            <w:tcBorders/>
            <w:shd w:fill="FFFFFF" w:val="clear"/>
          </w:tcPr>
          <w:p>
            <w:pPr>
              <w:pStyle w:val="TableContents"/>
              <w:spacing w:before="0" w:after="283"/>
              <w:jc w:val="right"/>
              <w:rPr>
                <w:sz w:val="17"/>
              </w:rPr>
            </w:pPr>
            <w:r>
              <w:rPr>
                <w:sz w:val="17"/>
              </w:rPr>
              <w:t xml:space="preserve">57 </w:t>
            </w:r>
          </w:p>
        </w:tc>
        <w:tc>
          <w:tcPr>
            <w:tcW w:w="340" w:type="dxa"/>
            <w:tcBorders/>
            <w:shd w:fill="FFFFFF" w:val="clear"/>
            <w:vAlign w:val="bottom"/>
          </w:tcPr>
          <w:p>
            <w:pPr>
              <w:pStyle w:val="TableContents"/>
              <w:spacing w:before="0" w:after="283"/>
              <w:rPr>
                <w:sz w:val="4"/>
                <w:szCs w:val="4"/>
              </w:rPr>
            </w:pPr>
            <w:r>
              <w:rPr>
                <w:sz w:val="4"/>
                <w:szCs w:val="4"/>
              </w:rPr>
            </w:r>
          </w:p>
        </w:tc>
        <w:tc>
          <w:tcPr>
            <w:tcW w:w="239" w:type="dxa"/>
            <w:tcBorders/>
            <w:shd w:fill="FFFFFF" w:val="clear"/>
            <w:vAlign w:val="bottom"/>
          </w:tcPr>
          <w:p>
            <w:pPr>
              <w:pStyle w:val="TableContents"/>
              <w:spacing w:before="0" w:after="283"/>
              <w:rPr/>
            </w:pPr>
            <w:r>
              <w:rPr/>
              <w:t xml:space="preserve">  </w:t>
            </w:r>
          </w:p>
        </w:tc>
        <w:tc>
          <w:tcPr>
            <w:tcW w:w="4625" w:type="dxa"/>
            <w:tcBorders/>
            <w:shd w:fill="FFFFFF" w:val="clear"/>
            <w:vAlign w:val="bottom"/>
          </w:tcPr>
          <w:p>
            <w:pPr>
              <w:pStyle w:val="TableContents"/>
              <w:spacing w:before="0" w:after="283"/>
              <w:jc w:val="left"/>
              <w:rPr>
                <w:sz w:val="17"/>
              </w:rPr>
            </w:pPr>
            <w:r>
              <w:rPr>
                <w:sz w:val="17"/>
              </w:rPr>
              <w:t xml:space="preserve">Director and Member of Compensation Committee </w:t>
            </w:r>
          </w:p>
        </w:tc>
      </w:tr>
      <w:tr>
        <w:trPr/>
        <w:tc>
          <w:tcPr>
            <w:tcW w:w="3823" w:type="dxa"/>
            <w:tcBorders/>
            <w:shd w:fill="CCEEFF" w:val="clear"/>
          </w:tcPr>
          <w:p>
            <w:pPr>
              <w:pStyle w:val="TableContents"/>
              <w:spacing w:before="0" w:after="0"/>
              <w:ind w:left="200" w:right="0" w:hanging="200"/>
              <w:jc w:val="left"/>
              <w:rPr>
                <w:sz w:val="17"/>
              </w:rPr>
            </w:pPr>
            <w:r>
              <w:rPr>
                <w:sz w:val="17"/>
              </w:rPr>
              <w:t xml:space="preserve">Arthur L. Smith </w:t>
            </w:r>
          </w:p>
        </w:tc>
        <w:tc>
          <w:tcPr>
            <w:tcW w:w="177" w:type="dxa"/>
            <w:tcBorders/>
            <w:shd w:fill="CCEEFF" w:val="clear"/>
            <w:vAlign w:val="bottom"/>
          </w:tcPr>
          <w:p>
            <w:pPr>
              <w:pStyle w:val="TableContents"/>
              <w:spacing w:before="0" w:after="283"/>
              <w:rPr/>
            </w:pPr>
            <w:r>
              <w:rPr/>
              <w:t xml:space="preserve">  </w:t>
            </w:r>
          </w:p>
        </w:tc>
        <w:tc>
          <w:tcPr>
            <w:tcW w:w="330" w:type="dxa"/>
            <w:tcBorders/>
            <w:shd w:fill="CCEEFF" w:val="clear"/>
            <w:vAlign w:val="bottom"/>
          </w:tcPr>
          <w:p>
            <w:pPr>
              <w:pStyle w:val="TableContents"/>
              <w:spacing w:before="0" w:after="283"/>
              <w:rPr>
                <w:sz w:val="4"/>
                <w:szCs w:val="4"/>
              </w:rPr>
            </w:pPr>
            <w:r>
              <w:rPr>
                <w:sz w:val="4"/>
                <w:szCs w:val="4"/>
              </w:rPr>
            </w:r>
          </w:p>
        </w:tc>
        <w:tc>
          <w:tcPr>
            <w:tcW w:w="671" w:type="dxa"/>
            <w:tcBorders/>
            <w:shd w:fill="CCEEFF" w:val="clear"/>
          </w:tcPr>
          <w:p>
            <w:pPr>
              <w:pStyle w:val="TableContents"/>
              <w:spacing w:before="0" w:after="283"/>
              <w:jc w:val="right"/>
              <w:rPr>
                <w:sz w:val="17"/>
              </w:rPr>
            </w:pPr>
            <w:r>
              <w:rPr>
                <w:sz w:val="17"/>
              </w:rPr>
              <w:t xml:space="preserve">54 </w:t>
            </w:r>
          </w:p>
        </w:tc>
        <w:tc>
          <w:tcPr>
            <w:tcW w:w="34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xml:space="preserve">  </w:t>
            </w:r>
          </w:p>
        </w:tc>
        <w:tc>
          <w:tcPr>
            <w:tcW w:w="4625" w:type="dxa"/>
            <w:tcBorders/>
            <w:shd w:fill="CCEEFF" w:val="clear"/>
            <w:vAlign w:val="bottom"/>
          </w:tcPr>
          <w:p>
            <w:pPr>
              <w:pStyle w:val="TableContents"/>
              <w:spacing w:before="0" w:after="283"/>
              <w:jc w:val="left"/>
              <w:rPr>
                <w:sz w:val="17"/>
              </w:rPr>
            </w:pPr>
            <w:r>
              <w:rPr>
                <w:sz w:val="17"/>
              </w:rPr>
              <w:t xml:space="preserve">Director and Member of Audit and Governance** Committees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98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3781"/>
        <w:gridCol w:w="204"/>
        <w:gridCol w:w="369"/>
        <w:gridCol w:w="673"/>
        <w:gridCol w:w="379"/>
        <w:gridCol w:w="280"/>
        <w:gridCol w:w="4519"/>
      </w:tblGrid>
      <w:tr>
        <w:trPr/>
        <w:tc>
          <w:tcPr>
            <w:tcW w:w="3781"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369" w:type="dxa"/>
            <w:tcBorders/>
            <w:shd w:fill="FFFFFF" w:val="clear"/>
            <w:vAlign w:val="bottom"/>
          </w:tcPr>
          <w:p>
            <w:pPr>
              <w:pStyle w:val="TableContents"/>
              <w:spacing w:before="0" w:after="283"/>
              <w:rPr/>
            </w:pPr>
            <w:r>
              <w:rPr/>
              <w:t> </w:t>
            </w:r>
          </w:p>
        </w:tc>
        <w:tc>
          <w:tcPr>
            <w:tcW w:w="673" w:type="dxa"/>
            <w:tcBorders/>
            <w:shd w:fill="FFFFFF" w:val="clear"/>
            <w:vAlign w:val="bottom"/>
          </w:tcPr>
          <w:p>
            <w:pPr>
              <w:pStyle w:val="TableContents"/>
              <w:spacing w:before="0" w:after="283"/>
              <w:rPr/>
            </w:pPr>
            <w:r>
              <w:rPr/>
              <w:t> </w:t>
            </w:r>
          </w:p>
        </w:tc>
        <w:tc>
          <w:tcPr>
            <w:tcW w:w="379" w:type="dxa"/>
            <w:tcBorders/>
            <w:shd w:fill="FFFFFF" w:val="clear"/>
            <w:vAlign w:val="bottom"/>
          </w:tcPr>
          <w:p>
            <w:pPr>
              <w:pStyle w:val="TableContents"/>
              <w:spacing w:before="0" w:after="283"/>
              <w:rPr/>
            </w:pPr>
            <w:r>
              <w:rPr/>
              <w:t> </w:t>
            </w:r>
          </w:p>
        </w:tc>
        <w:tc>
          <w:tcPr>
            <w:tcW w:w="280" w:type="dxa"/>
            <w:tcBorders/>
            <w:shd w:fill="FFFFFF" w:val="clear"/>
            <w:vAlign w:val="bottom"/>
          </w:tcPr>
          <w:p>
            <w:pPr>
              <w:pStyle w:val="TableContents"/>
              <w:spacing w:before="0" w:after="283"/>
              <w:rPr/>
            </w:pPr>
            <w:r>
              <w:rPr/>
              <w:t> </w:t>
            </w:r>
          </w:p>
        </w:tc>
        <w:tc>
          <w:tcPr>
            <w:tcW w:w="4519" w:type="dxa"/>
            <w:tcBorders/>
            <w:shd w:fill="FFFFFF" w:val="clear"/>
            <w:vAlign w:val="bottom"/>
          </w:tcPr>
          <w:p>
            <w:pPr>
              <w:pStyle w:val="TableContents"/>
              <w:spacing w:before="0" w:after="283"/>
              <w:rPr/>
            </w:pPr>
            <w:r>
              <w:rPr/>
              <w:t> </w:t>
            </w:r>
          </w:p>
        </w:tc>
      </w:tr>
      <w:tr>
        <w:trPr/>
        <w:tc>
          <w:tcPr>
            <w:tcW w:w="3781"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shd w:fill="FFFFFF" w:val="clear"/>
            <w:vAlign w:val="bottom"/>
          </w:tcPr>
          <w:p>
            <w:pPr>
              <w:pStyle w:val="TableContents"/>
              <w:spacing w:before="0" w:after="283"/>
              <w:jc w:val="center"/>
              <w:rPr>
                <w:b/>
              </w:rPr>
            </w:pPr>
            <w:r>
              <w:rPr>
                <w:b/>
              </w:rPr>
              <w:t>Age</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283"/>
              <w:jc w:val="center"/>
              <w:rPr/>
            </w:pPr>
            <w:r>
              <w:rPr/>
              <w:t xml:space="preserve">  </w:t>
            </w:r>
          </w:p>
        </w:tc>
      </w:tr>
      <w:tr>
        <w:trPr/>
        <w:tc>
          <w:tcPr>
            <w:tcW w:w="3781" w:type="dxa"/>
            <w:tcBorders/>
            <w:shd w:fill="FFFFFF" w:val="clear"/>
            <w:vAlign w:val="bottom"/>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shd w:fill="FFFFFF" w:val="clear"/>
            <w:vAlign w:val="bottom"/>
          </w:tcPr>
          <w:p>
            <w:pPr>
              <w:pStyle w:val="TableContents"/>
              <w:spacing w:before="0" w:after="283"/>
              <w:jc w:val="center"/>
              <w:rPr>
                <w:b/>
              </w:rPr>
            </w:pPr>
            <w:r>
              <w:rPr>
                <w:b/>
              </w:rPr>
              <w:t>(as of</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283"/>
              <w:jc w:val="center"/>
              <w:rPr/>
            </w:pPr>
            <w:r>
              <w:rPr/>
              <w:t xml:space="preserve">  </w:t>
            </w:r>
          </w:p>
        </w:tc>
      </w:tr>
      <w:tr>
        <w:trPr/>
        <w:tc>
          <w:tcPr>
            <w:tcW w:w="3781" w:type="dxa"/>
            <w:tcBorders/>
            <w:shd w:fill="FFFFFF" w:val="clear"/>
            <w:vAlign w:val="bottom"/>
          </w:tcPr>
          <w:p>
            <w:pPr>
              <w:pStyle w:val="TableContents"/>
              <w:spacing w:before="0" w:after="0"/>
              <w:jc w:val="left"/>
              <w:rPr>
                <w:bdr w:val="single" w:sz="2" w:space="1" w:color="000000"/>
              </w:rPr>
            </w:pPr>
            <w:r>
              <w:rPr>
                <w:b/>
                <w:bdr w:val="single" w:sz="2" w:space="1" w:color="000000"/>
              </w:rPr>
              <w:t>Name</w:t>
            </w:r>
            <w:r>
              <w:rPr>
                <w:bdr w:val="single" w:sz="2" w:space="1" w:color="000000"/>
              </w:rPr>
              <w:t xml:space="preserve"> </w:t>
            </w:r>
          </w:p>
        </w:tc>
        <w:tc>
          <w:tcPr>
            <w:tcW w:w="204" w:type="dxa"/>
            <w:tcBorders/>
            <w:shd w:fill="FFFFFF" w:val="clear"/>
            <w:vAlign w:val="bottom"/>
          </w:tcPr>
          <w:p>
            <w:pPr>
              <w:pStyle w:val="TableContents"/>
              <w:spacing w:before="0" w:after="283"/>
              <w:jc w:val="center"/>
              <w:rPr/>
            </w:pPr>
            <w:r>
              <w:rPr/>
              <w:t xml:space="preserve">  </w:t>
            </w:r>
          </w:p>
        </w:tc>
        <w:tc>
          <w:tcPr>
            <w:tcW w:w="14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12/31/06)</w:t>
            </w:r>
            <w:r>
              <w:rPr/>
              <w:t xml:space="preserve"> </w:t>
            </w:r>
          </w:p>
        </w:tc>
        <w:tc>
          <w:tcPr>
            <w:tcW w:w="280" w:type="dxa"/>
            <w:tcBorders/>
            <w:shd w:fill="FFFFFF" w:val="clear"/>
            <w:vAlign w:val="bottom"/>
          </w:tcPr>
          <w:p>
            <w:pPr>
              <w:pStyle w:val="TableContents"/>
              <w:spacing w:before="0" w:after="283"/>
              <w:jc w:val="center"/>
              <w:rPr/>
            </w:pPr>
            <w:r>
              <w:rPr/>
              <w:t xml:space="preserve">  </w:t>
            </w:r>
          </w:p>
        </w:tc>
        <w:tc>
          <w:tcPr>
            <w:tcW w:w="4519" w:type="dxa"/>
            <w:tcBorders/>
            <w:shd w:fill="FFFFFF" w:val="clear"/>
            <w:vAlign w:val="bottom"/>
          </w:tcPr>
          <w:p>
            <w:pPr>
              <w:pStyle w:val="TableContents"/>
              <w:spacing w:before="0" w:after="0"/>
              <w:jc w:val="center"/>
              <w:rPr>
                <w:bdr w:val="single" w:sz="2" w:space="1" w:color="000000"/>
              </w:rPr>
            </w:pPr>
            <w:r>
              <w:rPr>
                <w:b/>
                <w:bdr w:val="single" w:sz="2" w:space="1" w:color="000000"/>
              </w:rPr>
              <w:t>Position(1)</w:t>
            </w:r>
            <w:r>
              <w:rPr>
                <w:bdr w:val="single" w:sz="2" w:space="1" w:color="000000"/>
              </w:rPr>
              <w:t xml:space="preserve"> </w:t>
            </w:r>
          </w:p>
        </w:tc>
      </w:tr>
      <w:tr>
        <w:trPr/>
        <w:tc>
          <w:tcPr>
            <w:tcW w:w="3781" w:type="dxa"/>
            <w:tcBorders/>
            <w:shd w:fill="FFFFFF" w:val="clear"/>
            <w:vAlign w:val="center"/>
          </w:tcPr>
          <w:p>
            <w:pPr>
              <w:pStyle w:val="TableContents"/>
              <w:spacing w:before="0" w:after="283"/>
              <w:rPr/>
            </w:pPr>
            <w:r>
              <w:rPr/>
              <w:t xml:space="preserve">  </w:t>
            </w:r>
          </w:p>
        </w:tc>
        <w:tc>
          <w:tcPr>
            <w:tcW w:w="6424" w:type="dxa"/>
            <w:gridSpan w:val="6"/>
            <w:tcBorders/>
            <w:shd w:fill="FFFFFF" w:val="clear"/>
          </w:tcPr>
          <w:p>
            <w:pPr>
              <w:pStyle w:val="TableContents"/>
              <w:spacing w:before="0" w:after="283"/>
              <w:rPr>
                <w:sz w:val="4"/>
                <w:szCs w:val="4"/>
              </w:rPr>
            </w:pPr>
            <w:r>
              <w:rPr>
                <w:sz w:val="4"/>
                <w:szCs w:val="4"/>
              </w:rPr>
            </w:r>
          </w:p>
        </w:tc>
      </w:tr>
      <w:tr>
        <w:trPr/>
        <w:tc>
          <w:tcPr>
            <w:tcW w:w="3781" w:type="dxa"/>
            <w:tcBorders/>
            <w:shd w:fill="CCEEFF" w:val="clear"/>
          </w:tcPr>
          <w:p>
            <w:pPr>
              <w:pStyle w:val="TableContents"/>
              <w:spacing w:before="0" w:after="0"/>
              <w:ind w:left="200" w:right="0" w:hanging="200"/>
              <w:jc w:val="left"/>
              <w:rPr>
                <w:sz w:val="17"/>
              </w:rPr>
            </w:pPr>
            <w:r>
              <w:rPr>
                <w:sz w:val="17"/>
              </w:rPr>
              <w:t xml:space="preserve">J. Taft Symonds </w:t>
            </w:r>
          </w:p>
        </w:tc>
        <w:tc>
          <w:tcPr>
            <w:tcW w:w="204" w:type="dxa"/>
            <w:tcBorders/>
            <w:shd w:fill="CCEEFF" w:val="clear"/>
            <w:vAlign w:val="bottom"/>
          </w:tcPr>
          <w:p>
            <w:pPr>
              <w:pStyle w:val="TableContents"/>
              <w:spacing w:before="0" w:after="283"/>
              <w:rPr/>
            </w:pPr>
            <w:r>
              <w:rPr/>
              <w:t xml:space="preserve">  </w:t>
            </w:r>
          </w:p>
        </w:tc>
        <w:tc>
          <w:tcPr>
            <w:tcW w:w="369" w:type="dxa"/>
            <w:tcBorders/>
            <w:shd w:fill="CCEEFF" w:val="clear"/>
            <w:vAlign w:val="bottom"/>
          </w:tcPr>
          <w:p>
            <w:pPr>
              <w:pStyle w:val="TableContents"/>
              <w:spacing w:before="0" w:after="283"/>
              <w:rPr>
                <w:sz w:val="4"/>
                <w:szCs w:val="4"/>
              </w:rPr>
            </w:pPr>
            <w:r>
              <w:rPr>
                <w:sz w:val="4"/>
                <w:szCs w:val="4"/>
              </w:rPr>
            </w:r>
          </w:p>
        </w:tc>
        <w:tc>
          <w:tcPr>
            <w:tcW w:w="673" w:type="dxa"/>
            <w:tcBorders/>
            <w:shd w:fill="CCEEFF" w:val="clear"/>
          </w:tcPr>
          <w:p>
            <w:pPr>
              <w:pStyle w:val="TableContents"/>
              <w:spacing w:before="0" w:after="283"/>
              <w:jc w:val="right"/>
              <w:rPr>
                <w:sz w:val="17"/>
              </w:rPr>
            </w:pPr>
            <w:r>
              <w:rPr>
                <w:sz w:val="17"/>
              </w:rPr>
              <w:t xml:space="preserve">67 </w:t>
            </w:r>
          </w:p>
        </w:tc>
        <w:tc>
          <w:tcPr>
            <w:tcW w:w="379"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xml:space="preserve">  </w:t>
            </w:r>
          </w:p>
        </w:tc>
        <w:tc>
          <w:tcPr>
            <w:tcW w:w="4519" w:type="dxa"/>
            <w:tcBorders/>
            <w:shd w:fill="CCEEFF" w:val="clear"/>
            <w:vAlign w:val="bottom"/>
          </w:tcPr>
          <w:p>
            <w:pPr>
              <w:pStyle w:val="TableContents"/>
              <w:spacing w:before="0" w:after="283"/>
              <w:jc w:val="left"/>
              <w:rPr>
                <w:sz w:val="17"/>
              </w:rPr>
            </w:pPr>
            <w:r>
              <w:rPr>
                <w:sz w:val="17"/>
              </w:rPr>
              <w:t xml:space="preserve">Director and Member of Audit and Governance Committees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08"/>
        <w:gridCol w:w="102"/>
        <w:gridCol w:w="9895"/>
      </w:tblGrid>
      <w:tr>
        <w:trPr/>
        <w:tc>
          <w:tcPr>
            <w:tcW w:w="208"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95" w:type="dxa"/>
            <w:tcBorders/>
            <w:shd w:fill="FFFFFF" w:val="clear"/>
            <w:vAlign w:val="center"/>
          </w:tcPr>
          <w:p>
            <w:pPr>
              <w:pStyle w:val="TableContents"/>
              <w:spacing w:before="0" w:after="283"/>
              <w:rPr>
                <w:sz w:val="4"/>
                <w:szCs w:val="4"/>
              </w:rPr>
            </w:pPr>
            <w:r>
              <w:rPr>
                <w:sz w:val="4"/>
                <w:szCs w:val="4"/>
              </w:rPr>
            </w:r>
          </w:p>
        </w:tc>
      </w:tr>
      <w:tr>
        <w:trPr/>
        <w:tc>
          <w:tcPr>
            <w:tcW w:w="208" w:type="dxa"/>
            <w:tcBorders/>
            <w:shd w:fill="FFFFFF" w:val="clear"/>
          </w:tcPr>
          <w:p>
            <w:pPr>
              <w:pStyle w:val="TableContents"/>
              <w:spacing w:before="0" w:after="283"/>
              <w:jc w:val="right"/>
              <w:rPr/>
            </w:pPr>
            <w:r>
              <w:rPr/>
              <w:t>* </w:t>
            </w:r>
          </w:p>
        </w:tc>
        <w:tc>
          <w:tcPr>
            <w:tcW w:w="102" w:type="dxa"/>
            <w:tcBorders/>
            <w:shd w:fill="FFFFFF" w:val="clear"/>
            <w:vAlign w:val="center"/>
          </w:tcPr>
          <w:p>
            <w:pPr>
              <w:pStyle w:val="TableContents"/>
              <w:spacing w:before="0" w:after="283"/>
              <w:rPr>
                <w:sz w:val="4"/>
                <w:szCs w:val="4"/>
              </w:rPr>
            </w:pPr>
            <w:r>
              <w:rPr>
                <w:sz w:val="4"/>
                <w:szCs w:val="4"/>
              </w:rPr>
            </w:r>
          </w:p>
        </w:tc>
        <w:tc>
          <w:tcPr>
            <w:tcW w:w="9895" w:type="dxa"/>
            <w:tcBorders/>
            <w:shd w:fill="FFFFFF" w:val="clear"/>
            <w:vAlign w:val="bottom"/>
          </w:tcPr>
          <w:p>
            <w:pPr>
              <w:pStyle w:val="TableContents"/>
              <w:spacing w:before="0" w:after="283"/>
              <w:rPr/>
            </w:pPr>
            <w:r>
              <w:rPr/>
              <w:t> </w:t>
            </w:r>
            <w:r>
              <w:rPr/>
              <w:t>Indicates an executive officer for purposes of Item 401(b) of Regulation S-K.</w:t>
            </w:r>
          </w:p>
        </w:tc>
      </w:tr>
      <w:tr>
        <w:trPr/>
        <w:tc>
          <w:tcPr>
            <w:tcW w:w="208" w:type="dxa"/>
            <w:tcBorders/>
            <w:shd w:fill="FFFFFF" w:val="clear"/>
            <w:vAlign w:val="center"/>
          </w:tcPr>
          <w:p>
            <w:pPr>
              <w:pStyle w:val="TableContents"/>
              <w:spacing w:before="0" w:after="283"/>
              <w:rPr/>
            </w:pPr>
            <w:r>
              <w:rPr/>
              <w:t> </w:t>
            </w:r>
          </w:p>
        </w:tc>
        <w:tc>
          <w:tcPr>
            <w:tcW w:w="9997" w:type="dxa"/>
            <w:gridSpan w:val="2"/>
            <w:tcBorders/>
            <w:shd w:fill="FFFFFF" w:val="clear"/>
          </w:tcPr>
          <w:p>
            <w:pPr>
              <w:pStyle w:val="TableContents"/>
              <w:spacing w:before="0" w:after="283"/>
              <w:rPr>
                <w:sz w:val="4"/>
                <w:szCs w:val="4"/>
              </w:rPr>
            </w:pPr>
            <w:r>
              <w:rPr>
                <w:sz w:val="4"/>
                <w:szCs w:val="4"/>
              </w:rPr>
            </w:r>
          </w:p>
        </w:tc>
      </w:tr>
      <w:tr>
        <w:trPr/>
        <w:tc>
          <w:tcPr>
            <w:tcW w:w="208" w:type="dxa"/>
            <w:tcBorders/>
            <w:shd w:fill="FFFFFF" w:val="clear"/>
          </w:tcPr>
          <w:p>
            <w:pPr>
              <w:pStyle w:val="TableContents"/>
              <w:spacing w:before="0" w:after="283"/>
              <w:rPr/>
            </w:pP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895" w:type="dxa"/>
            <w:tcBorders/>
            <w:shd w:fill="FFFFFF" w:val="clear"/>
            <w:vAlign w:val="bottom"/>
          </w:tcPr>
          <w:p>
            <w:pPr>
              <w:pStyle w:val="TableContents"/>
              <w:spacing w:before="0" w:after="283"/>
              <w:rPr/>
            </w:pPr>
            <w:r>
              <w:rPr/>
              <w:t> </w:t>
            </w:r>
            <w:r>
              <w:rPr/>
              <w:t>Indicates chairman of committee.</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20"/>
        <w:gridCol w:w="102"/>
        <w:gridCol w:w="9883"/>
      </w:tblGrid>
      <w:tr>
        <w:trPr/>
        <w:tc>
          <w:tcPr>
            <w:tcW w:w="220"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83" w:type="dxa"/>
            <w:tcBorders/>
            <w:shd w:fill="FFFFFF" w:val="clear"/>
            <w:vAlign w:val="center"/>
          </w:tcPr>
          <w:p>
            <w:pPr>
              <w:pStyle w:val="TableContents"/>
              <w:spacing w:before="0" w:after="283"/>
              <w:rPr>
                <w:sz w:val="4"/>
                <w:szCs w:val="4"/>
              </w:rPr>
            </w:pPr>
            <w:r>
              <w:rPr>
                <w:sz w:val="4"/>
                <w:szCs w:val="4"/>
              </w:rPr>
            </w:r>
          </w:p>
        </w:tc>
      </w:tr>
      <w:tr>
        <w:trPr/>
        <w:tc>
          <w:tcPr>
            <w:tcW w:w="220"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883" w:type="dxa"/>
            <w:tcBorders/>
            <w:shd w:fill="FFFFFF" w:val="clear"/>
            <w:vAlign w:val="bottom"/>
          </w:tcPr>
          <w:p>
            <w:pPr>
              <w:pStyle w:val="TableContents"/>
              <w:spacing w:before="0" w:after="283"/>
              <w:rPr/>
            </w:pPr>
            <w:r>
              <w:rPr/>
              <w:t>Unless otherwise described, the position indicates the position held with Plains All American GP LLC.</w:t>
            </w:r>
          </w:p>
        </w:tc>
      </w:tr>
      <w:tr>
        <w:trPr/>
        <w:tc>
          <w:tcPr>
            <w:tcW w:w="220" w:type="dxa"/>
            <w:tcBorders/>
            <w:shd w:fill="FFFFFF" w:val="clear"/>
            <w:vAlign w:val="center"/>
          </w:tcPr>
          <w:p>
            <w:pPr>
              <w:pStyle w:val="TableContents"/>
              <w:spacing w:before="0" w:after="283"/>
              <w:rPr/>
            </w:pPr>
            <w:r>
              <w:rPr/>
              <w:t> </w:t>
            </w:r>
          </w:p>
        </w:tc>
        <w:tc>
          <w:tcPr>
            <w:tcW w:w="9985" w:type="dxa"/>
            <w:gridSpan w:val="2"/>
            <w:tcBorders/>
            <w:shd w:fill="FFFFFF" w:val="clear"/>
          </w:tcPr>
          <w:p>
            <w:pPr>
              <w:pStyle w:val="TableContents"/>
              <w:spacing w:before="0" w:after="283"/>
              <w:rPr>
                <w:sz w:val="4"/>
                <w:szCs w:val="4"/>
              </w:rPr>
            </w:pPr>
            <w:r>
              <w:rPr>
                <w:sz w:val="4"/>
                <w:szCs w:val="4"/>
              </w:rPr>
            </w:r>
          </w:p>
        </w:tc>
      </w:tr>
      <w:tr>
        <w:trPr/>
        <w:tc>
          <w:tcPr>
            <w:tcW w:w="220"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883" w:type="dxa"/>
            <w:tcBorders/>
            <w:shd w:fill="FFFFFF" w:val="clear"/>
            <w:vAlign w:val="bottom"/>
          </w:tcPr>
          <w:p>
            <w:pPr>
              <w:pStyle w:val="TableContents"/>
              <w:spacing w:before="0" w:after="283"/>
              <w:rPr/>
            </w:pPr>
            <w:r>
              <w:rPr/>
              <w:t>The GP LLC Agreement specifies that the Chief Executive Officer of the general partner will be a member of the board of directors. The LLC Agreement also provides that three of the owners of our general partner each have the right to appoint a member of our board of directors. Mr. Capobianco has been appointed by Vulcan Energy Corporation, of which he is Chairman of the Board. Because it owns a majority in interest in GP LLC, Vulcan Energy Corporation has the power at any time to cause an additional director to be elected to the currently vacant board seat. Mr. Petersen has been appointed by E-Holdings III, L.P., an affiliate of EnCap Investments L.P., of which he is Senior Managing Director. Mr. Sinnott has been appointed by KAFU Holdings, L.P., which is affiliated with Kayne Anderson Investment Management, Inc., of which he is President. See Item 12. Security Ownership of Certain Beneficial Owners and Management and Related Unitholder Matters  Beneficial Ownership of General Partner Interest.</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Greg L. Armstrong</w:t>
      </w:r>
      <w:r>
        <w:rPr>
          <w:rFonts w:ascii="Times New Roman;Times" w:hAnsi="Times New Roman;Times"/>
          <w:color w:val="000000"/>
          <w:sz w:val="17"/>
          <w:highlight w:val="white"/>
        </w:rPr>
        <w:t xml:space="preserve"> has served as Chairman of the Board and Chief Executive Officer since our formation in 1998. He has also served as a director of 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 a director of Breitburn Energy Partners, L.P. and a director of PAA/Vulcan.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Harry N. Pefanis</w:t>
      </w:r>
      <w:r>
        <w:rPr>
          <w:rFonts w:ascii="Times New Roman;Times" w:hAnsi="Times New Roman;Times"/>
          <w:color w:val="000000"/>
          <w:sz w:val="17"/>
          <w:highlight w:val="white"/>
        </w:rPr>
        <w:t xml:space="preserve"> has served as President and Chief Operating Officer since our formation in 1998. He was also a director of our former general partner. In addition, he was Executive Vice President  Midstream of Plains Resources from May 1998 to May 2001. He previously served Plains Resources as: Senior Vice President from February 1996 until May 1998; Vice President  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also a director of PAA/Vulcan and Settoon Towing.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Phillip D. Kramer</w:t>
      </w:r>
      <w:r>
        <w:rPr>
          <w:rFonts w:ascii="Times New Roman;Times" w:hAnsi="Times New Roman;Times"/>
          <w:color w:val="000000"/>
          <w:sz w:val="17"/>
          <w:highlight w:val="white"/>
        </w:rPr>
        <w:t xml:space="preserve"> has served as Executive Vice President and Chief Financial Officer since our formation in 1998.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George R. Coiner</w:t>
      </w:r>
      <w:r>
        <w:rPr>
          <w:rFonts w:ascii="Times New Roman;Times" w:hAnsi="Times New Roman;Times"/>
          <w:color w:val="000000"/>
          <w:sz w:val="17"/>
          <w:highlight w:val="white"/>
        </w:rPr>
        <w:t xml:space="preserve"> has served as Senior Group Vice President since February 2004 and as Senior Vice President from our formation in 1998 to February 2004. In addition, he was Vice President of Plains Marketing &amp; Transportation Inc. from November 1995 until our formation. Prior to joining Plains Marketing &amp; Transportation Inc., he was Senior Vice President, Marketing with Scurlock Permian LLC. Mr. Coiner is also a director of Settoon Towing.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W. David Duckett</w:t>
      </w:r>
      <w:r>
        <w:rPr>
          <w:rFonts w:ascii="Times New Roman;Times" w:hAnsi="Times New Roman;Times"/>
          <w:color w:val="000000"/>
          <w:sz w:val="17"/>
          <w:highlight w:val="white"/>
        </w:rPr>
        <w:t xml:space="preserve"> has been President of PMC (Nova Scotia) Company since June 2003, and Executive Vice President of PMC (Nova Scotia) Company from July 2001 to June 2003. Mr. Duckett was with CANPET Energy Group Inc. from 1985 to 2001, where he served in various capacities, including most recently as President, Chief Executive Officer and Chairman of the Board. Mr. Duckett is also a director of WellPoint Systems Inc.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99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Mark F. Shires</w:t>
      </w:r>
      <w:r>
        <w:rPr>
          <w:rFonts w:ascii="Times New Roman;Times" w:hAnsi="Times New Roman;Times"/>
          <w:color w:val="000000"/>
          <w:sz w:val="17"/>
          <w:highlight w:val="white"/>
        </w:rPr>
        <w:t xml:space="preserve"> has served as Senior Vice President  Operations since June 2003 and as Vice President  Operations from August 1999 to June 2003. He served as Manager of Operations from April 1999 to August 1999. In addition, he was a business consultant from 1996 until April 1999. He served as a consultant to Plains Marketing &amp; Transportation Inc. and Plains All American Pipeline, LP from May 1998 until April 1999. He previously served as President of Plains Terminal &amp; Transfer Corporation, from 1993 to 1996.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Alfred A. Lindseth</w:t>
      </w:r>
      <w:r>
        <w:rPr>
          <w:rFonts w:ascii="Times New Roman;Times" w:hAnsi="Times New Roman;Times"/>
          <w:color w:val="000000"/>
          <w:sz w:val="17"/>
          <w:highlight w:val="white"/>
        </w:rPr>
        <w:t xml:space="preserve"> has served as Senior Vice President  Technology, Process &amp; Risk Management since June 2003 and as Vice President  Administration from March 2001 to June 2003. He served as Risk Manager from March 2000 to March 2001. He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 Mark Alenius</w:t>
      </w:r>
      <w:r>
        <w:rPr>
          <w:rFonts w:ascii="Times New Roman;Times" w:hAnsi="Times New Roman;Times"/>
          <w:color w:val="000000"/>
          <w:sz w:val="17"/>
          <w:highlight w:val="white"/>
        </w:rPr>
        <w:t xml:space="preserve"> has served as Vice President and Chief Financial Officer of PMC (Nova Scotia) Company since November 2002. In addition, Mr. Alenius was Managing Director, Finance of PMC (Nova Scotia) Company from July 2001 to November 2002. Mr. Alenius was previously with CANPET Energy Group Inc. where he served as Vice President, Finance, Secretary and Treasurer, and was a member of the Board of Directors. Mr. Alenius joined CANPET in February 2000. Prior to joining CANPET Energy, Mr. Alenius briefly served as Chief Financial Officer of Bromley-Marr ECOS Inc., a manufacturing and processing company, from January to July 1999. Mr. Alenius was previously with Koch Industries, Inc.s Canadian group of businesses, where he served in various capacities, including most recently as Vice-President, Finance and Chief Financial Officer of Koch Pipelines Canada, Ltd.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Stephen L. Bart</w:t>
      </w:r>
      <w:r>
        <w:rPr>
          <w:rFonts w:ascii="Times New Roman;Times" w:hAnsi="Times New Roman;Times"/>
          <w:color w:val="000000"/>
          <w:sz w:val="17"/>
          <w:highlight w:val="white"/>
        </w:rPr>
        <w:t xml:space="preserve"> has been Vice President, Operations of PMC (Nova Scotia) Company since April 2005 and was Managing Director, LPG Operations &amp; 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Ralph R. Cross</w:t>
      </w:r>
      <w:r>
        <w:rPr>
          <w:rFonts w:ascii="Times New Roman;Times" w:hAnsi="Times New Roman;Times"/>
          <w:color w:val="000000"/>
          <w:sz w:val="17"/>
          <w:highlight w:val="white"/>
        </w:rPr>
        <w:t xml:space="preserve"> has been Vice President of Business Development and Transportation Services of PMC (Nova Scotia) Company since July 2001. Mr. Cross was previously with CANPET Energy Group Inc. since 1992, where he served in various capacities, including most recently as Vice President of Business Development.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Lawrence J. Dreyfuss </w:t>
      </w:r>
      <w:r>
        <w:rPr>
          <w:rFonts w:ascii="Times New Roman;Times" w:hAnsi="Times New Roman;Times"/>
          <w:color w:val="000000"/>
          <w:sz w:val="17"/>
          <w:highlight w:val="white"/>
        </w:rPr>
        <w:t xml:space="preserve">has served as Vice President, General Counsel  Commercial &amp; Litigation and Assistant Secretary since August 2006. Mr. Dreyfuss was Vice President, 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Roger D. Everett</w:t>
      </w:r>
      <w:r>
        <w:rPr>
          <w:rFonts w:ascii="Times New Roman;Times" w:hAnsi="Times New Roman;Times"/>
          <w:color w:val="000000"/>
          <w:sz w:val="17"/>
          <w:highlight w:val="white"/>
        </w:rPr>
        <w:t xml:space="preserve"> has served as Vice President  Human Resources since November 2006 and as Director of Human Resources from August 2006 to 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James B. Fryfogle</w:t>
      </w:r>
      <w:r>
        <w:rPr>
          <w:rFonts w:ascii="Times New Roman;Times" w:hAnsi="Times New Roman;Times"/>
          <w:color w:val="000000"/>
          <w:sz w:val="17"/>
          <w:highlight w:val="white"/>
        </w:rPr>
        <w:t xml:space="preserve"> has served as Vice President  Refinery Supply since March 2005. He served as Vice President  Lease Operations from July 2004 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Mark J. Gorman</w:t>
      </w:r>
      <w:r>
        <w:rPr>
          <w:rFonts w:ascii="Times New Roman;Times" w:hAnsi="Times New Roman;Times"/>
          <w:color w:val="000000"/>
          <w:sz w:val="17"/>
          <w:highlight w:val="white"/>
        </w:rPr>
        <w:t xml:space="preserve"> has served as Vice President since November 2006. Prior to joining Plains, he was with Genesis Energy in differing capacities as a Director, President and CEO, and Executive Vice President and COO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from 1996 through August 2006. From 1992 to 1996, he served as a President for Howell Crude Oil Company. Mr. Gorman began his career with Marathon Oil Company, spending 13 years in various disciplines.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M.D. (Mike) Hallahan</w:t>
      </w:r>
      <w:r>
        <w:rPr>
          <w:rFonts w:ascii="Times New Roman;Times" w:hAnsi="Times New Roman;Times"/>
          <w:color w:val="000000"/>
          <w:sz w:val="17"/>
          <w:highlight w:val="white"/>
        </w:rPr>
        <w:t xml:space="preserve"> has served as Vice President, Crude Oil of PMC (Nova Scotia) Company since February 2004 and Managing Director, Facilities from July 2001 to February 2004. He was previously with CANPET Energy Group Inc. where he served in various capacities since 1996, most recently as General Manager,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Richard (Rick) Henson </w:t>
      </w:r>
      <w:r>
        <w:rPr>
          <w:rFonts w:ascii="Times New Roman;Times" w:hAnsi="Times New Roman;Times"/>
          <w:color w:val="000000"/>
          <w:sz w:val="17"/>
          <w:highlight w:val="white"/>
        </w:rPr>
        <w:t xml:space="preserve">joined PMC (Nova Scotia) Company in December 2004 as Vice President of Corporate Services. Mr. Henson was previously with Nova Chemicals Corporation, serving in various executive positions from 1999 through 2004, including Vice President, Petrochemicals and Feedstocks, and Vice President, Ethylene and Petrochemicals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Jim G. Hester</w:t>
      </w:r>
      <w:r>
        <w:rPr>
          <w:rFonts w:ascii="Times New Roman;Times" w:hAnsi="Times New Roman;Times"/>
          <w:color w:val="000000"/>
          <w:sz w:val="17"/>
          <w:highlight w:val="white"/>
        </w:rPr>
        <w:t xml:space="preserve"> has served as Vice President  Acquisitions since March 2002. Prior to joining us, Mr. Hester was Senior Vice President  Special Projects of Plains Resources. From May 2001 to December 2001, he was Senior Vice President  Operations for Plains Resources. From May 1999 to May 2001, he was Vice President  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John Keffer</w:t>
      </w:r>
      <w:r>
        <w:rPr>
          <w:rFonts w:ascii="Times New Roman;Times" w:hAnsi="Times New Roman;Times"/>
          <w:color w:val="000000"/>
          <w:sz w:val="17"/>
          <w:highlight w:val="white"/>
        </w:rPr>
        <w:t xml:space="preserve"> has served as Vice President  Terminals since November 2006. Mr. Keffer joined Plains Marketing L.P. in October 1998 and prior to his appointment as Vice President, he served as Managing Director  Refinery Supply, Director of Trading and Manager of Sales and Trading. Prior to joining Plains Mr. Keffer was with Prebon Energy, an energy brokerage firm, from January 1996 through September 1998. Mr. Keffer was with the Permian Corporation / Scurlock Permian from January 1990 through December 1995, where he served in several capacities in the marketing department including Director of Crude Oil Trading. Mr. Keffer began his career with Amoco Production Company and served in various capacities beginning in June 1982.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 xml:space="preserve">Tim Moore </w:t>
      </w:r>
      <w:r>
        <w:rPr>
          <w:rFonts w:ascii="Times New Roman;Times" w:hAnsi="Times New Roman;Times"/>
          <w:color w:val="000000"/>
          <w:sz w:val="17"/>
          <w:highlight w:val="white"/>
        </w:rPr>
        <w:t xml:space="preserve">has served as Vice President, General Counsel and Secretary since May 2000. In addition, he was Vice President, General Counsel and Secretary of Plains Resources from May 2000 to May 2001. Prior to joining Plains Resources, he served in various positions, including General Counsel  Corporate, with TransTexas Gas Corporation from 1994 to 2000. He previously was a corporate attorney with the Houston office of Weil, Gotshal &amp; Manges LLP. Mr. Moore also has seven years of energy industry experience as a petroleum geologist.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Daniel J. Nerbonne</w:t>
      </w:r>
      <w:r>
        <w:rPr>
          <w:rFonts w:ascii="Times New Roman;Times" w:hAnsi="Times New Roman;Times"/>
          <w:color w:val="000000"/>
          <w:sz w:val="17"/>
          <w:highlight w:val="white"/>
        </w:rPr>
        <w:t xml:space="preserve"> has served as Vice President  Engineering since February 2005. Prior to joining us, Mr. Nerbonne was General Manager of 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John F. Russell</w:t>
      </w:r>
      <w:r>
        <w:rPr>
          <w:rFonts w:ascii="Times New Roman;Times" w:hAnsi="Times New Roman;Times"/>
          <w:color w:val="000000"/>
          <w:sz w:val="17"/>
          <w:highlight w:val="white"/>
        </w:rPr>
        <w:t xml:space="preserve"> has served as Vice President  Pipeline Operations since July 2004. Prior to joining us, Mr. Russell served as Vice President of Business Development &amp; Joint Interest for ExxonMobil Pipeline Company. Mr. Russell had held numerous positions of increasing responsibility with ExxonMobil Pipeline Company or its affiliates or predecessors since 1974.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Robert Sanford</w:t>
      </w:r>
      <w:r>
        <w:rPr>
          <w:rFonts w:ascii="Times New Roman;Times" w:hAnsi="Times New Roman;Times"/>
          <w:color w:val="000000"/>
          <w:sz w:val="17"/>
          <w:highlight w:val="white"/>
        </w:rPr>
        <w:t xml:space="preserve"> has served as Vice President  Lease Supply since June 2006. He served as Managing Director  Lease Acquisitions and Trucking from July 2005 to June 2006 and as Director of South Texas and Mid Continent Business Units from April 2004 to July 2005. Mr. Sanford was with Link Energy/EOTT Energy from 1994 to April 2004, where he held various positions of increasing responsibility.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Al Swanson</w:t>
      </w:r>
      <w:r>
        <w:rPr>
          <w:rFonts w:ascii="Times New Roman;Times" w:hAnsi="Times New Roman;Times"/>
          <w:color w:val="000000"/>
          <w:sz w:val="17"/>
          <w:highlight w:val="white"/>
        </w:rPr>
        <w:t xml:space="preserve"> has served as Vice President  Finance and Treasurer since August 2005,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and Accounting Manager from 1992. Mr. Swanson began his career with Apache Corporation in 1986 serving in internal audit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Tina L. Val</w:t>
      </w:r>
      <w:r>
        <w:rPr>
          <w:rFonts w:ascii="Times New Roman;Times" w:hAnsi="Times New Roman;Times"/>
          <w:color w:val="000000"/>
          <w:sz w:val="17"/>
          <w:highlight w:val="white"/>
        </w:rPr>
        <w:t xml:space="preserve"> has served as Vice President  Accounting and Chief Accounting Officer since June 2003. She served as Controller from April 2000 until she was elected to her current position. From January 1998 to January 2000, Ms. Val served as a consultant to Conoco de Venezuela S.A. She previously served as Senior Financial Analyst for Plains Resources from October 1994 to July 1997.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Troy E. Valenzuela</w:t>
      </w:r>
      <w:r>
        <w:rPr>
          <w:rFonts w:ascii="Times New Roman;Times" w:hAnsi="Times New Roman;Times"/>
          <w:color w:val="000000"/>
          <w:sz w:val="17"/>
          <w:highlight w:val="white"/>
        </w:rPr>
        <w:t xml:space="preserve"> has served as Vice President  Environmental, Health and Safety, or EH&amp;S, since July 2002, and has had oversight responsibility 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John P. vonBerg</w:t>
      </w:r>
      <w:r>
        <w:rPr>
          <w:rFonts w:ascii="Times New Roman;Times" w:hAnsi="Times New Roman;Times"/>
          <w:color w:val="000000"/>
          <w:sz w:val="17"/>
          <w:highlight w:val="white"/>
        </w:rPr>
        <w:t xml:space="preserve"> has served as Vice President  Trading since May 2003 and Director of these activities since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David E. Wright</w:t>
      </w:r>
      <w:r>
        <w:rPr>
          <w:rFonts w:ascii="Times New Roman;Times" w:hAnsi="Times New Roman;Times"/>
          <w:color w:val="000000"/>
          <w:sz w:val="17"/>
          <w:highlight w:val="white"/>
        </w:rPr>
        <w:t xml:space="preserve"> has served as Vice President since November 2006. Prior to joining Plains, he served as Executive Vice President, Corporate Development for Pacific Energy Partners, L.P. from February 2005 and as Vice President, Corporate Development and Marketing from December 2001. Mr. Wright also served as Vice President, Distribution West of Tosco Refining Company from March 1997 to June 2001, and as Vice President, Pipelines for GATX Terminals Corporation from October 1995 to March 1997.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Ron F. Wunder</w:t>
      </w:r>
      <w:r>
        <w:rPr>
          <w:rFonts w:ascii="Times New Roman;Times" w:hAnsi="Times New Roman;Times"/>
          <w:color w:val="000000"/>
          <w:sz w:val="17"/>
          <w:highlight w:val="white"/>
        </w:rPr>
        <w:t xml:space="preserve"> has served as Vice President, LPG of PMC (Nova Scotia) Company since February 2004 and as Managing Director, Crude Oil from July 2001 to February 2004. He was previously with CANPET Energy Group Inc. since 1992, where he served in various capacities, including most recently as General Manager, Crude Oil.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David N. Capobianco</w:t>
      </w:r>
      <w:r>
        <w:rPr>
          <w:rFonts w:ascii="Times New Roman;Times" w:hAnsi="Times New Roman;Times"/>
          <w:color w:val="000000"/>
          <w:sz w:val="17"/>
          <w:highlight w:val="white"/>
        </w:rPr>
        <w:t xml:space="preserve"> has served as a director of our general partner since July 2004. Mr. Capobianco is Chairman of the board of directors of Vulcan Energy Corporation and a Managing Director and co-head of Private Equity of Vulcan Capital, an affiliate of Vulcan Inc., where he has been employed since April 2003. Previously, he served as a member of Greenhill Capital from 2001 to April 2003 and Harvest Partners from 1995 to 2001. Mr. Capobianco is Chairman of the board of Vulcan Resources Florida, and is a director of PAA/Vulcan and ICAT Holdings. Mr. Capobianco received a BA in Economics from Duke University and an MBA from Harvard.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Everardo Goyanes</w:t>
      </w:r>
      <w:r>
        <w:rPr>
          <w:rFonts w:ascii="Times New Roman;Times" w:hAnsi="Times New Roman;Times"/>
          <w:color w:val="000000"/>
          <w:sz w:val="17"/>
          <w:highlight w:val="white"/>
        </w:rPr>
        <w:t xml:space="preserve"> has served as a director of our general partner or former general partner since May 1999. Mr. Goyanes has been President and Chief Executive Officer of Liberty Energy Holdings, LLC (an energy investment firm) 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  Finance of Forest Oil Corporation from 1983 to 1987. Mr. Goyanes received a BA in Economics from Cornell University and a Masters degree in Finance (honors) from Babson Institute.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Gary R. Petersen</w:t>
      </w:r>
      <w:r>
        <w:rPr>
          <w:rFonts w:ascii="Times New Roman;Times" w:hAnsi="Times New Roman;Times"/>
          <w:color w:val="000000"/>
          <w:sz w:val="17"/>
          <w:highlight w:val="white"/>
        </w:rPr>
        <w:t xml:space="preserve"> has served as a director of our general partner since June 2001. Mr. Petersen is Senior Managing Director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National Security Agency.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Robert V. Sinnott</w:t>
      </w:r>
      <w:r>
        <w:rPr>
          <w:rFonts w:ascii="Times New Roman;Times" w:hAnsi="Times New Roman;Times"/>
          <w:color w:val="000000"/>
          <w:sz w:val="17"/>
          <w:highlight w:val="white"/>
        </w:rPr>
        <w:t xml:space="preserve"> has served as a director of our general partner or former general partner since September 1998. Mr. Sinnott is President, Chief Investment Officer and Senior Managing Director of energy investments of Kayne Anderson Capital Advisors, L.P. (an investment management firm). He also served as a Managing Director from 1992 to 1996 and as a Senior Managing Director from 1996 until assuming his current role in 2005. He is also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President of Kayne Anderson Investment Management, Inc., the general partner of Kayne Anderson Capital Advisors, L.P. and he is a director of Kayne Anderson Energy Development Company. He was Vice President and Senior Securities Officer of the Investment Banking Division of Citibank from 1986 to 1992. Mr. Sinnott received a BA from the University of Virginia and an MBA from Harvard.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Arthur L. Smith</w:t>
      </w:r>
      <w:r>
        <w:rPr>
          <w:rFonts w:ascii="Times New Roman;Times" w:hAnsi="Times New Roman;Times"/>
          <w:color w:val="000000"/>
          <w:sz w:val="17"/>
          <w:highlight w:val="white"/>
        </w:rPr>
        <w:t xml:space="preserve"> has served as a director of our general partner or former general partner since February 1999. Mr. Smith is Chairman and CEO of John S. Herold, Inc. (a petroleum research and consulting firm), a position he has held since 1984. From 1976 to 1984 Mr. Smith was a securities analyst with Argus Research Corp., The First Boston Corporation and Oppenheimer &amp; Co., Inc. Mr. Smith holds the CFA designation. He serves on the board of non-profit Dress for Success Houston and the Board of Visitors for the Nicholas School of the Environment and Earth Sciences at Duke University. Mr. Smith received a BA from Duke University and an MBA from NYUs Stern School of Business.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J. Taft Symonds</w:t>
      </w:r>
      <w:r>
        <w:rPr>
          <w:rFonts w:ascii="Times New Roman;Times" w:hAnsi="Times New Roman;Times"/>
          <w:color w:val="000000"/>
          <w:sz w:val="17"/>
          <w:highlight w:val="white"/>
        </w:rPr>
        <w:t xml:space="preserve"> has served as a director of our general partner since June 2001. Mr. Symonds is Chairman of the Board of Symonds Trust Co. Ltd. (a private investment firm) and was, until December 2006, Chairman of the Board of Tetra Technologies, Inc. (an oil and gas services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is Chairman of the Houston Arboretum and Nature Center. Mr. Symonds received a BA from Stanford University and an MBA from Harvard.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Section 16(a) Beneficial Ownership Reporting Compliance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http://www.paalp.com.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2006. </w:t>
      </w:r>
    </w:p>
    <w:p>
      <w:pPr>
        <w:pStyle w:val="TextBody"/>
        <w:spacing w:before="240" w:after="283"/>
        <w:rPr/>
      </w:pPr>
      <w:bookmarkStart w:id="20" w:name="118"/>
      <w:bookmarkEnd w:id="20"/>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11.  </w:t>
            </w:r>
            <w:r>
              <w:rPr/>
              <w:t xml:space="preserve"> </w:t>
            </w:r>
          </w:p>
        </w:tc>
        <w:tc>
          <w:tcPr>
            <w:tcW w:w="9288" w:type="dxa"/>
            <w:tcBorders/>
            <w:shd w:fill="FFFFFF" w:val="clear"/>
          </w:tcPr>
          <w:p>
            <w:pPr>
              <w:pStyle w:val="TableContents"/>
              <w:spacing w:before="0" w:after="283"/>
              <w:rPr/>
            </w:pPr>
            <w:r>
              <w:rPr>
                <w:rFonts w:ascii="Times New Roman;Times" w:hAnsi="Times New Roman;Times"/>
                <w:b/>
                <w:i/>
              </w:rPr>
              <w:t>Executive Compensation</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Discussion and Analysis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Background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officers and employees (other than Canadian personnel) are employed by Plains All American GP LLC. Our Canadian personnel are employed by PMC (Nova Scotia) Company, which is a wholly owned subsidiary. Under our partnership agreement, we are required to reimburse our general partner and its affiliates for all employment-related costs, including compensation for executive officers.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Objectives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our inception, we have employed a compensation philosophy that emphasizes pay for performance, both on an individual and entity level, and places the majority of each Named Executive Officers (defined below) compensation at risk. The primary long-term measure of the Partnerships performance is its ability to increase its sustainable quarterly distribution to its unitholders. We believe our pay-for-performance approach aligns the interests of executive officers with that of our unitholders,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  salary, cash bonus and long-term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equity incentive awards. In practice, our salaries are moderate relative to the broad spectrum of energy industry competitors for similar talent, but are generally competitive with the narrower universe of large-cap MLP peers. The determination of specific individuals cash bonus is based on their relative contribution to achieving or exceeding annual goals and the determination of specific individuals long-term incentive awards is based on their expected contribution in respect of longer term performance benchmarks. Cash bonuses and equity incentives (as opposed to salary) represent the truly performance-driven elements. They are also flexible in application and can be tailored to serve more than one purpose.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executive officers and other employees for club dues and similar expenses. We consider these benefits and reimbursements to be typical of other employers, and we do not believe they are distinctive of our compensation program.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Elements of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Salary.</w:t>
      </w:r>
      <w:r>
        <w:rPr>
          <w:rFonts w:ascii="Times New Roman;Times" w:hAnsi="Times New Roman;Times"/>
          <w:color w:val="000000"/>
          <w:sz w:val="17"/>
          <w:highlight w:val="white"/>
        </w:rPr>
        <w:t xml:space="preserve">  We do not benchmark our salary or bonus amounts. In practice, our salaries are moderate relative to the broad spectrum of energy industry competitors for similar talent, but are generally competitive with the narrower universe of large-cap MLP peers.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Cash Bonuses.</w:t>
      </w:r>
      <w:r>
        <w:rPr>
          <w:rFonts w:ascii="Times New Roman;Times" w:hAnsi="Times New Roman;Times"/>
          <w:color w:val="000000"/>
          <w:sz w:val="17"/>
          <w:highlight w:val="white"/>
        </w:rPr>
        <w:t xml:space="preserve">  Our cash bonuses consist of annual discretionary bonuses in which all Named Executive Officers potentially participate and a formula-based quarterly bonus program in which Messrs. Coiner and vonBerg participate.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Long-Term Incentive Awards.</w:t>
      </w:r>
      <w:r>
        <w:rPr>
          <w:rFonts w:ascii="Times New Roman;Times" w:hAnsi="Times New Roman;Times"/>
          <w:color w:val="000000"/>
          <w:sz w:val="17"/>
          <w:highlight w:val="white"/>
        </w:rPr>
        <w:t xml:space="preserve">  The primary long-term measure of the Partnerships performance is its ability to increase its sustainable quarterly distribution to its equity holders. The Partnership uses performance-indexed phantom unit grants to encourage and reward timely achievement of targeted distribution levels and align the long-term interests of the Named Executive Officers with those of the Partnerships equity owners. These grants also contain minimum service periods as further described below in order to encourage long-term retention. A phantom unit is the right to receive, upon the satisfaction of any vesting criteria specified in the grant, a common unit (or cash equivalent) of the Partnership. The Partnership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six years. These distribution performance thresholds are generally consistent with the Partnerships targeted range for distribution growth. To encourage accelerated performance, if the Partnership meets certain distribution thresholds prior to meeting the minimum service requirement for vesting, the named executive officers have the right to receive distributions on phantom unit grants prior to vesting in the underlying units (referred to as distribution equivalent rights, or DERs).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Relation of Compensation Elements to Compensation Objectives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compensation program is designed to motivate, reward and retain our executive officers. Cash bonuses serve as a near-term motivation and reward for achieving the annual goals established at the beginning of each year. Phantom unit awards and associated DERs provide motivation and reward over both the near-term and long-term for achieving performance thresholds necessary for vesting. The level of annual bonus and phantom unit awards reflect the moderate salary profile and the significant weighting towards performance-based, at-risk compensation. Salaries and cash bonuses (particularly quarterly bonuses), as well as currently payable DERs associated with unvested phantom units, serve as near-term retention tools. Longer-term retention is facilitated by the minimum service periods of up to five years associated with phantom unit awards and, in the case of Mr. Coiner and Mr. vonBerg, annual bonuses that are payable over a three-year period. To facilitate the compensation committee in reviewing and making recommendations with respect to compensation of Named Executive Officers, the committee is provided a compensation tally sheet for such officers.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stress performance-based compensation elements to attempt to create a performance-driven environment in which our executive officers are (i) motivated to perform over both the short term and the long term,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(ii) appropriately rewarded for their services and (iii) encouraged to remain with the Partnership even after meeting long-term performance thresholds in order to meet the minimum service periods and by the promise of rewards yet to come. We believe our compensation philosophy as implemented by application of the three primary compensation elements aligns the interests of the Named Executive Officers with our equity holders and positions the Partnership to achieve its business goals.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these compensation practices have been successful in achieving our objectives. Over the five-year period ended December 31, 2006, our annual distribution per limited partner unit has grown at a compound annual rate of 8.3% and the total return realized by our limited partner unitholders for that period averaged approximately 23%. Our retention rate for Named Executive Officers over the same period has been 100%.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Application of Compensation Elements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Salary.</w:t>
      </w:r>
      <w:r>
        <w:rPr>
          <w:rFonts w:ascii="Times New Roman;Times" w:hAnsi="Times New Roman;Times"/>
          <w:color w:val="000000"/>
          <w:sz w:val="17"/>
          <w:highlight w:val="white"/>
        </w:rPr>
        <w:t xml:space="preserve">  We do not make systematic annual adjustments to the salaries of the Named Executive Officers. Instead, when indicated as a result of adding new senior management members to keep pace with our overall growth, necessary salary adjustments are made to maintain hierarchical relationships between senior management levels and the new senior management members. Since May 1999, Messrs. Armstrong and Pefanis have received one salary adjustment and Messrs. Coiner and Kramer have received two salary adjustments.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Cash Bonuses.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u w:val="single"/>
        </w:rPr>
        <w:t>Annual Discretionary Bonuses.</w:t>
      </w:r>
      <w:r>
        <w:rPr>
          <w:rFonts w:ascii="Times New Roman;Times" w:hAnsi="Times New Roman;Times"/>
          <w:color w:val="000000"/>
          <w:sz w:val="17"/>
          <w:highlight w:val="white"/>
        </w:rPr>
        <w:t xml:space="preserve">  Annual discretionary bonuses are determined based on the Partnerships performance relative to its annual plan forecast and public guidance, its distribution growth targets and other quantitative and qualitative goals established at the beginning of each year. Such annual objectives are discussed and reviewed with the board in conjunction with the review and authorization of the annual plan.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the end of each year, our CEO performs a quantitative and qualitative assessment of the Partnerships performance relative to its goals. Key quantitative measures include earnings before interest, taxes, depreciation and amortization, excluding items affecting comparability (EBITDA), relative to established guidance, as well as the growth in the annualized quarterly distribution level per limited partner unit relative to annual growth targets. Our primary performance metric is our ability to generate increasing and sustainable cash distributions to our equity owners. Accordingly, although net income and net income per unit are monitored to highlight inconsistencies with primary performance metrics, as is the Partnerships market performance relative to our MLP peers and major indices, these metrics are considered secondary performance measures. Our CEOs written analysis of our performance examines the Partnerships accomplishments, shortfalls and overall performance against opportunity, taking into account controllable and non-controllable factors encountered during the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resulting document and supporting detail is submitted to our board of directors for review and comment. Based on the conclusions set forth in the annual performance review, our CEO submits recommendations to the compensation committee for bonuses to Named Executive Officers, taking into account the relative contribution of the individual officer. Except as described below for Messrs. Coiner and vonBerg, there are no set formulas for determining the annual discretionary bonus for Named Executive Officers. Factors considered by our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Our CEO takes these factors into consideration as well as the relative contributions of each of the Named Executive Officers to the years performance in developing his recommendations for bonus amounts.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recommendations are discussed with the compensation committee, adjusted as appropriate, and submitted to the board for its review and approval. Similarly, the compensation committee assesses the CEOs contribution toward meeting the Partnerships goals, and recommends a bonus for the CEO it believes to be commensurate with such contribution. In several instances, the CEO has requested that the bonus amount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recommended by the compensation committee be reduced to maintain a closer relationship to bonuses awarded to the other Named Executive Officers.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u w:val="single"/>
        </w:rPr>
        <w:t>Quarterly Bonus based on Adjusted EBITDA.</w:t>
      </w:r>
      <w:r>
        <w:rPr>
          <w:rFonts w:ascii="Times New Roman;Times" w:hAnsi="Times New Roman;Times"/>
          <w:color w:val="000000"/>
          <w:sz w:val="17"/>
          <w:highlight w:val="white"/>
        </w:rPr>
        <w:t xml:space="preserve">  Mr. Coiner, Mr. vonBerg and certain other members of our U.S. based senior management team are directly involved in activities that generate earnings for the Partnership. These individuals, along with approximately 80 other employees in our marketing and business development groups participate in a quarterly bonus pool based on adjusted EBITDA,1 which directly rewards for quarterly performance the commercial and asset-managing employees who participate. This quarterly incentive provides a direct incentive to optimize quarterly performance even when, on an annual basis, other factors might negatively affect bonus potential. Allocation of quarterly bonus amounts among all participants based on relative contribution is recommended by Mr. Coiner and reviewed, modified and approved by Mr. Pefanis, as appropriate. Mr. Pefanis does not participate in the quarterly bonus. The quarterly bonus amounts for Mr. Coiner and Mr. vonBerg are taken into consideration in determining the recommended annual discretionary bonus submitted by the CEO to the compensation committee.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Long-Term Incentive Awards.</w:t>
      </w:r>
      <w:r>
        <w:rPr>
          <w:rFonts w:ascii="Times New Roman;Times" w:hAnsi="Times New Roman;Times"/>
          <w:color w:val="000000"/>
          <w:sz w:val="17"/>
          <w:highlight w:val="white"/>
        </w:rPr>
        <w:t xml:space="preserve">  The Partnership does not make systematic annual phantom unit awards to the Named Executive Officers. Instead, our objective is to time the granting of awards such that as performance thresholds are met for existing awards, additional long-term incentives are created. Thus, performance is rewarded by relatively greater frequency of awards and lack of performance by relatively lesser frequency of awards. Generally, we believe that a three- to four-year grant cycle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four-year cycle, new awards are granted with higher performance thresholds, and the minimum service periods of the new awards are generally synchronized with the remaining time-vesting requirements of outstanding awards in a manner designed to encourage extended retention of the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Application in 2006</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the beginning of 2006, the Partnership publicly established the following five goals for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Deliver operating and financial performance in line with guidance furnished at the beginning of 2006 on a Form 8-K dated February 23,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Maintain and improve our present credit rating and further expand our liquidity and financial flexibility to accommodate future growth;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Optimize our existing asset base and operations and expand our inventory of internal expansion projects;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Pursue our target of averaging $200 to $300 million of accretive and strategic acquisitions;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Increase our distribution paid to unitholders by 10% over 2005 payments.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met or substantially exceeded each of these goals in 2006. Excluding the impact of unforecasted acquisitions, our adjusted EBITDA exceeded the original guidance for 2006 by approximately 24%. Including the impact of unforecasted acquisitions, our adjusted EBITDA exceeded original guidance for 2006 by approximately 40%. We exceeded our acquisition target for 2006 by completing seven acquisitions aggregating approximately $3.0 billion. We also took several steps to optimize our asset base and expand our inventory of organic growth projects as we successfully implemented an expanded capital program totaling approximately $332 million, an increase of 44% as compared to the original capital program for 2006 of approximately </w:t>
      </w:r>
    </w:p>
    <w:p>
      <w:pPr>
        <w:pStyle w:val="TextBody"/>
        <w:spacing w:before="120" w:after="283"/>
        <w:rPr/>
      </w:pPr>
      <w:r>
        <w:rPr/>
        <w:t> </w:t>
      </w:r>
    </w:p>
    <w:p>
      <w:pPr>
        <w:pStyle w:val="TextBody"/>
        <w:spacing w:before="60" w:after="283"/>
        <w:rPr/>
      </w:pPr>
      <w:r>
        <w:rPr/>
        <w:t> </w:t>
      </w:r>
    </w:p>
    <w:p>
      <w:pPr>
        <w:pStyle w:val="TextBody"/>
        <w:jc w:val="both"/>
        <w:rPr>
          <w:rFonts w:ascii="Times New Roman;Times" w:hAnsi="Times New Roman;Times"/>
          <w:color w:val="000000"/>
          <w:sz w:val="17"/>
          <w:highlight w:val="white"/>
        </w:rPr>
      </w:pPr>
      <w:r>
        <w:rPr>
          <w:rFonts w:ascii="Times New Roman;Times" w:hAnsi="Times New Roman;Times"/>
          <w:color w:val="000000"/>
          <w:sz w:val="17"/>
          <w:highlight w:val="white"/>
        </w:rPr>
        <w:t xml:space="preserve">1 Adjusted EBITDA excludes the effect of certain non-cash items such as the effect of FAS 133 and accrual of LTIP expenses. Any bonus amounts that are deducted in calculating EBITDA are added back for purposes of calculating the bonus pool.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$230 million. Despite a year of significant acquisition and expansion activity, we maintained a strong capital structure and an investment grade credit rating and expanded the Partnerships liquidity and financial flexibility. Finally, we exceeded our goal for unitholder distributions as total distributions paid in 2006 increased by approximately 11.5% over distributions paid in 2005. The total return to our limited partners (unit price appreciation plus distributions received) was approximately 38% in 2006 as compared to 25.8%, 15.8% and 19.0% for the MLP peer index, the S&amp;P 500 and the Dow Jones Industrial Index,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2006, the elements of compensation were applied as follows: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Salary.</w:t>
      </w:r>
      <w:r>
        <w:rPr>
          <w:rFonts w:ascii="Times New Roman;Times" w:hAnsi="Times New Roman;Times"/>
          <w:color w:val="000000"/>
          <w:sz w:val="17"/>
          <w:highlight w:val="white"/>
        </w:rPr>
        <w:t xml:space="preserve">  No salary adjustments were recommended or made in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Cash Bonuses.</w:t>
      </w:r>
      <w:r>
        <w:rPr>
          <w:rFonts w:ascii="Times New Roman;Times" w:hAnsi="Times New Roman;Times"/>
          <w:color w:val="000000"/>
          <w:sz w:val="17"/>
          <w:highlight w:val="white"/>
        </w:rPr>
        <w:t xml:space="preserve">  Based on our CEOs annual performance review and the individual performance of each of our Named Executive Officers, our compensation committee recommended to the board and the board approved the annual bonuses reflected in the Summary Compensation Table and notes thereto. The aggregate annual and, where applicable, quarterly bonus amounts reflected in the Summary Compensation Table are approximately 11% to 28% higher than amounts paid in 2005, which was considered a year of strong performance. Such amounts take into account the significant overperformance relative to each of the five goals established for 2006, the absence of any notable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Coiner and Mr. vonBerg, the aggregate bonus amount represented 39.8% and 37.5% in annual bonus and 60.2% and 62.5% in quarterly bonus,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Long-Term Incentive Awards.</w:t>
      </w:r>
      <w:r>
        <w:rPr>
          <w:rFonts w:ascii="Times New Roman;Times" w:hAnsi="Times New Roman;Times"/>
          <w:color w:val="000000"/>
          <w:sz w:val="17"/>
          <w:highlight w:val="white"/>
        </w:rPr>
        <w:t xml:space="preserve">  No awards were made in 2006. Effective with the November 2006 distribution, however, we achieved the highest performance threshold ($3.00 per limited partner unit annualized) contained in substantially all pre-2006 phantom unit awards. Vesting of these pre-2006 awards remains subject to continued employment, and the service-period vesting requirements will be met in various increments over the next three to four years with the final vesting in May 2010. The compensation expense recognized in 2006 related to such awards is reflected on an individual basis in the Summary Compensation Table that follows. The vesting requirements are described in the footnotes to the Outstanding Equity Awards Table that follows.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Consistent with our policy of issuing new grants (with extended time-vesting periods) when the highest performance threshold of existing grants has been reached, in February of 2007 our board of directors granted awards with a top performance threshold of $4.00 per limited partner unit, representing a 33% increase over the November 2006 distribution level of $3.00 per unit. Such grants are intended to encourage continued growth and fundamental performance that will support future distribution growth. Specifically, the terms of the awards provide that, subject to meeting the service period requirement, the phantom unit grants will vest in one-third increments upon achieving annualized quarterly distribution levels of $3.50 per unit, $3.75 per unit and $4.00 per unit, respectively. Tandem DERs vest in 25% increments upon achieving annualized quarterly distribution levels of $3.40, $3.60, $3.80 and $4.00 per unit. Approximately two-thirds of the awards are eligible to vest in 2011 and one-third are eligible to vest in 2012. If any of the performance thresholds are not achieved prior to the May 2014 distribution date, such awards will expire. Upon vesting, the phantom units are payable on a one-for-one basis in common units of the partnership (or cash equivalent depending on the form of grant). The 2007 awards included grants to the Named Executive Officers as follows: Mr. Armstrong, 180,000; Mr. Pefanis, 120,000; Mr. Kramer, 60,000; Mr. Coiner, 90,000 and Mr. vonBerg, 54,000. The number of phantom units awarded to the Named Executive Officers represents approximately 60% of their outstanding pre-2006 awards.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 Compensation Related Matters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Equity Ownership.</w:t>
      </w:r>
      <w:r>
        <w:rPr>
          <w:rFonts w:ascii="Times New Roman;Times" w:hAnsi="Times New Roman;Times"/>
          <w:color w:val="000000"/>
          <w:sz w:val="17"/>
          <w:highlight w:val="white"/>
        </w:rPr>
        <w:t xml:space="preserve">  As of December 31, 2006, each of the Named Executive Officers owned substantial equity in the partnership. Although the Partnership encourages its Named Executive Officers to retain ownership in the Partnership, it does not have a policy requiring maintenance of a specified equity ownership level. The Partnerships policies prohibit the Named Executive Officers from using puts, calls or options to hedge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economic risk of their ownership. In the aggregate, as of December 31, 2006, the Named Executive Officers beneficially owned an aggregate of approximately 556,475 limited partner units, excluding any unvested equity awards, as well as an aggregate 3% indirect ownership interest in the general partner. Based on the market price of the limited partner units at December 31, 2006 and an implied valuation for their collective general partner interest using similar valuation metrics, the value of the equity ownership of these individuals was approximately 45 times their aggregate 2006 salaries and approximately 3.9 times the combined aggregate salaries and bonuses for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Recovery of Prior Awards.</w:t>
      </w:r>
      <w:r>
        <w:rPr>
          <w:rFonts w:ascii="Times New Roman;Times" w:hAnsi="Times New Roman;Times"/>
          <w:color w:val="000000"/>
          <w:sz w:val="17"/>
          <w:highlight w:val="white"/>
        </w:rPr>
        <w:t xml:space="preserve">  Except as provided by applicable laws and regulations, the Partnership does not have a policy with respect to adjustment or recovery of awards or payments if relevant company performance measures upon which previous awards were based are restated or otherwise adjusted in a manner that would reduce the size of such award or payment.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Section 162(m).</w:t>
      </w:r>
      <w:r>
        <w:rPr>
          <w:rFonts w:ascii="Times New Roman;Times" w:hAnsi="Times New Roman;Times"/>
          <w:color w:val="000000"/>
          <w:sz w:val="17"/>
          <w:highlight w:val="white"/>
        </w:rPr>
        <w:t xml:space="preserve">  With respect to the deduction limitations under Section 162(m) of the Code, Plains is a limited partnership and does not meet the definition of a corporation under Section 162(m). Nonetheless, the salaries for each of the Named Executive Officers are substantially less than the Section 162(m) threshold of $1,000,000 and we believe the bonus compensation and long-term incentive compensation would qualify for performance-based compensation under Reg. 1.162-27(e) and therefore would not be additive to salaries for purposes of measuring the $1,000,000 tax limitation.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Change in Control Triggers.</w:t>
      </w:r>
      <w:r>
        <w:rPr>
          <w:rFonts w:ascii="Times New Roman;Times" w:hAnsi="Times New Roman;Times"/>
          <w:color w:val="000000"/>
          <w:sz w:val="17"/>
          <w:highlight w:val="white"/>
        </w:rPr>
        <w:t xml:space="preserve">  The employment agreements for Messrs. Armstrong and Pefanis and the long-term incentive plan grants to the Named Executive Officers include severance payment provisions or accelerated vesting triggered upon a change of control, as defined in the respective agreement. In the case of the long-term incentive plan grants, the provision becomes operative only if the change in control is accompanied by a change in status (such as the termination of employment by the general partner).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 transaction in 2005 that would have constituted a change in control. See  Potential Payments upon Termination or Change-in-Control and  Employment Agreements.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Summary Compensation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certain compensation information for our Chief Executive Officer, Chief Financial Officer and the three other most highly compensated executive officers in 2006 (the Named Executive Officers). We reimburse our general partner and its affiliates for expenses incurred on our behalf, including the costs of officer compensation.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2006 Summary Compensation Table</w:t>
      </w:r>
      <w:r>
        <w:rPr>
          <w:rFonts w:ascii="Arial;Helvetica" w:hAnsi="Arial;Helvetica"/>
          <w:color w:val="000000"/>
          <w:sz w:val="17"/>
          <w:highlight w:val="white"/>
        </w:rPr>
        <w:t xml:space="preserve"> </w:t>
      </w:r>
    </w:p>
    <w:p>
      <w:pPr>
        <w:pStyle w:val="TextBody"/>
        <w:spacing w:before="120" w:after="283"/>
        <w:rPr/>
      </w:pPr>
      <w:r>
        <w:rPr/>
        <w:t> </w:t>
      </w:r>
    </w:p>
    <w:tbl>
      <w:tblPr>
        <w:tblW w:w="12360" w:type="dxa"/>
        <w:jc w:val="center"/>
        <w:tblInd w:w="0" w:type="dxa"/>
        <w:shd w:fill="FFFFFF" w:val="clear"/>
        <w:tblCellMar>
          <w:top w:w="0" w:type="dxa"/>
          <w:left w:w="0" w:type="dxa"/>
          <w:bottom w:w="0" w:type="dxa"/>
          <w:right w:w="0" w:type="dxa"/>
        </w:tblCellMar>
      </w:tblPr>
      <w:tblGrid>
        <w:gridCol w:w="2990"/>
        <w:gridCol w:w="60"/>
        <w:gridCol w:w="120"/>
        <w:gridCol w:w="560"/>
        <w:gridCol w:w="120"/>
        <w:gridCol w:w="60"/>
        <w:gridCol w:w="120"/>
        <w:gridCol w:w="860"/>
        <w:gridCol w:w="120"/>
        <w:gridCol w:w="60"/>
        <w:gridCol w:w="120"/>
        <w:gridCol w:w="1040"/>
        <w:gridCol w:w="350"/>
        <w:gridCol w:w="60"/>
        <w:gridCol w:w="120"/>
        <w:gridCol w:w="1040"/>
        <w:gridCol w:w="120"/>
        <w:gridCol w:w="60"/>
        <w:gridCol w:w="405"/>
        <w:gridCol w:w="675"/>
        <w:gridCol w:w="410"/>
        <w:gridCol w:w="60"/>
        <w:gridCol w:w="182"/>
        <w:gridCol w:w="1125"/>
        <w:gridCol w:w="183"/>
        <w:gridCol w:w="60"/>
        <w:gridCol w:w="120"/>
        <w:gridCol w:w="1040"/>
        <w:gridCol w:w="120"/>
      </w:tblGrid>
      <w:tr>
        <w:trPr/>
        <w:tc>
          <w:tcPr>
            <w:tcW w:w="29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86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040"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0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05" w:type="dxa"/>
            <w:tcBorders/>
            <w:shd w:fill="FFFFFF" w:val="clear"/>
            <w:vAlign w:val="bottom"/>
          </w:tcPr>
          <w:p>
            <w:pPr>
              <w:pStyle w:val="TableContents"/>
              <w:spacing w:before="0" w:after="283"/>
              <w:jc w:val="right"/>
              <w:rPr/>
            </w:pPr>
            <w:r>
              <w:rPr/>
              <w:t> </w:t>
            </w:r>
          </w:p>
        </w:tc>
        <w:tc>
          <w:tcPr>
            <w:tcW w:w="675" w:type="dxa"/>
            <w:tcBorders/>
            <w:shd w:fill="FFFFFF" w:val="clear"/>
            <w:vAlign w:val="bottom"/>
          </w:tcPr>
          <w:p>
            <w:pPr>
              <w:pStyle w:val="TableContents"/>
              <w:spacing w:before="0" w:after="283"/>
              <w:jc w:val="right"/>
              <w:rPr/>
            </w:pPr>
            <w:r>
              <w:rPr/>
              <w:t> </w:t>
            </w:r>
          </w:p>
        </w:tc>
        <w:tc>
          <w:tcPr>
            <w:tcW w:w="41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jc w:val="right"/>
              <w:rPr/>
            </w:pPr>
            <w:r>
              <w:rPr/>
              <w:t> </w:t>
            </w:r>
          </w:p>
        </w:tc>
        <w:tc>
          <w:tcPr>
            <w:tcW w:w="112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0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299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0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0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1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b/>
              </w:rPr>
            </w:pPr>
            <w:r>
              <w:rPr>
                <w:b/>
              </w:rPr>
              <w:t>Non-Equity</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pPr>
            <w:r>
              <w:rPr/>
              <w:t xml:space="preserve">  </w:t>
            </w:r>
          </w:p>
        </w:tc>
      </w:tr>
      <w:tr>
        <w:trPr/>
        <w:tc>
          <w:tcPr>
            <w:tcW w:w="299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0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0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1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b/>
              </w:rPr>
            </w:pPr>
            <w:r>
              <w:rPr>
                <w:b/>
              </w:rPr>
              <w:t>Stock</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b/>
              </w:rPr>
            </w:pPr>
            <w:r>
              <w:rPr>
                <w:b/>
              </w:rPr>
              <w:t>Incentive Plan</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b/>
              </w:rPr>
            </w:pPr>
            <w:r>
              <w:rPr>
                <w:b/>
              </w:rPr>
              <w:t>All Other</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pPr>
            <w:r>
              <w:rPr/>
              <w:t xml:space="preserve">  </w:t>
            </w:r>
          </w:p>
        </w:tc>
      </w:tr>
      <w:tr>
        <w:trPr/>
        <w:tc>
          <w:tcPr>
            <w:tcW w:w="299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00" w:type="dxa"/>
            <w:gridSpan w:val="3"/>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00" w:type="dxa"/>
            <w:gridSpan w:val="3"/>
            <w:tcBorders/>
            <w:shd w:fill="FFFFFF" w:val="clear"/>
            <w:vAlign w:val="bottom"/>
          </w:tcPr>
          <w:p>
            <w:pPr>
              <w:pStyle w:val="TableContents"/>
              <w:spacing w:before="0" w:after="283"/>
              <w:jc w:val="center"/>
              <w:rPr>
                <w:b/>
              </w:rPr>
            </w:pPr>
            <w:r>
              <w:rPr>
                <w:b/>
              </w:rPr>
              <w:t>Salary</w:t>
            </w:r>
          </w:p>
        </w:tc>
        <w:tc>
          <w:tcPr>
            <w:tcW w:w="60" w:type="dxa"/>
            <w:tcBorders/>
            <w:shd w:fill="FFFFFF" w:val="clear"/>
            <w:vAlign w:val="bottom"/>
          </w:tcPr>
          <w:p>
            <w:pPr>
              <w:pStyle w:val="TableContents"/>
              <w:spacing w:before="0" w:after="283"/>
              <w:jc w:val="center"/>
              <w:rPr/>
            </w:pPr>
            <w:r>
              <w:rPr/>
              <w:t xml:space="preserve">  </w:t>
            </w:r>
          </w:p>
        </w:tc>
        <w:tc>
          <w:tcPr>
            <w:tcW w:w="1510" w:type="dxa"/>
            <w:gridSpan w:val="3"/>
            <w:tcBorders/>
            <w:shd w:fill="FFFFFF" w:val="clear"/>
            <w:vAlign w:val="bottom"/>
          </w:tcPr>
          <w:p>
            <w:pPr>
              <w:pStyle w:val="TableContents"/>
              <w:spacing w:before="0" w:after="283"/>
              <w:jc w:val="center"/>
              <w:rPr>
                <w:b/>
              </w:rPr>
            </w:pPr>
            <w:r>
              <w:rPr>
                <w:b/>
              </w:rPr>
              <w:t>Bonus</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b/>
              </w:rPr>
            </w:pPr>
            <w:r>
              <w:rPr>
                <w:b/>
              </w:rPr>
              <w:t>Awards</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b/>
              </w:rPr>
            </w:pPr>
            <w:r>
              <w:rPr>
                <w:b/>
              </w:rPr>
              <w:t>Compensation</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shd w:fill="FFFFFF" w:val="clear"/>
            <w:vAlign w:val="bottom"/>
          </w:tcPr>
          <w:p>
            <w:pPr>
              <w:pStyle w:val="TableContents"/>
              <w:spacing w:before="0" w:after="283"/>
              <w:jc w:val="center"/>
              <w:rPr>
                <w:b/>
              </w:rPr>
            </w:pPr>
            <w:r>
              <w:rPr>
                <w:b/>
              </w:rPr>
              <w:t>Compensation</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shd w:fill="FFFFFF" w:val="clear"/>
            <w:vAlign w:val="bottom"/>
          </w:tcPr>
          <w:p>
            <w:pPr>
              <w:pStyle w:val="TableContents"/>
              <w:spacing w:before="0" w:after="283"/>
              <w:jc w:val="center"/>
              <w:rPr>
                <w:b/>
              </w:rPr>
            </w:pPr>
            <w:r>
              <w:rPr>
                <w:b/>
              </w:rPr>
              <w:t>Total</w:t>
            </w:r>
          </w:p>
        </w:tc>
      </w:tr>
      <w:tr>
        <w:trPr/>
        <w:tc>
          <w:tcPr>
            <w:tcW w:w="2990" w:type="dxa"/>
            <w:tcBorders/>
            <w:shd w:fill="FFFFFF" w:val="clear"/>
            <w:vAlign w:val="bottom"/>
          </w:tcPr>
          <w:p>
            <w:pPr>
              <w:pStyle w:val="TableContents"/>
              <w:spacing w:before="0" w:after="0"/>
              <w:jc w:val="left"/>
              <w:rPr>
                <w:bdr w:val="single" w:sz="2" w:space="1" w:color="000000"/>
              </w:rPr>
            </w:pPr>
            <w:r>
              <w:rPr>
                <w:b/>
                <w:bdr w:val="single" w:sz="2" w:space="1" w:color="000000"/>
              </w:rPr>
              <w:t>Name and Principal Position</w:t>
            </w:r>
            <w:r>
              <w:rPr>
                <w:bdr w:val="single" w:sz="2" w:space="1" w:color="000000"/>
              </w:rPr>
              <w:t xml:space="preserve"> </w:t>
            </w:r>
          </w:p>
        </w:tc>
        <w:tc>
          <w:tcPr>
            <w:tcW w:w="60" w:type="dxa"/>
            <w:tcBorders/>
            <w:shd w:fill="FFFFFF" w:val="clear"/>
            <w:vAlign w:val="bottom"/>
          </w:tcPr>
          <w:p>
            <w:pPr>
              <w:pStyle w:val="TableContents"/>
              <w:spacing w:before="0" w:after="283"/>
              <w:jc w:val="center"/>
              <w:rPr/>
            </w:pPr>
            <w:r>
              <w:rPr/>
              <w:t xml:space="preserve">  </w:t>
            </w:r>
          </w:p>
        </w:tc>
        <w:tc>
          <w:tcPr>
            <w:tcW w:w="80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Year</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0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1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($)(1)</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w:t>
            </w: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r>
      <w:tr>
        <w:trPr/>
        <w:tc>
          <w:tcPr>
            <w:tcW w:w="2990" w:type="dxa"/>
            <w:tcBorders/>
            <w:shd w:fill="FFFFFF" w:val="clear"/>
            <w:vAlign w:val="center"/>
          </w:tcPr>
          <w:p>
            <w:pPr>
              <w:pStyle w:val="TableContents"/>
              <w:spacing w:before="0" w:after="283"/>
              <w:rPr/>
            </w:pPr>
            <w:r>
              <w:rPr/>
              <w:t xml:space="preserve">  </w:t>
            </w:r>
          </w:p>
        </w:tc>
        <w:tc>
          <w:tcPr>
            <w:tcW w:w="9370" w:type="dxa"/>
            <w:gridSpan w:val="28"/>
            <w:tcBorders/>
            <w:shd w:fill="FFFFFF" w:val="clear"/>
          </w:tcPr>
          <w:p>
            <w:pPr>
              <w:pStyle w:val="TableContents"/>
              <w:spacing w:before="0" w:after="283"/>
              <w:rPr>
                <w:sz w:val="4"/>
                <w:szCs w:val="4"/>
              </w:rPr>
            </w:pPr>
            <w:r>
              <w:rPr>
                <w:sz w:val="4"/>
                <w:szCs w:val="4"/>
              </w:rPr>
            </w:r>
          </w:p>
        </w:tc>
      </w:tr>
      <w:tr>
        <w:trPr/>
        <w:tc>
          <w:tcPr>
            <w:tcW w:w="2990" w:type="dxa"/>
            <w:tcBorders/>
            <w:shd w:fill="CCEEFF" w:val="clear"/>
            <w:vAlign w:val="bottom"/>
          </w:tcPr>
          <w:p>
            <w:pPr>
              <w:pStyle w:val="TableContents"/>
              <w:spacing w:before="0" w:after="0"/>
              <w:ind w:left="160" w:right="0" w:hanging="160"/>
              <w:jc w:val="left"/>
              <w:rPr>
                <w:sz w:val="15"/>
              </w:rPr>
            </w:pPr>
            <w:r>
              <w:rPr>
                <w:sz w:val="15"/>
              </w:rPr>
              <w:t xml:space="preserve">Greg L. Armstrong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2006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375,000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3,750,000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5,184,222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0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15,930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9,325,152 </w:t>
            </w:r>
          </w:p>
        </w:tc>
        <w:tc>
          <w:tcPr>
            <w:tcW w:w="120" w:type="dxa"/>
            <w:tcBorders/>
            <w:shd w:fill="CCEEFF" w:val="clear"/>
            <w:vAlign w:val="bottom"/>
          </w:tcPr>
          <w:p>
            <w:pPr>
              <w:pStyle w:val="TableContents"/>
              <w:spacing w:before="0" w:after="283"/>
              <w:jc w:val="left"/>
              <w:rPr/>
            </w:pPr>
            <w:r>
              <w:rPr/>
              <w:t xml:space="preserve">  </w:t>
            </w:r>
          </w:p>
        </w:tc>
      </w:tr>
      <w:tr>
        <w:trPr/>
        <w:tc>
          <w:tcPr>
            <w:tcW w:w="2990" w:type="dxa"/>
            <w:tcBorders/>
            <w:shd w:fill="CCEEFF" w:val="clear"/>
            <w:vAlign w:val="bottom"/>
          </w:tcPr>
          <w:p>
            <w:pPr>
              <w:pStyle w:val="TableContents"/>
              <w:spacing w:before="0" w:after="0"/>
              <w:ind w:left="160" w:right="0" w:hanging="0"/>
              <w:jc w:val="left"/>
              <w:rPr>
                <w:sz w:val="15"/>
              </w:rPr>
            </w:pPr>
            <w:r>
              <w:rPr>
                <w:sz w:val="15"/>
              </w:rPr>
              <w:t xml:space="preserve">Chairman and CEO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r>
        <w:trPr/>
        <w:tc>
          <w:tcPr>
            <w:tcW w:w="2990" w:type="dxa"/>
            <w:tcBorders/>
            <w:shd w:fill="FFFFFF" w:val="clear"/>
            <w:vAlign w:val="bottom"/>
          </w:tcPr>
          <w:p>
            <w:pPr>
              <w:pStyle w:val="TableContents"/>
              <w:spacing w:before="0" w:after="0"/>
              <w:ind w:left="160" w:right="0" w:hanging="160"/>
              <w:jc w:val="left"/>
              <w:rPr>
                <w:sz w:val="15"/>
              </w:rPr>
            </w:pPr>
            <w:r>
              <w:rPr>
                <w:sz w:val="15"/>
              </w:rPr>
              <w:t xml:space="preserve">Harry N. Pefanis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560" w:type="dxa"/>
            <w:tcBorders/>
            <w:shd w:fill="FFFFFF" w:val="clear"/>
            <w:vAlign w:val="bottom"/>
          </w:tcPr>
          <w:p>
            <w:pPr>
              <w:pStyle w:val="TableContents"/>
              <w:spacing w:before="0" w:after="283"/>
              <w:jc w:val="right"/>
              <w:rPr/>
            </w:pPr>
            <w:r>
              <w:rPr/>
              <w:t xml:space="preserve">2006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860" w:type="dxa"/>
            <w:tcBorders/>
            <w:shd w:fill="FFFFFF" w:val="clear"/>
            <w:vAlign w:val="bottom"/>
          </w:tcPr>
          <w:p>
            <w:pPr>
              <w:pStyle w:val="TableContents"/>
              <w:spacing w:before="0" w:after="283"/>
              <w:jc w:val="right"/>
              <w:rPr/>
            </w:pPr>
            <w:r>
              <w:rPr/>
              <w:t xml:space="preserve">300,000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3,400,000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3,456,148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5" w:type="dxa"/>
            <w:tcBorders/>
            <w:shd w:fill="FFFFFF" w:val="clear"/>
            <w:vAlign w:val="bottom"/>
          </w:tcPr>
          <w:p>
            <w:pPr>
              <w:pStyle w:val="TableContents"/>
              <w:spacing w:before="0" w:after="283"/>
              <w:jc w:val="right"/>
              <w:rPr/>
            </w:pPr>
            <w:r>
              <w:rPr/>
              <w:t xml:space="preserve">  </w:t>
            </w:r>
          </w:p>
        </w:tc>
        <w:tc>
          <w:tcPr>
            <w:tcW w:w="675" w:type="dxa"/>
            <w:tcBorders/>
            <w:shd w:fill="FFFFFF" w:val="clear"/>
            <w:vAlign w:val="bottom"/>
          </w:tcPr>
          <w:p>
            <w:pPr>
              <w:pStyle w:val="TableContents"/>
              <w:spacing w:before="0" w:after="283"/>
              <w:jc w:val="right"/>
              <w:rPr/>
            </w:pPr>
            <w:r>
              <w:rPr/>
              <w:t xml:space="preserve">0 </w:t>
            </w:r>
          </w:p>
        </w:tc>
        <w:tc>
          <w:tcPr>
            <w:tcW w:w="41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jc w:val="right"/>
              <w:rPr/>
            </w:pPr>
            <w:r>
              <w:rPr/>
              <w:t xml:space="preserve">  </w:t>
            </w:r>
          </w:p>
        </w:tc>
        <w:tc>
          <w:tcPr>
            <w:tcW w:w="1125" w:type="dxa"/>
            <w:tcBorders/>
            <w:shd w:fill="FFFFFF" w:val="clear"/>
            <w:vAlign w:val="bottom"/>
          </w:tcPr>
          <w:p>
            <w:pPr>
              <w:pStyle w:val="TableContents"/>
              <w:spacing w:before="0" w:after="283"/>
              <w:jc w:val="right"/>
              <w:rPr/>
            </w:pPr>
            <w:r>
              <w:rPr/>
              <w:t xml:space="preserve">15,930 </w:t>
            </w:r>
          </w:p>
        </w:tc>
        <w:tc>
          <w:tcPr>
            <w:tcW w:w="183"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7,172,078 </w:t>
            </w:r>
          </w:p>
        </w:tc>
        <w:tc>
          <w:tcPr>
            <w:tcW w:w="120" w:type="dxa"/>
            <w:tcBorders/>
            <w:shd w:fill="FFFFFF" w:val="clear"/>
            <w:vAlign w:val="bottom"/>
          </w:tcPr>
          <w:p>
            <w:pPr>
              <w:pStyle w:val="TableContents"/>
              <w:spacing w:before="0" w:after="283"/>
              <w:jc w:val="left"/>
              <w:rPr/>
            </w:pPr>
            <w:r>
              <w:rPr/>
              <w:t xml:space="preserve">  </w:t>
            </w:r>
          </w:p>
        </w:tc>
      </w:tr>
      <w:tr>
        <w:trPr/>
        <w:tc>
          <w:tcPr>
            <w:tcW w:w="2990" w:type="dxa"/>
            <w:tcBorders/>
            <w:shd w:fill="FFFFFF" w:val="clear"/>
            <w:vAlign w:val="bottom"/>
          </w:tcPr>
          <w:p>
            <w:pPr>
              <w:pStyle w:val="TableContents"/>
              <w:spacing w:before="0" w:after="0"/>
              <w:ind w:left="160" w:right="0" w:hanging="0"/>
              <w:jc w:val="left"/>
              <w:rPr>
                <w:sz w:val="15"/>
              </w:rPr>
            </w:pPr>
            <w:r>
              <w:rPr>
                <w:sz w:val="15"/>
              </w:rPr>
              <w:t xml:space="preserve">President and Chief Operating Officer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5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8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5" w:type="dxa"/>
            <w:tcBorders/>
            <w:shd w:fill="FFFFFF" w:val="clear"/>
            <w:vAlign w:val="bottom"/>
          </w:tcPr>
          <w:p>
            <w:pPr>
              <w:pStyle w:val="TableContents"/>
              <w:spacing w:before="0" w:after="283"/>
              <w:jc w:val="right"/>
              <w:rPr/>
            </w:pPr>
            <w:r>
              <w:rPr/>
              <w:t xml:space="preserve">  </w:t>
            </w:r>
          </w:p>
        </w:tc>
        <w:tc>
          <w:tcPr>
            <w:tcW w:w="675" w:type="dxa"/>
            <w:tcBorders/>
            <w:shd w:fill="FFFFFF" w:val="clear"/>
            <w:vAlign w:val="bottom"/>
          </w:tcPr>
          <w:p>
            <w:pPr>
              <w:pStyle w:val="TableContents"/>
              <w:spacing w:before="0" w:after="283"/>
              <w:jc w:val="right"/>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jc w:val="right"/>
              <w:rPr/>
            </w:pPr>
            <w:r>
              <w:rPr/>
              <w:t xml:space="preserve">  </w:t>
            </w:r>
          </w:p>
        </w:tc>
        <w:tc>
          <w:tcPr>
            <w:tcW w:w="1125"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r>
      <w:tr>
        <w:trPr/>
        <w:tc>
          <w:tcPr>
            <w:tcW w:w="2990" w:type="dxa"/>
            <w:tcBorders/>
            <w:shd w:fill="CCEEFF" w:val="clear"/>
            <w:vAlign w:val="bottom"/>
          </w:tcPr>
          <w:p>
            <w:pPr>
              <w:pStyle w:val="TableContents"/>
              <w:spacing w:before="0" w:after="0"/>
              <w:ind w:left="160" w:right="0" w:hanging="160"/>
              <w:jc w:val="left"/>
              <w:rPr>
                <w:sz w:val="15"/>
              </w:rPr>
            </w:pPr>
            <w:r>
              <w:rPr>
                <w:sz w:val="15"/>
              </w:rPr>
              <w:t xml:space="preserve">Phillip D. Kramer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2006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250,000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1,000,000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1,876,043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0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15,930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3,141,973 </w:t>
            </w:r>
          </w:p>
        </w:tc>
        <w:tc>
          <w:tcPr>
            <w:tcW w:w="120" w:type="dxa"/>
            <w:tcBorders/>
            <w:shd w:fill="CCEEFF" w:val="clear"/>
            <w:vAlign w:val="bottom"/>
          </w:tcPr>
          <w:p>
            <w:pPr>
              <w:pStyle w:val="TableContents"/>
              <w:spacing w:before="0" w:after="283"/>
              <w:jc w:val="left"/>
              <w:rPr/>
            </w:pPr>
            <w:r>
              <w:rPr/>
              <w:t xml:space="preserve">  </w:t>
            </w:r>
          </w:p>
        </w:tc>
      </w:tr>
      <w:tr>
        <w:trPr/>
        <w:tc>
          <w:tcPr>
            <w:tcW w:w="2990" w:type="dxa"/>
            <w:tcBorders/>
            <w:shd w:fill="CCEEFF" w:val="clear"/>
            <w:vAlign w:val="bottom"/>
          </w:tcPr>
          <w:p>
            <w:pPr>
              <w:pStyle w:val="TableContents"/>
              <w:spacing w:before="0" w:after="0"/>
              <w:ind w:left="160" w:right="0" w:hanging="0"/>
              <w:jc w:val="left"/>
              <w:rPr>
                <w:sz w:val="15"/>
              </w:rPr>
            </w:pPr>
            <w:r>
              <w:rPr>
                <w:sz w:val="15"/>
              </w:rPr>
              <w:t>Executive Vice President and</w:t>
              <w:br/>
              <w:t xml:space="preserve">Chief Financial Officer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r>
        <w:trPr/>
        <w:tc>
          <w:tcPr>
            <w:tcW w:w="2990" w:type="dxa"/>
            <w:tcBorders/>
            <w:shd w:fill="FFFFFF" w:val="clear"/>
            <w:vAlign w:val="bottom"/>
          </w:tcPr>
          <w:p>
            <w:pPr>
              <w:pStyle w:val="TableContents"/>
              <w:spacing w:before="0" w:after="0"/>
              <w:ind w:left="160" w:right="0" w:hanging="160"/>
              <w:jc w:val="left"/>
              <w:rPr>
                <w:sz w:val="15"/>
              </w:rPr>
            </w:pPr>
            <w:r>
              <w:rPr>
                <w:sz w:val="15"/>
              </w:rPr>
              <w:t xml:space="preserve">George R. Coiner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560" w:type="dxa"/>
            <w:tcBorders/>
            <w:shd w:fill="FFFFFF" w:val="clear"/>
            <w:vAlign w:val="bottom"/>
          </w:tcPr>
          <w:p>
            <w:pPr>
              <w:pStyle w:val="TableContents"/>
              <w:spacing w:before="0" w:after="283"/>
              <w:jc w:val="right"/>
              <w:rPr/>
            </w:pPr>
            <w:r>
              <w:rPr/>
              <w:t xml:space="preserve">2006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860" w:type="dxa"/>
            <w:tcBorders/>
            <w:shd w:fill="FFFFFF" w:val="clear"/>
            <w:vAlign w:val="bottom"/>
          </w:tcPr>
          <w:p>
            <w:pPr>
              <w:pStyle w:val="TableContents"/>
              <w:spacing w:before="0" w:after="283"/>
              <w:jc w:val="right"/>
              <w:rPr/>
            </w:pPr>
            <w:r>
              <w:rPr/>
              <w:t xml:space="preserve">250,000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3,390,100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2,616,477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5" w:type="dxa"/>
            <w:tcBorders/>
            <w:shd w:fill="FFFFFF" w:val="clear"/>
            <w:vAlign w:val="bottom"/>
          </w:tcPr>
          <w:p>
            <w:pPr>
              <w:pStyle w:val="TableContents"/>
              <w:spacing w:before="0" w:after="283"/>
              <w:jc w:val="right"/>
              <w:rPr/>
            </w:pPr>
            <w:r>
              <w:rPr/>
              <w:t xml:space="preserve">  </w:t>
            </w:r>
          </w:p>
        </w:tc>
        <w:tc>
          <w:tcPr>
            <w:tcW w:w="675" w:type="dxa"/>
            <w:tcBorders/>
            <w:shd w:fill="FFFFFF" w:val="clear"/>
            <w:vAlign w:val="bottom"/>
          </w:tcPr>
          <w:p>
            <w:pPr>
              <w:pStyle w:val="TableContents"/>
              <w:spacing w:before="0" w:after="283"/>
              <w:jc w:val="right"/>
              <w:rPr/>
            </w:pPr>
            <w:r>
              <w:rPr/>
              <w:t xml:space="preserve">0 </w:t>
            </w:r>
          </w:p>
        </w:tc>
        <w:tc>
          <w:tcPr>
            <w:tcW w:w="41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jc w:val="right"/>
              <w:rPr/>
            </w:pPr>
            <w:r>
              <w:rPr/>
              <w:t xml:space="preserve">  </w:t>
            </w:r>
          </w:p>
        </w:tc>
        <w:tc>
          <w:tcPr>
            <w:tcW w:w="1125" w:type="dxa"/>
            <w:tcBorders/>
            <w:shd w:fill="FFFFFF" w:val="clear"/>
            <w:vAlign w:val="bottom"/>
          </w:tcPr>
          <w:p>
            <w:pPr>
              <w:pStyle w:val="TableContents"/>
              <w:spacing w:before="0" w:after="283"/>
              <w:jc w:val="right"/>
              <w:rPr/>
            </w:pPr>
            <w:r>
              <w:rPr/>
              <w:t xml:space="preserve">15,930 </w:t>
            </w:r>
          </w:p>
        </w:tc>
        <w:tc>
          <w:tcPr>
            <w:tcW w:w="183"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6,272,507 </w:t>
            </w:r>
          </w:p>
        </w:tc>
        <w:tc>
          <w:tcPr>
            <w:tcW w:w="120" w:type="dxa"/>
            <w:tcBorders/>
            <w:shd w:fill="FFFFFF" w:val="clear"/>
            <w:vAlign w:val="bottom"/>
          </w:tcPr>
          <w:p>
            <w:pPr>
              <w:pStyle w:val="TableContents"/>
              <w:spacing w:before="0" w:after="283"/>
              <w:jc w:val="left"/>
              <w:rPr/>
            </w:pPr>
            <w:r>
              <w:rPr/>
              <w:t xml:space="preserve">  </w:t>
            </w:r>
          </w:p>
        </w:tc>
      </w:tr>
      <w:tr>
        <w:trPr/>
        <w:tc>
          <w:tcPr>
            <w:tcW w:w="2990" w:type="dxa"/>
            <w:tcBorders/>
            <w:shd w:fill="FFFFFF" w:val="clear"/>
            <w:vAlign w:val="bottom"/>
          </w:tcPr>
          <w:p>
            <w:pPr>
              <w:pStyle w:val="TableContents"/>
              <w:spacing w:before="0" w:after="0"/>
              <w:ind w:left="160" w:right="0" w:hanging="0"/>
              <w:jc w:val="left"/>
              <w:rPr>
                <w:sz w:val="15"/>
              </w:rPr>
            </w:pPr>
            <w:r>
              <w:rPr>
                <w:sz w:val="15"/>
              </w:rPr>
              <w:t xml:space="preserve">Senior Group Vice President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5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8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5" w:type="dxa"/>
            <w:tcBorders/>
            <w:shd w:fill="FFFFFF" w:val="clear"/>
            <w:vAlign w:val="bottom"/>
          </w:tcPr>
          <w:p>
            <w:pPr>
              <w:pStyle w:val="TableContents"/>
              <w:spacing w:before="0" w:after="283"/>
              <w:jc w:val="right"/>
              <w:rPr/>
            </w:pPr>
            <w:r>
              <w:rPr/>
              <w:t xml:space="preserve">  </w:t>
            </w:r>
          </w:p>
        </w:tc>
        <w:tc>
          <w:tcPr>
            <w:tcW w:w="675" w:type="dxa"/>
            <w:tcBorders/>
            <w:shd w:fill="FFFFFF" w:val="clear"/>
            <w:vAlign w:val="bottom"/>
          </w:tcPr>
          <w:p>
            <w:pPr>
              <w:pStyle w:val="TableContents"/>
              <w:spacing w:before="0" w:after="283"/>
              <w:jc w:val="right"/>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jc w:val="right"/>
              <w:rPr/>
            </w:pPr>
            <w:r>
              <w:rPr/>
              <w:t xml:space="preserve">  </w:t>
            </w:r>
          </w:p>
        </w:tc>
        <w:tc>
          <w:tcPr>
            <w:tcW w:w="1125"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04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r>
      <w:tr>
        <w:trPr/>
        <w:tc>
          <w:tcPr>
            <w:tcW w:w="2990" w:type="dxa"/>
            <w:tcBorders/>
            <w:shd w:fill="CCEEFF" w:val="clear"/>
            <w:vAlign w:val="bottom"/>
          </w:tcPr>
          <w:p>
            <w:pPr>
              <w:pStyle w:val="TableContents"/>
              <w:spacing w:before="0" w:after="0"/>
              <w:ind w:left="160" w:right="0" w:hanging="160"/>
              <w:jc w:val="left"/>
              <w:rPr>
                <w:sz w:val="15"/>
              </w:rPr>
            </w:pPr>
            <w:r>
              <w:rPr>
                <w:sz w:val="15"/>
              </w:rPr>
              <w:t xml:space="preserve">John P. vonBerg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2006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200,000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2,934,700 </w:t>
            </w:r>
          </w:p>
        </w:tc>
        <w:tc>
          <w:tcPr>
            <w:tcW w:w="35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1,575,530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0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15,744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4,725,974 </w:t>
            </w:r>
          </w:p>
        </w:tc>
        <w:tc>
          <w:tcPr>
            <w:tcW w:w="120" w:type="dxa"/>
            <w:tcBorders/>
            <w:shd w:fill="CCEEFF" w:val="clear"/>
            <w:vAlign w:val="bottom"/>
          </w:tcPr>
          <w:p>
            <w:pPr>
              <w:pStyle w:val="TableContents"/>
              <w:spacing w:before="0" w:after="283"/>
              <w:jc w:val="left"/>
              <w:rPr/>
            </w:pPr>
            <w:r>
              <w:rPr/>
              <w:t xml:space="preserve">  </w:t>
            </w:r>
          </w:p>
        </w:tc>
      </w:tr>
      <w:tr>
        <w:trPr/>
        <w:tc>
          <w:tcPr>
            <w:tcW w:w="2990" w:type="dxa"/>
            <w:tcBorders/>
            <w:shd w:fill="CCEEFF" w:val="clear"/>
            <w:vAlign w:val="bottom"/>
          </w:tcPr>
          <w:p>
            <w:pPr>
              <w:pStyle w:val="TableContents"/>
              <w:spacing w:before="0" w:after="0"/>
              <w:ind w:left="160" w:right="0" w:hanging="0"/>
              <w:jc w:val="left"/>
              <w:rPr>
                <w:sz w:val="15"/>
              </w:rPr>
            </w:pPr>
            <w:r>
              <w:rPr>
                <w:sz w:val="15"/>
              </w:rPr>
              <w:t xml:space="preserve">Vice President  Trading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5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8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5" w:type="dxa"/>
            <w:tcBorders/>
            <w:shd w:fill="CCEEFF" w:val="clear"/>
            <w:vAlign w:val="bottom"/>
          </w:tcPr>
          <w:p>
            <w:pPr>
              <w:pStyle w:val="TableContents"/>
              <w:spacing w:before="0" w:after="283"/>
              <w:jc w:val="right"/>
              <w:rPr/>
            </w:pPr>
            <w:r>
              <w:rPr/>
              <w:t xml:space="preserve">  </w:t>
            </w:r>
          </w:p>
        </w:tc>
        <w:tc>
          <w:tcPr>
            <w:tcW w:w="675" w:type="dxa"/>
            <w:tcBorders/>
            <w:shd w:fill="CCEEFF" w:val="clear"/>
            <w:vAlign w:val="bottom"/>
          </w:tcPr>
          <w:p>
            <w:pPr>
              <w:pStyle w:val="TableContents"/>
              <w:spacing w:before="0" w:after="283"/>
              <w:jc w:val="right"/>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82" w:type="dxa"/>
            <w:tcBorders/>
            <w:shd w:fill="CCEEFF" w:val="clear"/>
            <w:vAlign w:val="bottom"/>
          </w:tcPr>
          <w:p>
            <w:pPr>
              <w:pStyle w:val="TableContents"/>
              <w:spacing w:before="0" w:after="283"/>
              <w:jc w:val="right"/>
              <w:rPr/>
            </w:pPr>
            <w:r>
              <w:rPr/>
              <w:t xml:space="preserve">  </w:t>
            </w:r>
          </w:p>
        </w:tc>
        <w:tc>
          <w:tcPr>
            <w:tcW w:w="1125"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04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 xml:space="preserve">Dollar amounts represent the compensation expense recognized in 2006 with respect to outstanding phantom unit grants under our LTIP, whether or not granted during 2006. See Note 10 to our Consolidated Financial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Statements for a discussion of the assumptions made in determining these amounts. While substantially all of the performance thresholds for earning the phantom units represented by these amounts had been met as of December 29, 2006, none of the amounts included in this column were vested as of such date as they contain ongoing service requirements and, subject to meeting those requirements, will vest in various increments in 2007, 2008, 2009 and 2010.</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Our general partner matches 100% of employees contributions to its 401(k) plan in cash, subject to certain limitations in the plan. All Other Compensation for Messrs. Armstrong, Pefanis, Kramer, Coiner and vonBerg includes $15,000 in such contributions. The remaining amount represents premium payments on behalf of the Named Executive Officer for group term life insurance.</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Includes quarterly bonuses aggregating $2,040,100 and an annual bonus of $1,350,000. The annual bonus is payable 60% at the time of award and 20% in each of the two succeeding years.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Includes quarterly bonuses aggregating $1,834,700 and an annual bonus of $1,100,000. The annual bonus is payable 60% at the time of award and 20% in each of the two succeeding years.</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Grants of Plan-Based Awards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table has been omitted because no plan-based awards were made in 2006. See  Compensation Discussion and Analysis.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Narrative Disclosure to Summary Compensation Table and Grants of Plan-Based Awards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discussion of 2006 salaries and bonuses is included in  Compensation Discussion and Analysis. The following is a discussion of other material factors necessary to an understanding of the information disclosed in the Summary Compensation Table.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2006 Salary</w:t>
      </w:r>
      <w:r>
        <w:rPr>
          <w:rFonts w:ascii="Times New Roman;Times" w:hAnsi="Times New Roman;Times"/>
          <w:color w:val="000000"/>
          <w:sz w:val="17"/>
          <w:highlight w:val="white"/>
        </w:rPr>
        <w:t xml:space="preserve">  As discussed in our CD&amp;A, we do not make systematic annual adjustments to the salaries of the Named Executive Officers. Accordingly, no salary adjustments were made for any of our executive officers in 2006.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Employment Contracts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See  Compensation Discussion and Analysis for a discussion of how salary and bonus are used to achieve compensation objectives. See  Potential Payments Upon Termination or Change-In-Control for a discussion of the provisions in Mr. Armstrongs employment agreement related to termination, change of control and related payment obligations.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of directors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See  Compensation Discussion and Analysis for a discussion of how salary and bonus are used to achieve compensation objectives. See  Potential Payments Upon Termination or Change-In-Control for a discussion of the provisions in Mr. Pefanis employment agreement related to termination, change of control and related payment obligations.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Mr. vonBergs employment in January 2002, our general partner and Mr. vonBerg entered into a letter agreement setting forth the terms of his employment. Such letter agreement provided for Mr. vonBergs position to be Director, Trading at a base salary of $200,000 per year and his participation in a quarterly bonus pool based on gross margin generated by the employees business unit, discretionary annual bonus pool and employee benefits provided to all employees generally. See  Compensation Discussion and Analysis for a discussion of how salary and bonus are used to achieve compensation objectives. The letter agreement expired in accordance with its terms in January 2007. Mr. vonBerg also entered into an ancillary agreement which provides that for a period of one year following his termination, he will not disclose (subject to typical exceptions) any confidential information obtained by him while employed under the agreement and he will not, for one year after termination, engage in certain transactions with certain suppliers and customers.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Outstanding Equity Awards at Fiscal Year-End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certain information with respect to outstanding equity awards at December 31, 2006 with respect to the Named Executive Officers: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Outstanding Equity Awards at Fiscal Year-End</w:t>
      </w:r>
      <w:r>
        <w:rPr>
          <w:rFonts w:ascii="Arial;Helvetica" w:hAnsi="Arial;Helvetica"/>
          <w:color w:val="000000"/>
          <w:sz w:val="17"/>
          <w:highlight w:val="white"/>
        </w:rPr>
        <w:t xml:space="preserve"> </w:t>
      </w:r>
    </w:p>
    <w:p>
      <w:pPr>
        <w:pStyle w:val="TextBody"/>
        <w:spacing w:before="120" w:after="283"/>
        <w:rPr/>
      </w:pPr>
      <w:r>
        <w:rPr/>
        <w:t> </w:t>
      </w:r>
    </w:p>
    <w:tbl>
      <w:tblPr>
        <w:tblW w:w="14235" w:type="dxa"/>
        <w:jc w:val="center"/>
        <w:tblInd w:w="0" w:type="dxa"/>
        <w:shd w:fill="FFFFFF" w:val="clear"/>
        <w:tblCellMar>
          <w:top w:w="0" w:type="dxa"/>
          <w:left w:w="0" w:type="dxa"/>
          <w:bottom w:w="0" w:type="dxa"/>
          <w:right w:w="0" w:type="dxa"/>
        </w:tblCellMar>
      </w:tblPr>
      <w:tblGrid>
        <w:gridCol w:w="1400"/>
        <w:gridCol w:w="60"/>
        <w:gridCol w:w="175"/>
        <w:gridCol w:w="1090"/>
        <w:gridCol w:w="350"/>
        <w:gridCol w:w="60"/>
        <w:gridCol w:w="454"/>
        <w:gridCol w:w="991"/>
        <w:gridCol w:w="120"/>
        <w:gridCol w:w="60"/>
        <w:gridCol w:w="397"/>
        <w:gridCol w:w="868"/>
        <w:gridCol w:w="120"/>
        <w:gridCol w:w="60"/>
        <w:gridCol w:w="213"/>
        <w:gridCol w:w="662"/>
        <w:gridCol w:w="120"/>
        <w:gridCol w:w="60"/>
        <w:gridCol w:w="120"/>
        <w:gridCol w:w="1160"/>
        <w:gridCol w:w="120"/>
        <w:gridCol w:w="60"/>
        <w:gridCol w:w="327"/>
        <w:gridCol w:w="713"/>
        <w:gridCol w:w="120"/>
        <w:gridCol w:w="60"/>
        <w:gridCol w:w="326"/>
        <w:gridCol w:w="714"/>
        <w:gridCol w:w="120"/>
        <w:gridCol w:w="60"/>
        <w:gridCol w:w="139"/>
        <w:gridCol w:w="1006"/>
        <w:gridCol w:w="350"/>
        <w:gridCol w:w="60"/>
        <w:gridCol w:w="131"/>
        <w:gridCol w:w="1269"/>
        <w:gridCol w:w="120"/>
      </w:tblGrid>
      <w:tr>
        <w:trPr/>
        <w:tc>
          <w:tcPr>
            <w:tcW w:w="140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right"/>
              <w:rPr/>
            </w:pPr>
            <w:r>
              <w:rPr/>
              <w:t> </w:t>
            </w:r>
          </w:p>
        </w:tc>
        <w:tc>
          <w:tcPr>
            <w:tcW w:w="1090"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54" w:type="dxa"/>
            <w:tcBorders/>
            <w:shd w:fill="FFFFFF" w:val="clear"/>
            <w:vAlign w:val="bottom"/>
          </w:tcPr>
          <w:p>
            <w:pPr>
              <w:pStyle w:val="TableContents"/>
              <w:spacing w:before="0" w:after="283"/>
              <w:jc w:val="right"/>
              <w:rPr/>
            </w:pPr>
            <w:r>
              <w:rPr/>
              <w:t> </w:t>
            </w:r>
          </w:p>
        </w:tc>
        <w:tc>
          <w:tcPr>
            <w:tcW w:w="991"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jc w:val="right"/>
              <w:rPr/>
            </w:pPr>
            <w:r>
              <w:rPr/>
              <w:t> </w:t>
            </w:r>
          </w:p>
        </w:tc>
        <w:tc>
          <w:tcPr>
            <w:tcW w:w="86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right"/>
              <w:rPr/>
            </w:pPr>
            <w:r>
              <w:rPr/>
              <w:t> </w:t>
            </w:r>
          </w:p>
        </w:tc>
        <w:tc>
          <w:tcPr>
            <w:tcW w:w="662"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16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7" w:type="dxa"/>
            <w:tcBorders/>
            <w:shd w:fill="FFFFFF" w:val="clear"/>
            <w:vAlign w:val="bottom"/>
          </w:tcPr>
          <w:p>
            <w:pPr>
              <w:pStyle w:val="TableContents"/>
              <w:spacing w:before="0" w:after="283"/>
              <w:jc w:val="right"/>
              <w:rPr/>
            </w:pPr>
            <w:r>
              <w:rPr/>
              <w:t> </w:t>
            </w:r>
          </w:p>
        </w:tc>
        <w:tc>
          <w:tcPr>
            <w:tcW w:w="71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26" w:type="dxa"/>
            <w:tcBorders/>
            <w:shd w:fill="FFFFFF" w:val="clear"/>
            <w:vAlign w:val="bottom"/>
          </w:tcPr>
          <w:p>
            <w:pPr>
              <w:pStyle w:val="TableContents"/>
              <w:spacing w:before="0" w:after="283"/>
              <w:jc w:val="right"/>
              <w:rPr/>
            </w:pPr>
            <w:r>
              <w:rPr/>
              <w:t> </w:t>
            </w:r>
          </w:p>
        </w:tc>
        <w:tc>
          <w:tcPr>
            <w:tcW w:w="71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right"/>
              <w:rPr/>
            </w:pPr>
            <w:r>
              <w:rPr/>
              <w:t> </w:t>
            </w:r>
          </w:p>
        </w:tc>
        <w:tc>
          <w:tcPr>
            <w:tcW w:w="1006"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right"/>
              <w:rPr/>
            </w:pPr>
            <w:r>
              <w:rPr/>
              <w:t> </w:t>
            </w:r>
          </w:p>
        </w:tc>
        <w:tc>
          <w:tcPr>
            <w:tcW w:w="1269"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140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080"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Option Awards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5395" w:type="dxa"/>
            <w:gridSpan w:val="14"/>
            <w:tcBorders>
              <w:bottom w:val="single" w:sz="2" w:space="0" w:color="000000"/>
            </w:tcBorders>
            <w:shd w:fill="FFFFFF" w:val="clear"/>
            <w:tcMar>
              <w:bottom w:w="28" w:type="dxa"/>
            </w:tcMar>
            <w:vAlign w:val="bottom"/>
          </w:tcPr>
          <w:p>
            <w:pPr>
              <w:pStyle w:val="TableContents"/>
              <w:spacing w:before="0" w:after="283"/>
              <w:jc w:val="center"/>
              <w:rPr/>
            </w:pPr>
            <w:r>
              <w:rPr>
                <w:b/>
              </w:rPr>
              <w:t>Stock Awards</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Equity</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Equity</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Incentive</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Incentive</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Equity</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Plan</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Plan</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Incentive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Awards:</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Awards:</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Plan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Market</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Number of</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Market or</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pP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Awards: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Number</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Value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Unearned</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Payout Value</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Number of</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Number of</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Number of</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of Shares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of Shares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Shares,</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of Unearned</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Securities</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Securities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Securities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or Units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or Units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Units or</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Shares, Units</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Underlying</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Underlying</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Underlying</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of Stock</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of Stock</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Other</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or Other</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Unexercised</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Unexercised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Unexercised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b/>
              </w:rPr>
            </w:pPr>
            <w:r>
              <w:rPr>
                <w:b/>
              </w:rPr>
              <w:t>Option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Option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that Have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that Have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Rights that</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Rights That</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Options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Options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Unearned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b/>
              </w:rPr>
            </w:pPr>
            <w:r>
              <w:rPr>
                <w:b/>
              </w:rPr>
              <w:t>Exercise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Expiration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Not</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Not</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Have Not</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Have Not</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283"/>
              <w:jc w:val="left"/>
              <w:rPr>
                <w:b/>
              </w:rPr>
            </w:pPr>
            <w:r>
              <w:rPr>
                <w:b/>
              </w:rPr>
              <w:t>Name</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Exercisable</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shd w:fill="FFFFFF" w:val="clear"/>
            <w:vAlign w:val="bottom"/>
          </w:tcPr>
          <w:p>
            <w:pPr>
              <w:pStyle w:val="TableContents"/>
              <w:spacing w:before="0" w:after="283"/>
              <w:jc w:val="center"/>
              <w:rPr>
                <w:b/>
              </w:rPr>
            </w:pPr>
            <w:r>
              <w:rPr>
                <w:b/>
              </w:rPr>
              <w:t>Unexercisable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shd w:fill="FFFFFF" w:val="clear"/>
            <w:vAlign w:val="bottom"/>
          </w:tcPr>
          <w:p>
            <w:pPr>
              <w:pStyle w:val="TableContents"/>
              <w:spacing w:before="0" w:after="283"/>
              <w:jc w:val="center"/>
              <w:rPr>
                <w:b/>
              </w:rPr>
            </w:pPr>
            <w:r>
              <w:rPr>
                <w:b/>
              </w:rPr>
              <w:t>Options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shd w:fill="FFFFFF" w:val="clear"/>
            <w:vAlign w:val="bottom"/>
          </w:tcPr>
          <w:p>
            <w:pPr>
              <w:pStyle w:val="TableContents"/>
              <w:spacing w:before="0" w:after="283"/>
              <w:jc w:val="center"/>
              <w:rPr>
                <w:b/>
              </w:rPr>
            </w:pPr>
            <w:r>
              <w:rPr>
                <w:b/>
              </w:rPr>
              <w:t>Price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Date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Vested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shd w:fill="FFFFFF" w:val="clear"/>
            <w:vAlign w:val="bottom"/>
          </w:tcPr>
          <w:p>
            <w:pPr>
              <w:pStyle w:val="TableContents"/>
              <w:spacing w:before="0" w:after="283"/>
              <w:jc w:val="center"/>
              <w:rPr>
                <w:b/>
              </w:rPr>
            </w:pPr>
            <w:r>
              <w:rPr>
                <w:b/>
              </w:rPr>
              <w:t>Vested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shd w:fill="FFFFFF" w:val="clear"/>
            <w:vAlign w:val="bottom"/>
          </w:tcPr>
          <w:p>
            <w:pPr>
              <w:pStyle w:val="TableContents"/>
              <w:spacing w:before="0" w:after="283"/>
              <w:jc w:val="center"/>
              <w:rPr>
                <w:b/>
              </w:rPr>
            </w:pPr>
            <w:r>
              <w:rPr>
                <w:b/>
              </w:rPr>
              <w:t>Vested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shd w:fill="FFFFFF" w:val="clear"/>
            <w:vAlign w:val="bottom"/>
          </w:tcPr>
          <w:p>
            <w:pPr>
              <w:pStyle w:val="TableContents"/>
              <w:spacing w:before="0" w:after="283"/>
              <w:jc w:val="center"/>
              <w:rPr>
                <w:b/>
              </w:rPr>
            </w:pPr>
            <w:r>
              <w:rPr>
                <w:b/>
              </w:rPr>
              <w:t>Vested ($)(1)</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bottom"/>
          </w:tcPr>
          <w:p>
            <w:pPr>
              <w:pStyle w:val="TableContents"/>
              <w:spacing w:before="0" w:after="0"/>
              <w:jc w:val="left"/>
              <w:rPr>
                <w:bdr w:val="single" w:sz="2" w:space="1" w:color="000000"/>
              </w:rPr>
            </w:pPr>
            <w:r>
              <w:rPr>
                <w:bdr w:val="single" w:sz="2" w:space="1" w:color="000000"/>
              </w:rPr>
              <w:t> </w:t>
            </w:r>
            <w:r>
              <w:rPr>
                <w:b/>
                <w:bdr w:val="single" w:sz="2" w:space="1" w:color="000000"/>
              </w:rPr>
              <w:t>(a)</w:t>
            </w:r>
            <w:r>
              <w:rPr>
                <w:bdr w:val="single" w:sz="2" w:space="1" w:color="000000"/>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w:t>
            </w: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(i)</w:t>
            </w: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(j)</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400" w:type="dxa"/>
            <w:tcBorders/>
            <w:shd w:fill="FFFFFF" w:val="clear"/>
            <w:vAlign w:val="center"/>
          </w:tcPr>
          <w:p>
            <w:pPr>
              <w:pStyle w:val="TableContents"/>
              <w:spacing w:before="0" w:after="283"/>
              <w:rPr/>
            </w:pPr>
            <w:r>
              <w:rPr/>
              <w:t xml:space="preserve">  </w:t>
            </w:r>
          </w:p>
        </w:tc>
        <w:tc>
          <w:tcPr>
            <w:tcW w:w="12835" w:type="dxa"/>
            <w:gridSpan w:val="36"/>
            <w:tcBorders/>
            <w:shd w:fill="FFFFFF" w:val="clear"/>
          </w:tcPr>
          <w:p>
            <w:pPr>
              <w:pStyle w:val="TableContents"/>
              <w:spacing w:before="0" w:after="283"/>
              <w:rPr>
                <w:sz w:val="4"/>
                <w:szCs w:val="4"/>
              </w:rPr>
            </w:pPr>
            <w:r>
              <w:rPr>
                <w:sz w:val="4"/>
                <w:szCs w:val="4"/>
              </w:rPr>
            </w:r>
          </w:p>
        </w:tc>
      </w:tr>
      <w:tr>
        <w:trPr/>
        <w:tc>
          <w:tcPr>
            <w:tcW w:w="1400" w:type="dxa"/>
            <w:tcBorders/>
            <w:shd w:fill="CCEEFF" w:val="clear"/>
            <w:vAlign w:val="bottom"/>
          </w:tcPr>
          <w:p>
            <w:pPr>
              <w:pStyle w:val="TableContents"/>
              <w:spacing w:before="0" w:after="0"/>
              <w:ind w:left="180" w:right="0" w:hanging="180"/>
              <w:jc w:val="left"/>
              <w:rPr>
                <w:sz w:val="17"/>
              </w:rPr>
            </w:pPr>
            <w:r>
              <w:rPr>
                <w:sz w:val="17"/>
              </w:rPr>
              <w:t xml:space="preserve">Greg L. Armstrong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37,500 </w:t>
            </w:r>
          </w:p>
        </w:tc>
        <w:tc>
          <w:tcPr>
            <w:tcW w:w="350" w:type="dxa"/>
            <w:tcBorders/>
            <w:shd w:fill="CCEEFF" w:val="clear"/>
            <w:vAlign w:val="bottom"/>
          </w:tcPr>
          <w:p>
            <w:pPr>
              <w:pStyle w:val="TableContents"/>
              <w:spacing w:before="0" w:after="283"/>
              <w:jc w:val="left"/>
              <w:rPr/>
            </w:pPr>
            <w:r>
              <w:rPr/>
              <w:t xml:space="preserve">(2)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11.55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06/07/2011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r>
        <w:trPr/>
        <w:tc>
          <w:tcPr>
            <w:tcW w:w="140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300,000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15,360,000 </w:t>
            </w:r>
          </w:p>
        </w:tc>
        <w:tc>
          <w:tcPr>
            <w:tcW w:w="120" w:type="dxa"/>
            <w:tcBorders/>
            <w:shd w:fill="CCEEFF" w:val="clear"/>
            <w:vAlign w:val="bottom"/>
          </w:tcPr>
          <w:p>
            <w:pPr>
              <w:pStyle w:val="TableContents"/>
              <w:spacing w:before="0" w:after="283"/>
              <w:jc w:val="left"/>
              <w:rPr/>
            </w:pPr>
            <w:r>
              <w:rPr/>
              <w:t xml:space="preserve">  </w:t>
            </w:r>
          </w:p>
        </w:tc>
      </w:tr>
      <w:tr>
        <w:trPr/>
        <w:tc>
          <w:tcPr>
            <w:tcW w:w="1400" w:type="dxa"/>
            <w:tcBorders/>
            <w:shd w:fill="FFFFFF" w:val="clear"/>
            <w:vAlign w:val="bottom"/>
          </w:tcPr>
          <w:p>
            <w:pPr>
              <w:pStyle w:val="TableContents"/>
              <w:spacing w:before="0" w:after="0"/>
              <w:ind w:left="180" w:right="0" w:hanging="180"/>
              <w:jc w:val="left"/>
              <w:rPr>
                <w:sz w:val="17"/>
              </w:rPr>
            </w:pPr>
            <w:r>
              <w:rPr>
                <w:sz w:val="17"/>
              </w:rPr>
              <w:t xml:space="preserve">Harry N. Pefanis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90" w:type="dxa"/>
            <w:tcBorders/>
            <w:shd w:fill="FFFFFF" w:val="clear"/>
            <w:vAlign w:val="bottom"/>
          </w:tcPr>
          <w:p>
            <w:pPr>
              <w:pStyle w:val="TableContents"/>
              <w:spacing w:before="0" w:after="283"/>
              <w:jc w:val="right"/>
              <w:rPr/>
            </w:pPr>
            <w:r>
              <w:rPr/>
              <w:t xml:space="preserve">27,500 </w:t>
            </w:r>
          </w:p>
        </w:tc>
        <w:tc>
          <w:tcPr>
            <w:tcW w:w="350" w:type="dxa"/>
            <w:tcBorders/>
            <w:shd w:fill="FFFFFF" w:val="clear"/>
            <w:vAlign w:val="bottom"/>
          </w:tcPr>
          <w:p>
            <w:pPr>
              <w:pStyle w:val="TableContents"/>
              <w:spacing w:before="0" w:after="283"/>
              <w:jc w:val="left"/>
              <w:rPr/>
            </w:pPr>
            <w:r>
              <w:rPr/>
              <w:t xml:space="preserve">(2) </w:t>
            </w:r>
          </w:p>
        </w:tc>
        <w:tc>
          <w:tcPr>
            <w:tcW w:w="60"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991"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left"/>
              <w:rPr/>
            </w:pPr>
            <w:r>
              <w:rPr/>
              <w:t xml:space="preserve">$ </w:t>
            </w:r>
          </w:p>
        </w:tc>
        <w:tc>
          <w:tcPr>
            <w:tcW w:w="662" w:type="dxa"/>
            <w:tcBorders/>
            <w:shd w:fill="FFFFFF" w:val="clear"/>
            <w:vAlign w:val="bottom"/>
          </w:tcPr>
          <w:p>
            <w:pPr>
              <w:pStyle w:val="TableContents"/>
              <w:spacing w:before="0" w:after="283"/>
              <w:jc w:val="right"/>
              <w:rPr/>
            </w:pPr>
            <w:r>
              <w:rPr/>
              <w:t xml:space="preserve">11.55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06/07/2011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7"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6"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00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269"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9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991"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left"/>
              <w:rPr/>
            </w:pPr>
            <w:r>
              <w:rPr/>
              <w:t xml:space="preserve">  </w:t>
            </w:r>
          </w:p>
        </w:tc>
        <w:tc>
          <w:tcPr>
            <w:tcW w:w="66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7"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6"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006" w:type="dxa"/>
            <w:tcBorders/>
            <w:shd w:fill="FFFFFF" w:val="clear"/>
            <w:vAlign w:val="bottom"/>
          </w:tcPr>
          <w:p>
            <w:pPr>
              <w:pStyle w:val="TableContents"/>
              <w:spacing w:before="0" w:after="283"/>
              <w:jc w:val="right"/>
              <w:rPr/>
            </w:pPr>
            <w:r>
              <w:rPr/>
              <w:t xml:space="preserve">200,000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269" w:type="dxa"/>
            <w:tcBorders/>
            <w:shd w:fill="FFFFFF" w:val="clear"/>
            <w:vAlign w:val="bottom"/>
          </w:tcPr>
          <w:p>
            <w:pPr>
              <w:pStyle w:val="TableContents"/>
              <w:spacing w:before="0" w:after="283"/>
              <w:jc w:val="right"/>
              <w:rPr/>
            </w:pPr>
            <w:r>
              <w:rPr/>
              <w:t xml:space="preserve">10,240,000 </w:t>
            </w:r>
          </w:p>
        </w:tc>
        <w:tc>
          <w:tcPr>
            <w:tcW w:w="120" w:type="dxa"/>
            <w:tcBorders/>
            <w:shd w:fill="FFFFFF" w:val="clear"/>
            <w:vAlign w:val="bottom"/>
          </w:tcPr>
          <w:p>
            <w:pPr>
              <w:pStyle w:val="TableContents"/>
              <w:spacing w:before="0" w:after="283"/>
              <w:jc w:val="left"/>
              <w:rPr/>
            </w:pPr>
            <w:r>
              <w:rPr/>
              <w:t xml:space="preserve">  </w:t>
            </w:r>
          </w:p>
        </w:tc>
      </w:tr>
      <w:tr>
        <w:trPr/>
        <w:tc>
          <w:tcPr>
            <w:tcW w:w="1400" w:type="dxa"/>
            <w:tcBorders/>
            <w:shd w:fill="CCEEFF" w:val="clear"/>
            <w:vAlign w:val="bottom"/>
          </w:tcPr>
          <w:p>
            <w:pPr>
              <w:pStyle w:val="TableContents"/>
              <w:spacing w:before="0" w:after="0"/>
              <w:ind w:left="180" w:right="0" w:hanging="180"/>
              <w:jc w:val="left"/>
              <w:rPr>
                <w:sz w:val="17"/>
              </w:rPr>
            </w:pPr>
            <w:r>
              <w:rPr>
                <w:sz w:val="17"/>
              </w:rPr>
              <w:t xml:space="preserve">Phillip D. Kramer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22,500 </w:t>
            </w:r>
          </w:p>
        </w:tc>
        <w:tc>
          <w:tcPr>
            <w:tcW w:w="350" w:type="dxa"/>
            <w:tcBorders/>
            <w:shd w:fill="CCEEFF" w:val="clear"/>
            <w:vAlign w:val="bottom"/>
          </w:tcPr>
          <w:p>
            <w:pPr>
              <w:pStyle w:val="TableContents"/>
              <w:spacing w:before="0" w:after="283"/>
              <w:jc w:val="left"/>
              <w:rPr/>
            </w:pPr>
            <w:r>
              <w:rPr/>
              <w:t xml:space="preserve">(2)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11.55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06/07/2011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r>
        <w:trPr/>
        <w:tc>
          <w:tcPr>
            <w:tcW w:w="140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100,000 </w:t>
            </w:r>
          </w:p>
        </w:tc>
        <w:tc>
          <w:tcPr>
            <w:tcW w:w="35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5,120,000 </w:t>
            </w:r>
          </w:p>
        </w:tc>
        <w:tc>
          <w:tcPr>
            <w:tcW w:w="120" w:type="dxa"/>
            <w:tcBorders/>
            <w:shd w:fill="CCEEFF" w:val="clear"/>
            <w:vAlign w:val="bottom"/>
          </w:tcPr>
          <w:p>
            <w:pPr>
              <w:pStyle w:val="TableContents"/>
              <w:spacing w:before="0" w:after="283"/>
              <w:jc w:val="left"/>
              <w:rPr/>
            </w:pPr>
            <w:r>
              <w:rPr/>
              <w:t xml:space="preserve">  </w:t>
            </w:r>
          </w:p>
        </w:tc>
      </w:tr>
      <w:tr>
        <w:trPr/>
        <w:tc>
          <w:tcPr>
            <w:tcW w:w="1400" w:type="dxa"/>
            <w:tcBorders/>
            <w:shd w:fill="FFFFFF" w:val="clear"/>
            <w:vAlign w:val="bottom"/>
          </w:tcPr>
          <w:p>
            <w:pPr>
              <w:pStyle w:val="TableContents"/>
              <w:spacing w:before="0" w:after="0"/>
              <w:ind w:left="180" w:right="0" w:hanging="180"/>
              <w:jc w:val="left"/>
              <w:rPr>
                <w:sz w:val="17"/>
              </w:rPr>
            </w:pPr>
            <w:r>
              <w:rPr>
                <w:sz w:val="17"/>
              </w:rPr>
              <w:t xml:space="preserve">George R. Coiner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90" w:type="dxa"/>
            <w:tcBorders/>
            <w:shd w:fill="FFFFFF" w:val="clear"/>
            <w:vAlign w:val="bottom"/>
          </w:tcPr>
          <w:p>
            <w:pPr>
              <w:pStyle w:val="TableContents"/>
              <w:spacing w:before="0" w:after="283"/>
              <w:jc w:val="right"/>
              <w:rPr/>
            </w:pPr>
            <w:r>
              <w:rPr/>
              <w:t xml:space="preserve">21,250 </w:t>
            </w:r>
          </w:p>
        </w:tc>
        <w:tc>
          <w:tcPr>
            <w:tcW w:w="350" w:type="dxa"/>
            <w:tcBorders/>
            <w:shd w:fill="FFFFFF" w:val="clear"/>
            <w:vAlign w:val="bottom"/>
          </w:tcPr>
          <w:p>
            <w:pPr>
              <w:pStyle w:val="TableContents"/>
              <w:spacing w:before="0" w:after="283"/>
              <w:jc w:val="left"/>
              <w:rPr/>
            </w:pPr>
            <w:r>
              <w:rPr/>
              <w:t xml:space="preserve">(2) </w:t>
            </w:r>
          </w:p>
        </w:tc>
        <w:tc>
          <w:tcPr>
            <w:tcW w:w="60"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991"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left"/>
              <w:rPr/>
            </w:pPr>
            <w:r>
              <w:rPr/>
              <w:t xml:space="preserve">$ </w:t>
            </w:r>
          </w:p>
        </w:tc>
        <w:tc>
          <w:tcPr>
            <w:tcW w:w="662" w:type="dxa"/>
            <w:tcBorders/>
            <w:shd w:fill="FFFFFF" w:val="clear"/>
            <w:vAlign w:val="bottom"/>
          </w:tcPr>
          <w:p>
            <w:pPr>
              <w:pStyle w:val="TableContents"/>
              <w:spacing w:before="0" w:after="283"/>
              <w:jc w:val="right"/>
              <w:rPr/>
            </w:pPr>
            <w:r>
              <w:rPr/>
              <w:t xml:space="preserve">11.55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06/07/2011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7"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6"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00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269"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9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991"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left"/>
              <w:rPr/>
            </w:pPr>
            <w:r>
              <w:rPr/>
              <w:t xml:space="preserve">  </w:t>
            </w:r>
          </w:p>
        </w:tc>
        <w:tc>
          <w:tcPr>
            <w:tcW w:w="66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7"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6"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006" w:type="dxa"/>
            <w:tcBorders/>
            <w:shd w:fill="FFFFFF" w:val="clear"/>
            <w:vAlign w:val="bottom"/>
          </w:tcPr>
          <w:p>
            <w:pPr>
              <w:pStyle w:val="TableContents"/>
              <w:spacing w:before="0" w:after="283"/>
              <w:jc w:val="right"/>
              <w:rPr/>
            </w:pPr>
            <w:r>
              <w:rPr/>
              <w:t xml:space="preserve">80,000 </w:t>
            </w:r>
          </w:p>
        </w:tc>
        <w:tc>
          <w:tcPr>
            <w:tcW w:w="350" w:type="dxa"/>
            <w:tcBorders/>
            <w:shd w:fill="FFFFFF" w:val="clear"/>
            <w:vAlign w:val="bottom"/>
          </w:tcPr>
          <w:p>
            <w:pPr>
              <w:pStyle w:val="TableContents"/>
              <w:spacing w:before="0" w:after="283"/>
              <w:jc w:val="left"/>
              <w:rPr/>
            </w:pPr>
            <w:r>
              <w:rPr/>
              <w:t xml:space="preserve">(4) </w:t>
            </w:r>
          </w:p>
        </w:tc>
        <w:tc>
          <w:tcPr>
            <w:tcW w:w="60"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269" w:type="dxa"/>
            <w:tcBorders/>
            <w:shd w:fill="FFFFFF" w:val="clear"/>
            <w:vAlign w:val="bottom"/>
          </w:tcPr>
          <w:p>
            <w:pPr>
              <w:pStyle w:val="TableContents"/>
              <w:spacing w:before="0" w:after="283"/>
              <w:jc w:val="right"/>
              <w:rPr/>
            </w:pPr>
            <w:r>
              <w:rPr/>
              <w:t xml:space="preserve">4,096,000 </w:t>
            </w:r>
          </w:p>
        </w:tc>
        <w:tc>
          <w:tcPr>
            <w:tcW w:w="120" w:type="dxa"/>
            <w:tcBorders/>
            <w:shd w:fill="FFFFFF" w:val="clear"/>
            <w:vAlign w:val="bottom"/>
          </w:tcPr>
          <w:p>
            <w:pPr>
              <w:pStyle w:val="TableContents"/>
              <w:spacing w:before="0" w:after="283"/>
              <w:jc w:val="left"/>
              <w:rPr/>
            </w:pPr>
            <w:r>
              <w:rPr/>
              <w:t xml:space="preserve">  </w:t>
            </w:r>
          </w:p>
        </w:tc>
      </w:tr>
      <w:tr>
        <w:trPr/>
        <w:tc>
          <w:tcPr>
            <w:tcW w:w="140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09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991"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left"/>
              <w:rPr/>
            </w:pPr>
            <w:r>
              <w:rPr/>
              <w:t xml:space="preserve">  </w:t>
            </w:r>
          </w:p>
        </w:tc>
        <w:tc>
          <w:tcPr>
            <w:tcW w:w="66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7"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6" w:type="dxa"/>
            <w:tcBorders/>
            <w:shd w:fill="FFFFFF" w:val="clear"/>
            <w:vAlign w:val="bottom"/>
          </w:tcPr>
          <w:p>
            <w:pPr>
              <w:pStyle w:val="TableContents"/>
              <w:spacing w:before="0" w:after="283"/>
              <w:jc w:val="left"/>
              <w:rPr/>
            </w:pPr>
            <w:r>
              <w:rPr/>
              <w:t xml:space="preserve">  </w:t>
            </w:r>
          </w:p>
        </w:tc>
        <w:tc>
          <w:tcPr>
            <w:tcW w:w="714"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006" w:type="dxa"/>
            <w:tcBorders/>
            <w:shd w:fill="FFFFFF" w:val="clear"/>
            <w:vAlign w:val="bottom"/>
          </w:tcPr>
          <w:p>
            <w:pPr>
              <w:pStyle w:val="TableContents"/>
              <w:spacing w:before="0" w:after="283"/>
              <w:jc w:val="right"/>
              <w:rPr/>
            </w:pPr>
            <w:r>
              <w:rPr/>
              <w:t xml:space="preserve">70,000 </w:t>
            </w:r>
          </w:p>
        </w:tc>
        <w:tc>
          <w:tcPr>
            <w:tcW w:w="350" w:type="dxa"/>
            <w:tcBorders/>
            <w:shd w:fill="FFFFFF" w:val="clear"/>
            <w:vAlign w:val="bottom"/>
          </w:tcPr>
          <w:p>
            <w:pPr>
              <w:pStyle w:val="TableContents"/>
              <w:spacing w:before="0" w:after="283"/>
              <w:jc w:val="left"/>
              <w:rPr/>
            </w:pPr>
            <w:r>
              <w:rPr/>
              <w:t xml:space="preserve">(5) </w:t>
            </w:r>
          </w:p>
        </w:tc>
        <w:tc>
          <w:tcPr>
            <w:tcW w:w="60"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269" w:type="dxa"/>
            <w:tcBorders/>
            <w:shd w:fill="FFFFFF" w:val="clear"/>
            <w:vAlign w:val="bottom"/>
          </w:tcPr>
          <w:p>
            <w:pPr>
              <w:pStyle w:val="TableContents"/>
              <w:spacing w:before="0" w:after="283"/>
              <w:jc w:val="right"/>
              <w:rPr/>
            </w:pPr>
            <w:r>
              <w:rPr/>
              <w:t xml:space="preserve">3,584,000 </w:t>
            </w:r>
          </w:p>
        </w:tc>
        <w:tc>
          <w:tcPr>
            <w:tcW w:w="120" w:type="dxa"/>
            <w:tcBorders/>
            <w:shd w:fill="FFFFFF" w:val="clear"/>
            <w:vAlign w:val="bottom"/>
          </w:tcPr>
          <w:p>
            <w:pPr>
              <w:pStyle w:val="TableContents"/>
              <w:spacing w:before="0" w:after="283"/>
              <w:jc w:val="left"/>
              <w:rPr/>
            </w:pPr>
            <w:r>
              <w:rPr/>
              <w:t xml:space="preserve">  </w:t>
            </w:r>
          </w:p>
        </w:tc>
      </w:tr>
      <w:tr>
        <w:trPr/>
        <w:tc>
          <w:tcPr>
            <w:tcW w:w="1400" w:type="dxa"/>
            <w:tcBorders/>
            <w:shd w:fill="CCEEFF" w:val="clear"/>
            <w:vAlign w:val="bottom"/>
          </w:tcPr>
          <w:p>
            <w:pPr>
              <w:pStyle w:val="TableContents"/>
              <w:spacing w:before="0" w:after="0"/>
              <w:ind w:left="180" w:right="0" w:hanging="180"/>
              <w:jc w:val="left"/>
              <w:rPr>
                <w:sz w:val="17"/>
              </w:rPr>
            </w:pPr>
            <w:r>
              <w:rPr>
                <w:sz w:val="17"/>
              </w:rPr>
              <w:t xml:space="preserve">John P. vonBerg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50,000 </w:t>
            </w:r>
          </w:p>
        </w:tc>
        <w:tc>
          <w:tcPr>
            <w:tcW w:w="35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2,560,000 </w:t>
            </w:r>
          </w:p>
        </w:tc>
        <w:tc>
          <w:tcPr>
            <w:tcW w:w="120" w:type="dxa"/>
            <w:tcBorders/>
            <w:shd w:fill="CCEEFF" w:val="clear"/>
            <w:vAlign w:val="bottom"/>
          </w:tcPr>
          <w:p>
            <w:pPr>
              <w:pStyle w:val="TableContents"/>
              <w:spacing w:before="0" w:after="283"/>
              <w:jc w:val="left"/>
              <w:rPr/>
            </w:pPr>
            <w:r>
              <w:rPr/>
              <w:t xml:space="preserve">  </w:t>
            </w:r>
          </w:p>
        </w:tc>
      </w:tr>
      <w:tr>
        <w:trPr/>
        <w:tc>
          <w:tcPr>
            <w:tcW w:w="140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09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99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9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left"/>
              <w:rPr/>
            </w:pPr>
            <w:r>
              <w:rPr/>
              <w:t xml:space="preserve">  </w:t>
            </w:r>
          </w:p>
        </w:tc>
        <w:tc>
          <w:tcPr>
            <w:tcW w:w="66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7"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26" w:type="dxa"/>
            <w:tcBorders/>
            <w:shd w:fill="CCEEFF" w:val="clear"/>
            <w:vAlign w:val="bottom"/>
          </w:tcPr>
          <w:p>
            <w:pPr>
              <w:pStyle w:val="TableContents"/>
              <w:spacing w:before="0" w:after="283"/>
              <w:jc w:val="left"/>
              <w:rPr/>
            </w:pPr>
            <w:r>
              <w:rPr/>
              <w:t xml:space="preserve">  </w:t>
            </w:r>
          </w:p>
        </w:tc>
        <w:tc>
          <w:tcPr>
            <w:tcW w:w="714"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006" w:type="dxa"/>
            <w:tcBorders/>
            <w:shd w:fill="CCEEFF" w:val="clear"/>
            <w:vAlign w:val="bottom"/>
          </w:tcPr>
          <w:p>
            <w:pPr>
              <w:pStyle w:val="TableContents"/>
              <w:spacing w:before="0" w:after="283"/>
              <w:jc w:val="right"/>
              <w:rPr/>
            </w:pPr>
            <w:r>
              <w:rPr/>
              <w:t xml:space="preserve">40,000 </w:t>
            </w:r>
          </w:p>
        </w:tc>
        <w:tc>
          <w:tcPr>
            <w:tcW w:w="350" w:type="dxa"/>
            <w:tcBorders/>
            <w:shd w:fill="CCEEFF" w:val="clear"/>
            <w:vAlign w:val="bottom"/>
          </w:tcPr>
          <w:p>
            <w:pPr>
              <w:pStyle w:val="TableContents"/>
              <w:spacing w:before="0" w:after="283"/>
              <w:jc w:val="left"/>
              <w:rPr/>
            </w:pPr>
            <w:r>
              <w:rPr/>
              <w:t xml:space="preserve">(5) </w:t>
            </w:r>
          </w:p>
        </w:tc>
        <w:tc>
          <w:tcPr>
            <w:tcW w:w="60"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269" w:type="dxa"/>
            <w:tcBorders/>
            <w:shd w:fill="CCEEFF" w:val="clear"/>
            <w:vAlign w:val="bottom"/>
          </w:tcPr>
          <w:p>
            <w:pPr>
              <w:pStyle w:val="TableContents"/>
              <w:spacing w:before="0" w:after="283"/>
              <w:jc w:val="right"/>
              <w:rPr/>
            </w:pPr>
            <w:r>
              <w:rPr/>
              <w:t xml:space="preserve">2,048,000 </w:t>
            </w:r>
          </w:p>
        </w:tc>
        <w:tc>
          <w:tcPr>
            <w:tcW w:w="120"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Market value of stock reported in this column is calculated by multiplying the closing market price ($51.20) of the Partnerships common units at December 29, 2006 (the last trading day of the fiscal year) by the number of units. Approximately one third of the value reflected in this column is also reflected in the Summary Compensation Table.</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 units underlying the options were contributed to our general partner by its owners. We have no obligation to reimburse our general partners for the units upon exercise of the options. Mr. Armstrong vested in 18,750 options on April 22, 2002 and 18,750 options on July 21, 2004. Mr. Pefanis vested in 13,750 options on each of the same dates. Mr. Kramer vested in 11,250 options on each of the same dates. Mr. Coiner vested in 10,625 options on each of the same dates.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 xml:space="preserve">These phantom units will vest 30%, 30% and 40% solely upon achievement by the Partnership of annualized distributions of $2.60, $2.80 and $3.00 per unit and continued employment through May 2007, May 2009 and May 2010, respectively. Any phantom units that have not vested (and all associated DERs) as of the May 2012 distribution date will be forfeited. DERs associated with these phantom units become payable 30%, 15%, 15%,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408"/>
        <w:gridCol w:w="101"/>
        <w:gridCol w:w="9696"/>
      </w:tblGrid>
      <w:tr>
        <w:trPr/>
        <w:tc>
          <w:tcPr>
            <w:tcW w:w="408"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20% and 20% upon the earlier to occur of annualized distributions of $2.60 or May 2007, $2.70 or May 2008, $2.80 or May 2009, $2.90 or May 2010, and $3.00 or May 2010, respectively.</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These phantom units will vest 40%, 30% and 30% upon achievement by the Partnership of annualized distributions of $2.60, $2.80 and $3.00 per unit and continued employment through May 2007, May 2009 and May 2010, respectively. Any phantom units that have not previously vested will fully vest on the May 2011 distribution date, subject to continued employment through such date. DERs associated with these phantom units become payable 40%, 15%, 15%, 15% and 15% upon the earlier to occur of annualized distributions of $2.60 or May 2007, $2.70 or May 2008, $2.80 or May 2009, $2.90 or May 2010, and $3.00 or May 2010, respectively.</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These phantom units will vest in equal one-third increments solely upon achievement by the Partnership of annualized distributions of $2.90, $3.00 and $3.10 per unit and continued employment through May 2008, May 2009 and May 2010, respectively. DERs associated with these phantom units vest and become payable in equal one-third increments solely upon the payment of annualized distributions of $2.90, $3.00, and $3.10, respectively. Any phantom units that have not vested (and all associated DERs) as of the May 2012 distribution date will be forfeited.</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 Exercises and Stock Vested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table has been omitted because there were no exercises of options by or vestings of LTIPs for the Named Executive Officers in 2006.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Pension Benefits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sponsors a 401(k) plan that is available to all U.S. employees, but does not maintain a pension or defined benefit program.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Nonqualified Deferred Compensation and Other Nonqualified Deferred Compensation Plans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does not have a nonqualified deferred compensation plan or program for its officers or employees.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Potential Payments upon Termination or Change-in-Control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potential amounts payable to our current Named Executive Officers upon termination of employment under various circumstances, and as if terminated on December 29, 2006.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Potential Payments upon Termination or Change-in-Control</w:t>
      </w:r>
      <w:r>
        <w:rPr>
          <w:rFonts w:ascii="Arial;Helvetica" w:hAnsi="Arial;Helvetica"/>
          <w:color w:val="000000"/>
          <w:sz w:val="17"/>
          <w:highlight w:val="white"/>
        </w:rPr>
        <w:t xml:space="preserve"> </w:t>
      </w:r>
    </w:p>
    <w:p>
      <w:pPr>
        <w:pStyle w:val="TextBody"/>
        <w:spacing w:before="120" w:after="283"/>
        <w:rPr/>
      </w:pPr>
      <w:r>
        <w:rPr/>
        <w:t> </w:t>
      </w:r>
    </w:p>
    <w:tbl>
      <w:tblPr>
        <w:tblW w:w="10840" w:type="dxa"/>
        <w:jc w:val="center"/>
        <w:tblInd w:w="0" w:type="dxa"/>
        <w:shd w:fill="FFFFFF" w:val="clear"/>
        <w:tblCellMar>
          <w:top w:w="0" w:type="dxa"/>
          <w:left w:w="0" w:type="dxa"/>
          <w:bottom w:w="0" w:type="dxa"/>
          <w:right w:w="0" w:type="dxa"/>
        </w:tblCellMar>
      </w:tblPr>
      <w:tblGrid>
        <w:gridCol w:w="1430"/>
        <w:gridCol w:w="60"/>
        <w:gridCol w:w="120"/>
        <w:gridCol w:w="1160"/>
        <w:gridCol w:w="350"/>
        <w:gridCol w:w="60"/>
        <w:gridCol w:w="120"/>
        <w:gridCol w:w="1160"/>
        <w:gridCol w:w="350"/>
        <w:gridCol w:w="60"/>
        <w:gridCol w:w="128"/>
        <w:gridCol w:w="1242"/>
        <w:gridCol w:w="620"/>
        <w:gridCol w:w="60"/>
        <w:gridCol w:w="129"/>
        <w:gridCol w:w="1256"/>
        <w:gridCol w:w="350"/>
        <w:gridCol w:w="60"/>
        <w:gridCol w:w="140"/>
        <w:gridCol w:w="1365"/>
        <w:gridCol w:w="620"/>
      </w:tblGrid>
      <w:tr>
        <w:trPr/>
        <w:tc>
          <w:tcPr>
            <w:tcW w:w="143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160"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160"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right"/>
              <w:rPr/>
            </w:pPr>
            <w:r>
              <w:rPr/>
              <w:t> </w:t>
            </w:r>
          </w:p>
        </w:tc>
        <w:tc>
          <w:tcPr>
            <w:tcW w:w="1242"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right"/>
              <w:rPr/>
            </w:pPr>
            <w:r>
              <w:rPr/>
              <w:t> </w:t>
            </w:r>
          </w:p>
        </w:tc>
        <w:tc>
          <w:tcPr>
            <w:tcW w:w="1256" w:type="dxa"/>
            <w:tcBorders/>
            <w:shd w:fill="FFFFFF" w:val="clear"/>
            <w:vAlign w:val="bottom"/>
          </w:tcPr>
          <w:p>
            <w:pPr>
              <w:pStyle w:val="TableContents"/>
              <w:spacing w:before="0" w:after="283"/>
              <w:jc w:val="right"/>
              <w:rPr/>
            </w:pPr>
            <w:r>
              <w:rPr/>
              <w:t> </w:t>
            </w:r>
          </w:p>
        </w:tc>
        <w:tc>
          <w:tcPr>
            <w:tcW w:w="35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pPr>
            <w:r>
              <w:rPr/>
              <w:t> </w:t>
            </w:r>
          </w:p>
        </w:tc>
        <w:tc>
          <w:tcPr>
            <w:tcW w:w="1365"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left"/>
              <w:rPr/>
            </w:pPr>
            <w:r>
              <w:rPr/>
              <w:t> </w:t>
            </w:r>
          </w:p>
        </w:tc>
      </w:tr>
      <w:tr>
        <w:trPr/>
        <w:tc>
          <w:tcPr>
            <w:tcW w:w="143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By</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By</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shd w:fill="FFFFFF" w:val="clear"/>
            <w:vAlign w:val="bottom"/>
          </w:tcPr>
          <w:p>
            <w:pPr>
              <w:pStyle w:val="TableContents"/>
              <w:spacing w:before="0" w:after="283"/>
              <w:jc w:val="center"/>
              <w:rPr>
                <w:b/>
              </w:rPr>
            </w:pPr>
            <w:r>
              <w:rPr>
                <w:b/>
              </w:rPr>
              <w:t>By Company</w:t>
            </w:r>
          </w:p>
        </w:tc>
        <w:tc>
          <w:tcPr>
            <w:tcW w:w="6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85" w:type="dxa"/>
            <w:gridSpan w:val="2"/>
            <w:tcBorders/>
            <w:shd w:fill="FFFFFF" w:val="clear"/>
            <w:vAlign w:val="bottom"/>
          </w:tcPr>
          <w:p>
            <w:pPr>
              <w:pStyle w:val="TableContents"/>
              <w:spacing w:before="0" w:after="283"/>
              <w:jc w:val="center"/>
              <w:rPr>
                <w:b/>
              </w:rPr>
            </w:pPr>
            <w:r>
              <w:rPr>
                <w:b/>
              </w:rPr>
              <w:t>By Executive</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05" w:type="dxa"/>
            <w:gridSpan w:val="2"/>
            <w:tcBorders/>
            <w:shd w:fill="FFFFFF" w:val="clear"/>
            <w:vAlign w:val="bottom"/>
          </w:tcPr>
          <w:p>
            <w:pPr>
              <w:pStyle w:val="TableContents"/>
              <w:spacing w:before="0" w:after="283"/>
              <w:jc w:val="center"/>
              <w:rPr>
                <w:b/>
              </w:rPr>
            </w:pPr>
            <w:r>
              <w:rPr>
                <w:b/>
              </w:rPr>
              <w:t>In Connection</w:t>
            </w:r>
          </w:p>
        </w:tc>
        <w:tc>
          <w:tcPr>
            <w:tcW w:w="620" w:type="dxa"/>
            <w:tcBorders/>
            <w:shd w:fill="FFFFFF" w:val="clear"/>
            <w:vAlign w:val="bottom"/>
          </w:tcPr>
          <w:p>
            <w:pPr>
              <w:pStyle w:val="TableContents"/>
              <w:spacing w:before="0" w:after="283"/>
              <w:jc w:val="center"/>
              <w:rPr/>
            </w:pPr>
            <w:r>
              <w:rPr/>
              <w:t xml:space="preserve">  </w:t>
            </w:r>
          </w:p>
        </w:tc>
      </w:tr>
      <w:tr>
        <w:trPr/>
        <w:tc>
          <w:tcPr>
            <w:tcW w:w="143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Reason of</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Reason of</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shd w:fill="FFFFFF" w:val="clear"/>
            <w:vAlign w:val="bottom"/>
          </w:tcPr>
          <w:p>
            <w:pPr>
              <w:pStyle w:val="TableContents"/>
              <w:spacing w:before="0" w:after="283"/>
              <w:jc w:val="center"/>
              <w:rPr>
                <w:b/>
              </w:rPr>
            </w:pPr>
            <w:r>
              <w:rPr>
                <w:b/>
              </w:rPr>
              <w:t>without</w:t>
            </w:r>
          </w:p>
        </w:tc>
        <w:tc>
          <w:tcPr>
            <w:tcW w:w="6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85" w:type="dxa"/>
            <w:gridSpan w:val="2"/>
            <w:tcBorders/>
            <w:shd w:fill="FFFFFF" w:val="clear"/>
            <w:vAlign w:val="bottom"/>
          </w:tcPr>
          <w:p>
            <w:pPr>
              <w:pStyle w:val="TableContents"/>
              <w:spacing w:before="0" w:after="283"/>
              <w:jc w:val="center"/>
              <w:rPr>
                <w:b/>
              </w:rPr>
            </w:pPr>
            <w:r>
              <w:rPr>
                <w:b/>
              </w:rPr>
              <w:t>with</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05" w:type="dxa"/>
            <w:gridSpan w:val="2"/>
            <w:tcBorders/>
            <w:shd w:fill="FFFFFF" w:val="clear"/>
            <w:vAlign w:val="bottom"/>
          </w:tcPr>
          <w:p>
            <w:pPr>
              <w:pStyle w:val="TableContents"/>
              <w:spacing w:before="0" w:after="283"/>
              <w:jc w:val="center"/>
              <w:rPr>
                <w:b/>
              </w:rPr>
            </w:pPr>
            <w:r>
              <w:rPr>
                <w:b/>
              </w:rPr>
              <w:t>with a Change</w:t>
            </w:r>
          </w:p>
        </w:tc>
        <w:tc>
          <w:tcPr>
            <w:tcW w:w="620" w:type="dxa"/>
            <w:tcBorders/>
            <w:shd w:fill="FFFFFF" w:val="clear"/>
            <w:vAlign w:val="bottom"/>
          </w:tcPr>
          <w:p>
            <w:pPr>
              <w:pStyle w:val="TableContents"/>
              <w:spacing w:before="0" w:after="283"/>
              <w:jc w:val="center"/>
              <w:rPr/>
            </w:pPr>
            <w:r>
              <w:rPr/>
              <w:t xml:space="preserve">  </w:t>
            </w:r>
          </w:p>
        </w:tc>
      </w:tr>
      <w:tr>
        <w:trPr/>
        <w:tc>
          <w:tcPr>
            <w:tcW w:w="143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Death</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shd w:fill="FFFFFF" w:val="clear"/>
            <w:vAlign w:val="bottom"/>
          </w:tcPr>
          <w:p>
            <w:pPr>
              <w:pStyle w:val="TableContents"/>
              <w:spacing w:before="0" w:after="283"/>
              <w:jc w:val="center"/>
              <w:rPr>
                <w:b/>
              </w:rPr>
            </w:pPr>
            <w:r>
              <w:rPr>
                <w:b/>
              </w:rPr>
              <w:t>Disability</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shd w:fill="FFFFFF" w:val="clear"/>
            <w:vAlign w:val="bottom"/>
          </w:tcPr>
          <w:p>
            <w:pPr>
              <w:pStyle w:val="TableContents"/>
              <w:spacing w:before="0" w:after="283"/>
              <w:jc w:val="center"/>
              <w:rPr>
                <w:b/>
              </w:rPr>
            </w:pPr>
            <w:r>
              <w:rPr>
                <w:b/>
              </w:rPr>
              <w:t>Cause</w:t>
            </w:r>
          </w:p>
        </w:tc>
        <w:tc>
          <w:tcPr>
            <w:tcW w:w="6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85" w:type="dxa"/>
            <w:gridSpan w:val="2"/>
            <w:tcBorders/>
            <w:shd w:fill="FFFFFF" w:val="clear"/>
            <w:vAlign w:val="bottom"/>
          </w:tcPr>
          <w:p>
            <w:pPr>
              <w:pStyle w:val="TableContents"/>
              <w:spacing w:before="0" w:after="283"/>
              <w:jc w:val="center"/>
              <w:rPr>
                <w:b/>
              </w:rPr>
            </w:pPr>
            <w:r>
              <w:rPr>
                <w:b/>
              </w:rPr>
              <w:t>Good Reason</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05" w:type="dxa"/>
            <w:gridSpan w:val="2"/>
            <w:tcBorders/>
            <w:shd w:fill="FFFFFF" w:val="clear"/>
            <w:vAlign w:val="bottom"/>
          </w:tcPr>
          <w:p>
            <w:pPr>
              <w:pStyle w:val="TableContents"/>
              <w:spacing w:before="0" w:after="283"/>
              <w:jc w:val="center"/>
              <w:rPr>
                <w:b/>
              </w:rPr>
            </w:pPr>
            <w:r>
              <w:rPr>
                <w:b/>
              </w:rPr>
              <w:t>in Control</w:t>
            </w:r>
          </w:p>
        </w:tc>
        <w:tc>
          <w:tcPr>
            <w:tcW w:w="620" w:type="dxa"/>
            <w:tcBorders/>
            <w:shd w:fill="FFFFFF" w:val="clear"/>
            <w:vAlign w:val="bottom"/>
          </w:tcPr>
          <w:p>
            <w:pPr>
              <w:pStyle w:val="TableContents"/>
              <w:spacing w:before="0" w:after="283"/>
              <w:jc w:val="center"/>
              <w:rPr/>
            </w:pPr>
            <w:r>
              <w:rPr/>
              <w:t xml:space="preserve">  </w:t>
            </w:r>
          </w:p>
        </w:tc>
      </w:tr>
      <w:tr>
        <w:trPr/>
        <w:tc>
          <w:tcPr>
            <w:tcW w:w="1430" w:type="dxa"/>
            <w:tcBorders/>
            <w:shd w:fill="FFFFFF" w:val="clear"/>
            <w:vAlign w:val="bottom"/>
          </w:tcPr>
          <w:p>
            <w:pPr>
              <w:pStyle w:val="TableContents"/>
              <w:spacing w:before="0" w:after="0"/>
              <w:jc w:val="left"/>
              <w:rPr>
                <w:bdr w:val="single" w:sz="2" w:space="1" w:color="000000"/>
              </w:rPr>
            </w:pPr>
            <w:r>
              <w:rPr>
                <w:b/>
                <w:bdr w:val="single" w:sz="2" w:space="1" w:color="000000"/>
              </w:rPr>
              <w:t>Termination:</w:t>
            </w:r>
            <w:r>
              <w:rPr>
                <w:bdr w:val="single" w:sz="2" w:space="1" w:color="000000"/>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6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3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t>
            </w:r>
            <w:r>
              <w:rPr/>
              <w:t xml:space="preserve"> </w:t>
            </w:r>
          </w:p>
        </w:tc>
        <w:tc>
          <w:tcPr>
            <w:tcW w:w="620" w:type="dxa"/>
            <w:tcBorders/>
            <w:shd w:fill="FFFFFF" w:val="clear"/>
            <w:vAlign w:val="bottom"/>
          </w:tcPr>
          <w:p>
            <w:pPr>
              <w:pStyle w:val="TableContents"/>
              <w:spacing w:before="0" w:after="283"/>
              <w:jc w:val="center"/>
              <w:rPr/>
            </w:pPr>
            <w:r>
              <w:rPr/>
              <w:t xml:space="preserve">  </w:t>
            </w:r>
          </w:p>
        </w:tc>
      </w:tr>
      <w:tr>
        <w:trPr/>
        <w:tc>
          <w:tcPr>
            <w:tcW w:w="1430" w:type="dxa"/>
            <w:tcBorders/>
            <w:shd w:fill="FFFFFF" w:val="clear"/>
            <w:vAlign w:val="center"/>
          </w:tcPr>
          <w:p>
            <w:pPr>
              <w:pStyle w:val="TableContents"/>
              <w:spacing w:before="0" w:after="283"/>
              <w:rPr/>
            </w:pPr>
            <w:r>
              <w:rPr/>
              <w:t xml:space="preserve">  </w:t>
            </w:r>
          </w:p>
        </w:tc>
        <w:tc>
          <w:tcPr>
            <w:tcW w:w="9410" w:type="dxa"/>
            <w:gridSpan w:val="20"/>
            <w:tcBorders/>
            <w:shd w:fill="FFFFFF" w:val="clear"/>
          </w:tcPr>
          <w:p>
            <w:pPr>
              <w:pStyle w:val="TableContents"/>
              <w:spacing w:before="0" w:after="283"/>
              <w:rPr>
                <w:sz w:val="4"/>
                <w:szCs w:val="4"/>
              </w:rPr>
            </w:pPr>
            <w:r>
              <w:rPr>
                <w:sz w:val="4"/>
                <w:szCs w:val="4"/>
              </w:rPr>
            </w:r>
          </w:p>
        </w:tc>
      </w:tr>
      <w:tr>
        <w:trPr/>
        <w:tc>
          <w:tcPr>
            <w:tcW w:w="143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  </w:t>
            </w:r>
          </w:p>
        </w:tc>
        <w:tc>
          <w:tcPr>
            <w:tcW w:w="6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  </w:t>
            </w:r>
          </w:p>
        </w:tc>
        <w:tc>
          <w:tcPr>
            <w:tcW w:w="620" w:type="dxa"/>
            <w:tcBorders/>
            <w:shd w:fill="CCEEFF" w:val="clear"/>
            <w:vAlign w:val="bottom"/>
          </w:tcPr>
          <w:p>
            <w:pPr>
              <w:pStyle w:val="TableContents"/>
              <w:spacing w:before="0" w:after="283"/>
              <w:jc w:val="left"/>
              <w:rPr/>
            </w:pPr>
            <w:r>
              <w:rPr/>
              <w:t xml:space="preserve">  </w:t>
            </w:r>
          </w:p>
        </w:tc>
      </w:tr>
      <w:tr>
        <w:trPr/>
        <w:tc>
          <w:tcPr>
            <w:tcW w:w="1430" w:type="dxa"/>
            <w:tcBorders/>
            <w:shd w:fill="FFFFFF" w:val="clear"/>
            <w:vAlign w:val="bottom"/>
          </w:tcPr>
          <w:p>
            <w:pPr>
              <w:pStyle w:val="TableContents"/>
              <w:spacing w:before="0" w:after="0"/>
              <w:ind w:left="180" w:right="0" w:hanging="180"/>
              <w:jc w:val="left"/>
              <w:rPr/>
            </w:pPr>
            <w:r>
              <w:rPr>
                <w:b/>
                <w:i/>
                <w:sz w:val="15"/>
              </w:rPr>
              <w:t>Greg L. Armstrong</w:t>
            </w: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Salary and Bonus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6,750,000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6,750,000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6,750,000 </w:t>
            </w:r>
          </w:p>
        </w:tc>
        <w:tc>
          <w:tcPr>
            <w:tcW w:w="62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6,750,000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10,125,000 </w:t>
            </w:r>
          </w:p>
        </w:tc>
        <w:tc>
          <w:tcPr>
            <w:tcW w:w="620" w:type="dxa"/>
            <w:tcBorders/>
            <w:shd w:fill="CCEEFF" w:val="clear"/>
            <w:vAlign w:val="bottom"/>
          </w:tcPr>
          <w:p>
            <w:pPr>
              <w:pStyle w:val="TableContents"/>
              <w:spacing w:before="0" w:after="283"/>
              <w:jc w:val="left"/>
              <w:rPr/>
            </w:pPr>
            <w:r>
              <w:rPr/>
              <w:t xml:space="preserve">(2) </w:t>
            </w:r>
          </w:p>
        </w:tc>
      </w:tr>
      <w:tr>
        <w:trPr/>
        <w:tc>
          <w:tcPr>
            <w:tcW w:w="1430" w:type="dxa"/>
            <w:tcBorders/>
            <w:shd w:fill="FFFFFF" w:val="clear"/>
            <w:vAlign w:val="bottom"/>
          </w:tcPr>
          <w:p>
            <w:pPr>
              <w:pStyle w:val="TableContents"/>
              <w:spacing w:before="0" w:after="0"/>
              <w:ind w:left="360" w:right="0" w:hanging="180"/>
              <w:jc w:val="left"/>
              <w:rPr>
                <w:sz w:val="15"/>
              </w:rPr>
            </w:pPr>
            <w:r>
              <w:rPr>
                <w:sz w:val="15"/>
              </w:rPr>
              <w:t xml:space="preserve">Equity Compensation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15,360,000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15,360,000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15,360,000 </w:t>
            </w:r>
          </w:p>
        </w:tc>
        <w:tc>
          <w:tcPr>
            <w:tcW w:w="620" w:type="dxa"/>
            <w:tcBorders/>
            <w:shd w:fill="FFFFFF" w:val="clear"/>
            <w:vAlign w:val="bottom"/>
          </w:tcPr>
          <w:p>
            <w:pPr>
              <w:pStyle w:val="TableContents"/>
              <w:spacing w:before="0" w:after="283"/>
              <w:jc w:val="left"/>
              <w:rPr/>
            </w:pPr>
            <w:r>
              <w:rPr/>
              <w:t xml:space="preserve">(2)(4)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15,360,000 </w:t>
            </w:r>
          </w:p>
        </w:tc>
        <w:tc>
          <w:tcPr>
            <w:tcW w:w="350" w:type="dxa"/>
            <w:tcBorders/>
            <w:shd w:fill="FFFFFF" w:val="clear"/>
            <w:vAlign w:val="bottom"/>
          </w:tcPr>
          <w:p>
            <w:pPr>
              <w:pStyle w:val="TableContents"/>
              <w:spacing w:before="0" w:after="283"/>
              <w:jc w:val="left"/>
              <w:rPr/>
            </w:pPr>
            <w:r>
              <w:rPr/>
              <w:t xml:space="preserve">(2)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15,360,000 </w:t>
            </w:r>
          </w:p>
        </w:tc>
        <w:tc>
          <w:tcPr>
            <w:tcW w:w="620" w:type="dxa"/>
            <w:tcBorders/>
            <w:shd w:fill="FFFFFF" w:val="clear"/>
            <w:vAlign w:val="bottom"/>
          </w:tcPr>
          <w:p>
            <w:pPr>
              <w:pStyle w:val="TableContents"/>
              <w:spacing w:before="0" w:after="283"/>
              <w:jc w:val="left"/>
              <w:rPr/>
            </w:pPr>
            <w:r>
              <w:rPr/>
              <w:t xml:space="preserve">(2)(5)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Health Benefits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N/A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39,736 </w:t>
            </w:r>
          </w:p>
        </w:tc>
        <w:tc>
          <w:tcPr>
            <w:tcW w:w="35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39,736 </w:t>
            </w:r>
          </w:p>
        </w:tc>
        <w:tc>
          <w:tcPr>
            <w:tcW w:w="62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39,736 </w:t>
            </w:r>
          </w:p>
        </w:tc>
        <w:tc>
          <w:tcPr>
            <w:tcW w:w="35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39,736 </w:t>
            </w:r>
          </w:p>
        </w:tc>
        <w:tc>
          <w:tcPr>
            <w:tcW w:w="620" w:type="dxa"/>
            <w:tcBorders/>
            <w:shd w:fill="CCEEFF" w:val="clear"/>
            <w:vAlign w:val="bottom"/>
          </w:tcPr>
          <w:p>
            <w:pPr>
              <w:pStyle w:val="TableContents"/>
              <w:spacing w:before="0" w:after="283"/>
              <w:jc w:val="left"/>
              <w:rPr/>
            </w:pPr>
            <w:r>
              <w:rPr/>
              <w:t xml:space="preserve">(6) </w:t>
            </w:r>
          </w:p>
        </w:tc>
      </w:tr>
      <w:tr>
        <w:trPr/>
        <w:tc>
          <w:tcPr>
            <w:tcW w:w="1430" w:type="dxa"/>
            <w:tcBorders/>
            <w:shd w:fill="FFFFFF" w:val="clear"/>
            <w:vAlign w:val="bottom"/>
          </w:tcPr>
          <w:p>
            <w:pPr>
              <w:pStyle w:val="TableContents"/>
              <w:spacing w:before="0" w:after="0"/>
              <w:ind w:left="360" w:right="0" w:hanging="180"/>
              <w:jc w:val="left"/>
              <w:rPr>
                <w:sz w:val="15"/>
              </w:rPr>
            </w:pPr>
            <w:r>
              <w:rPr>
                <w:sz w:val="15"/>
              </w:rPr>
              <w:t xml:space="preserve">Tax Gross-up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N/A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2,371,479 </w:t>
            </w:r>
          </w:p>
        </w:tc>
        <w:tc>
          <w:tcPr>
            <w:tcW w:w="620" w:type="dxa"/>
            <w:tcBorders/>
            <w:shd w:fill="FFFFFF" w:val="clear"/>
            <w:vAlign w:val="bottom"/>
          </w:tcPr>
          <w:p>
            <w:pPr>
              <w:pStyle w:val="TableContents"/>
              <w:spacing w:before="0" w:after="283"/>
              <w:jc w:val="left"/>
              <w:rPr/>
            </w:pPr>
            <w:r>
              <w:rPr/>
              <w:t xml:space="preserve">(7) </w:t>
            </w:r>
          </w:p>
        </w:tc>
      </w:tr>
      <w:tr>
        <w:trPr/>
        <w:tc>
          <w:tcPr>
            <w:tcW w:w="1430" w:type="dxa"/>
            <w:tcBorders/>
            <w:shd w:fill="CCEEFF" w:val="clear"/>
            <w:vAlign w:val="bottom"/>
          </w:tcPr>
          <w:p>
            <w:pPr>
              <w:pStyle w:val="TableContents"/>
              <w:spacing w:before="0" w:after="0"/>
              <w:ind w:left="540" w:right="0" w:hanging="180"/>
              <w:jc w:val="left"/>
              <w:rPr>
                <w:sz w:val="15"/>
              </w:rPr>
            </w:pPr>
            <w:r>
              <w:rPr>
                <w:sz w:val="15"/>
              </w:rPr>
              <w:t xml:space="preserve">Total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22,110,000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22,149,736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22,149,736 </w:t>
            </w:r>
          </w:p>
        </w:tc>
        <w:tc>
          <w:tcPr>
            <w:tcW w:w="6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22,149,736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27,896,215 </w:t>
            </w:r>
          </w:p>
        </w:tc>
        <w:tc>
          <w:tcPr>
            <w:tcW w:w="620" w:type="dxa"/>
            <w:tcBorders/>
            <w:shd w:fill="CCEEFF" w:val="clear"/>
            <w:vAlign w:val="bottom"/>
          </w:tcPr>
          <w:p>
            <w:pPr>
              <w:pStyle w:val="TableContents"/>
              <w:spacing w:before="0" w:after="283"/>
              <w:jc w:val="left"/>
              <w:rPr/>
            </w:pPr>
            <w:r>
              <w:rPr/>
              <w:t xml:space="preserve">  </w:t>
            </w:r>
          </w:p>
        </w:tc>
      </w:tr>
      <w:tr>
        <w:trPr/>
        <w:tc>
          <w:tcPr>
            <w:tcW w:w="1430" w:type="dxa"/>
            <w:tcBorders/>
            <w:shd w:fill="FFFFFF" w:val="clear"/>
            <w:vAlign w:val="bottom"/>
          </w:tcPr>
          <w:p>
            <w:pPr>
              <w:pStyle w:val="TableContents"/>
              <w:spacing w:before="0" w:after="0"/>
              <w:ind w:left="180" w:right="0" w:hanging="180"/>
              <w:jc w:val="left"/>
              <w:rPr/>
            </w:pPr>
            <w:r>
              <w:rPr>
                <w:b/>
                <w:i/>
                <w:sz w:val="15"/>
              </w:rPr>
              <w:t>Harry N. Pefanis</w:t>
            </w: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Salary and Bonus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6,100,000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6,100,000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6,100,000 </w:t>
            </w:r>
          </w:p>
        </w:tc>
        <w:tc>
          <w:tcPr>
            <w:tcW w:w="62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6,100,000 </w:t>
            </w:r>
          </w:p>
        </w:tc>
        <w:tc>
          <w:tcPr>
            <w:tcW w:w="350" w:type="dxa"/>
            <w:tcBorders/>
            <w:shd w:fill="CCEEFF" w:val="clear"/>
            <w:vAlign w:val="bottom"/>
          </w:tcPr>
          <w:p>
            <w:pPr>
              <w:pStyle w:val="TableContents"/>
              <w:spacing w:before="0" w:after="283"/>
              <w:jc w:val="left"/>
              <w:rPr/>
            </w:pPr>
            <w:r>
              <w:rPr/>
              <w:t xml:space="preserve">(1)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9,150,000 </w:t>
            </w:r>
          </w:p>
        </w:tc>
        <w:tc>
          <w:tcPr>
            <w:tcW w:w="620" w:type="dxa"/>
            <w:tcBorders/>
            <w:shd w:fill="CCEEFF" w:val="clear"/>
            <w:vAlign w:val="bottom"/>
          </w:tcPr>
          <w:p>
            <w:pPr>
              <w:pStyle w:val="TableContents"/>
              <w:spacing w:before="0" w:after="283"/>
              <w:jc w:val="left"/>
              <w:rPr/>
            </w:pPr>
            <w:r>
              <w:rPr/>
              <w:t xml:space="preserve">(2) </w:t>
            </w:r>
          </w:p>
        </w:tc>
      </w:tr>
      <w:tr>
        <w:trPr/>
        <w:tc>
          <w:tcPr>
            <w:tcW w:w="1430" w:type="dxa"/>
            <w:tcBorders/>
            <w:shd w:fill="FFFFFF" w:val="clear"/>
            <w:vAlign w:val="bottom"/>
          </w:tcPr>
          <w:p>
            <w:pPr>
              <w:pStyle w:val="TableContents"/>
              <w:spacing w:before="0" w:after="0"/>
              <w:ind w:left="360" w:right="0" w:hanging="180"/>
              <w:jc w:val="left"/>
              <w:rPr>
                <w:sz w:val="15"/>
              </w:rPr>
            </w:pPr>
            <w:r>
              <w:rPr>
                <w:sz w:val="15"/>
              </w:rPr>
              <w:t xml:space="preserve">Equity Compensation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10,240,000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10,240,000 </w:t>
            </w:r>
          </w:p>
        </w:tc>
        <w:tc>
          <w:tcPr>
            <w:tcW w:w="350" w:type="dxa"/>
            <w:tcBorders/>
            <w:shd w:fill="FFFFFF" w:val="clear"/>
            <w:vAlign w:val="bottom"/>
          </w:tcPr>
          <w:p>
            <w:pPr>
              <w:pStyle w:val="TableContents"/>
              <w:spacing w:before="0" w:after="283"/>
              <w:jc w:val="left"/>
              <w:rPr/>
            </w:pPr>
            <w:r>
              <w:rPr/>
              <w:t xml:space="preserve">(3)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10,240,000 </w:t>
            </w:r>
          </w:p>
        </w:tc>
        <w:tc>
          <w:tcPr>
            <w:tcW w:w="620" w:type="dxa"/>
            <w:tcBorders/>
            <w:shd w:fill="FFFFFF" w:val="clear"/>
            <w:vAlign w:val="bottom"/>
          </w:tcPr>
          <w:p>
            <w:pPr>
              <w:pStyle w:val="TableContents"/>
              <w:spacing w:before="0" w:after="283"/>
              <w:jc w:val="left"/>
              <w:rPr/>
            </w:pPr>
            <w:r>
              <w:rPr/>
              <w:t xml:space="preserve">(4)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10,240,000 </w:t>
            </w:r>
          </w:p>
        </w:tc>
        <w:tc>
          <w:tcPr>
            <w:tcW w:w="350" w:type="dxa"/>
            <w:tcBorders/>
            <w:shd w:fill="FFFFFF" w:val="clear"/>
            <w:vAlign w:val="bottom"/>
          </w:tcPr>
          <w:p>
            <w:pPr>
              <w:pStyle w:val="TableContents"/>
              <w:spacing w:before="0" w:after="283"/>
              <w:jc w:val="left"/>
              <w:rPr/>
            </w:pPr>
            <w:r>
              <w:rPr/>
              <w:t xml:space="preserve">(2)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10,240,000 </w:t>
            </w:r>
          </w:p>
        </w:tc>
        <w:tc>
          <w:tcPr>
            <w:tcW w:w="620" w:type="dxa"/>
            <w:tcBorders/>
            <w:shd w:fill="FFFFFF" w:val="clear"/>
            <w:vAlign w:val="bottom"/>
          </w:tcPr>
          <w:p>
            <w:pPr>
              <w:pStyle w:val="TableContents"/>
              <w:spacing w:before="0" w:after="283"/>
              <w:jc w:val="left"/>
              <w:rPr/>
            </w:pPr>
            <w:r>
              <w:rPr/>
              <w:t xml:space="preserve">(2)(5)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Health Benefits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N/A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39,736 </w:t>
            </w:r>
          </w:p>
        </w:tc>
        <w:tc>
          <w:tcPr>
            <w:tcW w:w="35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39,736 </w:t>
            </w:r>
          </w:p>
        </w:tc>
        <w:tc>
          <w:tcPr>
            <w:tcW w:w="62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39,736 </w:t>
            </w:r>
          </w:p>
        </w:tc>
        <w:tc>
          <w:tcPr>
            <w:tcW w:w="350" w:type="dxa"/>
            <w:tcBorders/>
            <w:shd w:fill="CCEEFF" w:val="clear"/>
            <w:vAlign w:val="bottom"/>
          </w:tcPr>
          <w:p>
            <w:pPr>
              <w:pStyle w:val="TableContents"/>
              <w:spacing w:before="0" w:after="283"/>
              <w:jc w:val="left"/>
              <w:rPr/>
            </w:pPr>
            <w:r>
              <w:rPr/>
              <w:t xml:space="preserve">(6)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39,736 </w:t>
            </w:r>
          </w:p>
        </w:tc>
        <w:tc>
          <w:tcPr>
            <w:tcW w:w="620" w:type="dxa"/>
            <w:tcBorders/>
            <w:shd w:fill="CCEEFF" w:val="clear"/>
            <w:vAlign w:val="bottom"/>
          </w:tcPr>
          <w:p>
            <w:pPr>
              <w:pStyle w:val="TableContents"/>
              <w:spacing w:before="0" w:after="283"/>
              <w:jc w:val="left"/>
              <w:rPr/>
            </w:pPr>
            <w:r>
              <w:rPr/>
              <w:t xml:space="preserve">(6) </w:t>
            </w:r>
          </w:p>
        </w:tc>
      </w:tr>
      <w:tr>
        <w:trPr/>
        <w:tc>
          <w:tcPr>
            <w:tcW w:w="1430" w:type="dxa"/>
            <w:tcBorders/>
            <w:shd w:fill="FFFFFF" w:val="clear"/>
            <w:vAlign w:val="bottom"/>
          </w:tcPr>
          <w:p>
            <w:pPr>
              <w:pStyle w:val="TableContents"/>
              <w:spacing w:before="0" w:after="0"/>
              <w:ind w:left="360" w:right="0" w:hanging="180"/>
              <w:jc w:val="left"/>
              <w:rPr>
                <w:sz w:val="15"/>
              </w:rPr>
            </w:pPr>
            <w:r>
              <w:rPr>
                <w:sz w:val="15"/>
              </w:rPr>
              <w:t xml:space="preserve">Tax Gross-up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N/A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N/A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2,112,233 </w:t>
            </w:r>
          </w:p>
        </w:tc>
        <w:tc>
          <w:tcPr>
            <w:tcW w:w="620" w:type="dxa"/>
            <w:tcBorders/>
            <w:shd w:fill="FFFFFF" w:val="clear"/>
            <w:vAlign w:val="bottom"/>
          </w:tcPr>
          <w:p>
            <w:pPr>
              <w:pStyle w:val="TableContents"/>
              <w:spacing w:before="0" w:after="283"/>
              <w:jc w:val="left"/>
              <w:rPr/>
            </w:pPr>
            <w:r>
              <w:rPr/>
              <w:t xml:space="preserve">(7) </w:t>
            </w:r>
          </w:p>
        </w:tc>
      </w:tr>
      <w:tr>
        <w:trPr/>
        <w:tc>
          <w:tcPr>
            <w:tcW w:w="1430" w:type="dxa"/>
            <w:tcBorders/>
            <w:shd w:fill="CCEEFF" w:val="clear"/>
            <w:vAlign w:val="bottom"/>
          </w:tcPr>
          <w:p>
            <w:pPr>
              <w:pStyle w:val="TableContents"/>
              <w:spacing w:before="0" w:after="0"/>
              <w:ind w:left="540" w:right="0" w:hanging="180"/>
              <w:jc w:val="left"/>
              <w:rPr>
                <w:sz w:val="15"/>
              </w:rPr>
            </w:pPr>
            <w:r>
              <w:rPr>
                <w:sz w:val="15"/>
              </w:rPr>
              <w:t xml:space="preserve">Total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16,340,000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16,379,736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16,379,736 </w:t>
            </w:r>
          </w:p>
        </w:tc>
        <w:tc>
          <w:tcPr>
            <w:tcW w:w="6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16,379,736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21,541,969 </w:t>
            </w:r>
          </w:p>
        </w:tc>
        <w:tc>
          <w:tcPr>
            <w:tcW w:w="620" w:type="dxa"/>
            <w:tcBorders/>
            <w:shd w:fill="CCEEFF" w:val="clear"/>
            <w:vAlign w:val="bottom"/>
          </w:tcPr>
          <w:p>
            <w:pPr>
              <w:pStyle w:val="TableContents"/>
              <w:spacing w:before="0" w:after="283"/>
              <w:jc w:val="left"/>
              <w:rPr/>
            </w:pPr>
            <w:r>
              <w:rPr/>
              <w:t xml:space="preserve">  </w:t>
            </w:r>
          </w:p>
        </w:tc>
      </w:tr>
      <w:tr>
        <w:trPr/>
        <w:tc>
          <w:tcPr>
            <w:tcW w:w="1430" w:type="dxa"/>
            <w:tcBorders/>
            <w:shd w:fill="FFFFFF" w:val="clear"/>
            <w:vAlign w:val="bottom"/>
          </w:tcPr>
          <w:p>
            <w:pPr>
              <w:pStyle w:val="TableContents"/>
              <w:spacing w:before="0" w:after="0"/>
              <w:ind w:left="180" w:right="0" w:hanging="180"/>
              <w:jc w:val="left"/>
              <w:rPr/>
            </w:pPr>
            <w:r>
              <w:rPr>
                <w:b/>
                <w:i/>
                <w:sz w:val="15"/>
              </w:rPr>
              <w:t>Phillip D. Kramer</w:t>
            </w: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Equity Compensation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5,120,000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5,120,000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5,120,000 </w:t>
            </w:r>
          </w:p>
        </w:tc>
        <w:tc>
          <w:tcPr>
            <w:tcW w:w="62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N/A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5,120,000 </w:t>
            </w:r>
          </w:p>
        </w:tc>
        <w:tc>
          <w:tcPr>
            <w:tcW w:w="620" w:type="dxa"/>
            <w:tcBorders/>
            <w:shd w:fill="CCEEFF" w:val="clear"/>
            <w:vAlign w:val="bottom"/>
          </w:tcPr>
          <w:p>
            <w:pPr>
              <w:pStyle w:val="TableContents"/>
              <w:spacing w:before="0" w:after="283"/>
              <w:jc w:val="left"/>
              <w:rPr/>
            </w:pPr>
            <w:r>
              <w:rPr/>
              <w:t xml:space="preserve">(5) </w:t>
            </w:r>
          </w:p>
        </w:tc>
      </w:tr>
      <w:tr>
        <w:trPr/>
        <w:tc>
          <w:tcPr>
            <w:tcW w:w="1430" w:type="dxa"/>
            <w:tcBorders/>
            <w:shd w:fill="FFFFFF" w:val="clear"/>
            <w:vAlign w:val="bottom"/>
          </w:tcPr>
          <w:p>
            <w:pPr>
              <w:pStyle w:val="TableContents"/>
              <w:spacing w:before="0" w:after="0"/>
              <w:ind w:left="180" w:right="0" w:hanging="180"/>
              <w:jc w:val="left"/>
              <w:rPr/>
            </w:pPr>
            <w:r>
              <w:rPr>
                <w:b/>
                <w:i/>
                <w:sz w:val="15"/>
              </w:rPr>
              <w:t>George R. Coiner</w:t>
            </w: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Equity Compensation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7,680,000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7,680,000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6,485,299 </w:t>
            </w:r>
          </w:p>
        </w:tc>
        <w:tc>
          <w:tcPr>
            <w:tcW w:w="62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N/A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7,680,000 </w:t>
            </w:r>
          </w:p>
        </w:tc>
        <w:tc>
          <w:tcPr>
            <w:tcW w:w="620" w:type="dxa"/>
            <w:tcBorders/>
            <w:shd w:fill="CCEEFF" w:val="clear"/>
            <w:vAlign w:val="bottom"/>
          </w:tcPr>
          <w:p>
            <w:pPr>
              <w:pStyle w:val="TableContents"/>
              <w:spacing w:before="0" w:after="283"/>
              <w:jc w:val="left"/>
              <w:rPr/>
            </w:pPr>
            <w:r>
              <w:rPr/>
              <w:t xml:space="preserve">(5) </w:t>
            </w:r>
          </w:p>
        </w:tc>
      </w:tr>
      <w:tr>
        <w:trPr/>
        <w:tc>
          <w:tcPr>
            <w:tcW w:w="1430" w:type="dxa"/>
            <w:tcBorders/>
            <w:shd w:fill="FFFFFF" w:val="clear"/>
            <w:vAlign w:val="bottom"/>
          </w:tcPr>
          <w:p>
            <w:pPr>
              <w:pStyle w:val="TableContents"/>
              <w:spacing w:before="0" w:after="0"/>
              <w:ind w:left="180" w:right="0" w:hanging="180"/>
              <w:jc w:val="left"/>
              <w:rPr/>
            </w:pPr>
            <w:r>
              <w:rPr>
                <w:b/>
                <w:i/>
                <w:sz w:val="15"/>
              </w:rPr>
              <w:t>John P. vonBerg</w:t>
            </w: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1242"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1256" w:type="dxa"/>
            <w:tcBorders/>
            <w:shd w:fill="FFFFFF" w:val="clear"/>
            <w:vAlign w:val="bottom"/>
          </w:tcPr>
          <w:p>
            <w:pPr>
              <w:pStyle w:val="TableContents"/>
              <w:spacing w:before="0" w:after="283"/>
              <w:jc w:val="right"/>
              <w:rPr/>
            </w:pPr>
            <w:r>
              <w:rPr/>
              <w:t xml:space="preserve">  </w:t>
            </w:r>
          </w:p>
        </w:tc>
        <w:tc>
          <w:tcPr>
            <w:tcW w:w="35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365"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r>
      <w:tr>
        <w:trPr/>
        <w:tc>
          <w:tcPr>
            <w:tcW w:w="1430" w:type="dxa"/>
            <w:tcBorders/>
            <w:shd w:fill="CCEEFF" w:val="clear"/>
            <w:vAlign w:val="bottom"/>
          </w:tcPr>
          <w:p>
            <w:pPr>
              <w:pStyle w:val="TableContents"/>
              <w:spacing w:before="0" w:after="0"/>
              <w:ind w:left="360" w:right="0" w:hanging="180"/>
              <w:jc w:val="left"/>
              <w:rPr>
                <w:sz w:val="15"/>
              </w:rPr>
            </w:pPr>
            <w:r>
              <w:rPr>
                <w:sz w:val="15"/>
              </w:rPr>
              <w:t xml:space="preserve">Equity Compensation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4,608,000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t xml:space="preserve">4,608,000 </w:t>
            </w:r>
          </w:p>
        </w:tc>
        <w:tc>
          <w:tcPr>
            <w:tcW w:w="350" w:type="dxa"/>
            <w:tcBorders/>
            <w:shd w:fill="CCEEFF" w:val="clear"/>
            <w:vAlign w:val="bottom"/>
          </w:tcPr>
          <w:p>
            <w:pPr>
              <w:pStyle w:val="TableContents"/>
              <w:spacing w:before="0" w:after="283"/>
              <w:jc w:val="left"/>
              <w:rPr/>
            </w:pPr>
            <w:r>
              <w:rPr/>
              <w:t xml:space="preserve">(3) </w:t>
            </w:r>
          </w:p>
        </w:tc>
        <w:tc>
          <w:tcPr>
            <w:tcW w:w="60" w:type="dxa"/>
            <w:tcBorders/>
            <w:shd w:fill="CCEEFF" w:val="clear"/>
            <w:vAlign w:val="bottom"/>
          </w:tcPr>
          <w:p>
            <w:pPr>
              <w:pStyle w:val="TableContents"/>
              <w:spacing w:before="0" w:after="283"/>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1242" w:type="dxa"/>
            <w:tcBorders/>
            <w:shd w:fill="CCEEFF" w:val="clear"/>
            <w:vAlign w:val="bottom"/>
          </w:tcPr>
          <w:p>
            <w:pPr>
              <w:pStyle w:val="TableContents"/>
              <w:spacing w:before="0" w:after="283"/>
              <w:jc w:val="right"/>
              <w:rPr/>
            </w:pPr>
            <w:r>
              <w:rPr/>
              <w:t xml:space="preserve">3,925,299 </w:t>
            </w:r>
          </w:p>
        </w:tc>
        <w:tc>
          <w:tcPr>
            <w:tcW w:w="620" w:type="dxa"/>
            <w:tcBorders/>
            <w:shd w:fill="CCEEFF" w:val="clear"/>
            <w:vAlign w:val="bottom"/>
          </w:tcPr>
          <w:p>
            <w:pPr>
              <w:pStyle w:val="TableContents"/>
              <w:spacing w:before="0" w:after="283"/>
              <w:jc w:val="left"/>
              <w:rPr/>
            </w:pPr>
            <w:r>
              <w:rPr/>
              <w:t xml:space="preserve">(4)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1256" w:type="dxa"/>
            <w:tcBorders/>
            <w:shd w:fill="CCEEFF" w:val="clear"/>
            <w:vAlign w:val="bottom"/>
          </w:tcPr>
          <w:p>
            <w:pPr>
              <w:pStyle w:val="TableContents"/>
              <w:spacing w:before="0" w:after="283"/>
              <w:jc w:val="right"/>
              <w:rPr/>
            </w:pPr>
            <w:r>
              <w:rPr/>
              <w:t xml:space="preserve">N/A </w:t>
            </w:r>
          </w:p>
        </w:tc>
        <w:tc>
          <w:tcPr>
            <w:tcW w:w="35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365" w:type="dxa"/>
            <w:tcBorders/>
            <w:shd w:fill="CCEEFF" w:val="clear"/>
            <w:vAlign w:val="bottom"/>
          </w:tcPr>
          <w:p>
            <w:pPr>
              <w:pStyle w:val="TableContents"/>
              <w:spacing w:before="0" w:after="283"/>
              <w:jc w:val="right"/>
              <w:rPr/>
            </w:pPr>
            <w:r>
              <w:rPr/>
              <w:t xml:space="preserve">4,608,000 </w:t>
            </w:r>
          </w:p>
        </w:tc>
        <w:tc>
          <w:tcPr>
            <w:tcW w:w="620" w:type="dxa"/>
            <w:tcBorders/>
            <w:shd w:fill="CCEEFF" w:val="clear"/>
            <w:vAlign w:val="bottom"/>
          </w:tcPr>
          <w:p>
            <w:pPr>
              <w:pStyle w:val="TableContents"/>
              <w:spacing w:before="0" w:after="283"/>
              <w:jc w:val="left"/>
              <w:rPr/>
            </w:pPr>
            <w:r>
              <w:rPr/>
              <w:t xml:space="preserve">(5)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employment agreements between our general partner and Messrs. Armstrong and Pefanis provide that if (i) their employment with our general partner is terminated as a result of their death, (ii) they terminate their employment with our general partner (a) because of a disability (as defined below) or (b) for good reason (as defined below), or (iii) our general partner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29, 2006, and also assumes a highest annual base salary of $375,000 and highest annual bonus of $3,000,000 for Mr. Armstrong, and a highest annual base salary of $300,000 and highest annual bonus of $2,750,000 for Mr. Pefanis.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employment agreements between our general partner and Messrs. Armstrong and Pefanis define disability as the impairment of health to an extent that makes the continued performance of their duties hazardous to physical or mental health or life.</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 xml:space="preserve">The employment agreements between our general partner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our general partner or otherwise likely to result in no material injury to our general partner. However, neither Mr. Armstrong or Mr. Pefanis will be deemed to have been terminated for cause unless and until there is delivered to them a copy of a resolution of the board of directors of our general partner at a meeting held for that purpose (after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reasonable notice and an opportunity to be heard), finding that Mr. Armstrong or Mr. Pefanis, as applicable, was guilty of the conduct described above, and specifying the basis for that finding.</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employment agreements between our general partner and Messrs. Armstrong and Pefanis define good reason as the occurrence of any of the following circumstances: (i) removal by our general partner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our general partner, unless such reduction reduces their base salary to less than 85% of their current base salary, (b) a material reduction in their fringe benefits, or (c) any other material failure by our general partner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our general partner to obtain the express assumption of the employment agreements by a successor entity (whether direct or indirect, by purchase, merger, consolidation or otherwise) to all or substantially all of the business and/or assets of our general partner.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Pursuant to their employment agreements, if Messrs. Armstrong and Pefanis terminate their employment with our general partner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29, 2006, and also assumes a highest annual base salary of $375,000 and highest annual bonus of $3,000,000 for Mr. Armstrong, and a highest annual base salary of $300,000 and highest annual bonus of $2,750,000 for Mr. Pefanis.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For this purpose a change in control means (i) the acquisition by an entity or group (other than Plains Resources Inc. or a wholly owned subsidiary thereof) of 50% or more of the membership interest of our general partner or (ii) the existing owners of the membership interests of our general partner ceasing to own more than 50% of the membership interests of our general partner.</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 August 2005, Vulcan Energy increased its interest in our general partner from approximately 44% to approximately 54%. The consummation of the transaction constituted a change of control under the employment agreements with Messrs. Armstrong and Pefanis. However, Messrs. Armstrong and Pefanis entered into agreements with our general partner waiving their rights to payments under their employment agreements in connection with the change of control, contingent on the execution and performance by Vulcan Energy of a voting agreement with GP LLC that restricts certain of Vulcans voting rights. Upon a breach, termination, or notice of termination of the voting agreement by Vulcan Energy these waivers will automatically terminate and the executive officer will be paid a lump sum as if he had terminated his employment for good reason. Upon any termination by the Company without cause or by the executive for good reason, such executive officer would also vest in all outstanding phantom units under our LTIPs.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letters evidencing the 2005 phantom unit grants to the Named Executive Officers provide that in the event of their death or disability (as defined below), all of their then outstanding phantom units and associated DERs will be deemed 100% nonforfeitable, and such phantom units and associated DERs will vest (</w:t>
            </w:r>
            <w:r>
              <w:rPr>
                <w:i/>
              </w:rPr>
              <w:t>i.e</w:t>
            </w:r>
            <w:r>
              <w:rPr/>
              <w:t>., the phantom units will become payable in the form of one common unit and the associated DERs will become payable in a cash lump-sum payment) as provided in Footnote 3 to the Outstanding Equity Awards at Fiscal Year-End table. For this purpose disability means a physical or mental disability that impairs the ability to perform duties for a period of eighteen (18) months or that the general partner otherwise determines constitutes a disability.</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dollar value amount provided assumes the death or disability occurred on December 29, 2006. As a result, all phantom units and the associated DERs of the Named Executive Officers would have become nonforfeitable effective as of December 29, 2006, and vested at the time(s) described in Footnote 3 to the Outstanding Equity Awards at Fiscal Year-End table. The dollar value given is based on the market value on December 29, 2006 ($51.20 per unit) without discount for vesting period.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Pursuant to the 2005 phantom unit grants to the Named Executive Officers, in the event their employment is terminated other than in connection with a change in control (as defined in Footnote 5, below) or by reason of death or disability (as defined in Footnote 3, above), all of the DERs (regardless of vesting) and phantom units then outstanding under their respective 2005 phantom unit grants would automatically be forfeited as of the date of termination; provided, however, that if our general partner terminated their employment other than for cause (as defined below), any unvested phantom units that had satisfied all of the vesting criteria as of the date of their termination but for the passage of time would be deemed nonforfeitable and would vest on the next following distribution date. The dollar value amount provided assumes that the Named Executive Officers were terminated without cause on December 29, 2006. As a result, all of the outstanding phantom units held by Messrs. Armstrong, Pefanis and Kramer would be deemed nonforfeitable and would vest on the February 2007 distribution date. All outstanding phantom units, except for 23,334 and 13,334 held by Messrs. Coiner and vonBerg, respectively, would be deemed nonforfeitable and would vest on the February 2007 distribution date. The dollar value given is based on the market value on December 29, 2006 of $51.20 per unit, without discount for vesting period.</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(5)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 2005 phantom unit grants to the Named Executive Officers provide that in the event of a change of status (as defined below), all of the then outstanding phantom units and tandem DERs will be deemed 100% nonforfeitable, and such phantom units will vest in full (</w:t>
            </w:r>
            <w:r>
              <w:rPr>
                <w:i/>
              </w:rPr>
              <w:t>i.e</w:t>
            </w:r>
            <w:r>
              <w:rPr/>
              <w:t>., become payable in the form of one common unit of our general partner for each phantom unit) upon the next distribution date. Assuming the change in status occurred on December 29, 2006, all outstanding phantom units and the associated DERs would have become nonforfeitable as of December 29, 2006, and such phantom units and tandem DERs would vest (</w:t>
            </w:r>
            <w:r>
              <w:rPr>
                <w:i/>
              </w:rPr>
              <w:t>i.e</w:t>
            </w:r>
            <w:r>
              <w:rPr/>
              <w:t>., become payable) on the February 2007 distribution date.</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 phrase change in status means, with respect to a Named Executive Officer, the occurrence, during the period beginning three months prior to and ending one year following a change of control (as defined below), of any of the following: (i) termination of employment by our general partner other than a termination for cause (as defined below); (ii) without consent, the removal from, or any failure to re-elect them to, the position(s) held by them (or substantially equivalent position(s)) immediately prior to the change in control; (iii) any reduction in their base salaries; or (iv) any material reduction in their fringe benefits.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 phrase change of control means,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the Partnership or GP LLC to any person and/or its affiliates, other than to the Partnership or GP LLC, including any employee benefit plan thereof; (iii) the consolidation, reorganization, merger, or any other similar transaction involving (A) a person other than the Partnership or GP LLC and (B) the Partnership, GP LLC or both; (iv) the persons who own membership interests in GP LLC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With respect to the lattermost event, the grant letter makes an exception for any existing member of GP LLC if the member signs a voting agreement such as that executed by Vulcan in August 2005 (such exception not applying to the November 2005 grants to Messrs. Coiner and vonBerg).</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 term cause means (i) the failure to perform a job function in accordance with standards described in writing, or (ii) the violation of our general partners Code of Business Conduct (unless waived in accordance with the terms thereof), in each case, with the specific failure or violation described in writing.</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(6)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Pursuant to their employment agreements with our general partner,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is made available by our general partner to its executive officers generally. The amounts provided in the table assume a termination date of December 29, 2006.</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(7)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Pursuant to their employment agreements, Messrs. Armstrong and Pefanis will be reimbursed for any excise tax due under Section 4999 of the Code as a result of compensation (parachute) payments made under their respective employment agreements. The range of values of this benefit assumes that Messrs. Armstrong and Pefanis were terminated in connection with a change in control effective as of December 29, 2006.</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Confidentiality, Non-compete and Non-solicitation Arrangements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his employment agreement, Mr. Armstrong has agreed to maintain the confidentiality of company information for a period of five years after the termination of his employment. Mr. Pefanis has agreed to a similar restriction for a period of one year following the termination of his employment. Mr. Coiner has agreed to maintain confidentiality and not to solicit customers or employees for a period of two years after the termination of his employment. Mr. vonBerg has agreed to maintain confidentiality and not to solicit customers for a period of one year following termination of his employment.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of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a summary of the compensation we paid to our non-employee directors in 2006: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Director Compensation</w:t>
      </w:r>
      <w:r>
        <w:rPr>
          <w:rFonts w:ascii="Arial;Helvetica" w:hAnsi="Arial;Helvetica"/>
          <w:color w:val="000000"/>
          <w:sz w:val="17"/>
          <w:highlight w:val="white"/>
        </w:rPr>
        <w:t xml:space="preserve"> </w:t>
      </w:r>
    </w:p>
    <w:p>
      <w:pPr>
        <w:pStyle w:val="TextBody"/>
        <w:spacing w:before="120" w:after="283"/>
        <w:rPr/>
      </w:pPr>
      <w:r>
        <w:rPr/>
        <w:t> </w:t>
      </w:r>
    </w:p>
    <w:tbl>
      <w:tblPr>
        <w:tblW w:w="12610" w:type="dxa"/>
        <w:jc w:val="center"/>
        <w:tblInd w:w="0" w:type="dxa"/>
        <w:shd w:fill="FFFFFF" w:val="clear"/>
        <w:tblCellMar>
          <w:top w:w="0" w:type="dxa"/>
          <w:left w:w="0" w:type="dxa"/>
          <w:bottom w:w="0" w:type="dxa"/>
          <w:right w:w="0" w:type="dxa"/>
        </w:tblCellMar>
      </w:tblPr>
      <w:tblGrid>
        <w:gridCol w:w="1355"/>
        <w:gridCol w:w="60"/>
        <w:gridCol w:w="180"/>
        <w:gridCol w:w="1115"/>
        <w:gridCol w:w="120"/>
        <w:gridCol w:w="60"/>
        <w:gridCol w:w="175"/>
        <w:gridCol w:w="1255"/>
        <w:gridCol w:w="120"/>
        <w:gridCol w:w="60"/>
        <w:gridCol w:w="364"/>
        <w:gridCol w:w="796"/>
        <w:gridCol w:w="120"/>
        <w:gridCol w:w="60"/>
        <w:gridCol w:w="573"/>
        <w:gridCol w:w="1247"/>
        <w:gridCol w:w="120"/>
        <w:gridCol w:w="60"/>
        <w:gridCol w:w="468"/>
        <w:gridCol w:w="1022"/>
        <w:gridCol w:w="120"/>
        <w:gridCol w:w="60"/>
        <w:gridCol w:w="573"/>
        <w:gridCol w:w="1247"/>
        <w:gridCol w:w="120"/>
        <w:gridCol w:w="60"/>
        <w:gridCol w:w="120"/>
        <w:gridCol w:w="860"/>
        <w:gridCol w:w="120"/>
      </w:tblGrid>
      <w:tr>
        <w:trPr/>
        <w:tc>
          <w:tcPr>
            <w:tcW w:w="13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jc w:val="right"/>
              <w:rPr/>
            </w:pPr>
            <w:r>
              <w:rPr/>
              <w:t> </w:t>
            </w:r>
          </w:p>
        </w:tc>
        <w:tc>
          <w:tcPr>
            <w:tcW w:w="111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right"/>
              <w:rPr/>
            </w:pPr>
            <w:r>
              <w:rPr/>
              <w:t> </w:t>
            </w:r>
          </w:p>
        </w:tc>
        <w:tc>
          <w:tcPr>
            <w:tcW w:w="125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64" w:type="dxa"/>
            <w:tcBorders/>
            <w:shd w:fill="FFFFFF" w:val="clear"/>
            <w:vAlign w:val="bottom"/>
          </w:tcPr>
          <w:p>
            <w:pPr>
              <w:pStyle w:val="TableContents"/>
              <w:spacing w:before="0" w:after="283"/>
              <w:jc w:val="right"/>
              <w:rPr/>
            </w:pPr>
            <w:r>
              <w:rPr/>
              <w:t> </w:t>
            </w:r>
          </w:p>
        </w:tc>
        <w:tc>
          <w:tcPr>
            <w:tcW w:w="79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124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022"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124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86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Change in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Pension Value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and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Nonqualified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b/>
              </w:rPr>
            </w:pPr>
            <w:r>
              <w:rPr>
                <w:b/>
              </w:rPr>
              <w:t>Fees Earned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b/>
              </w:rPr>
            </w:pPr>
            <w:r>
              <w:rPr>
                <w:b/>
              </w:rPr>
              <w:t>Non-Equity</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Deferred</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b/>
              </w:rPr>
            </w:pPr>
            <w:r>
              <w:rPr>
                <w:b/>
              </w:rPr>
              <w:t>or Paid in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b/>
              </w:rPr>
            </w:pPr>
            <w:r>
              <w:rPr>
                <w:b/>
              </w:rPr>
              <w:t>Stock</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b/>
              </w:rPr>
            </w:pPr>
            <w:r>
              <w:rPr>
                <w:b/>
              </w:rPr>
              <w:t>Option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b/>
              </w:rPr>
            </w:pPr>
            <w:r>
              <w:rPr>
                <w:b/>
              </w:rPr>
              <w:t>Incentive Plan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Compensation</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b/>
              </w:rPr>
            </w:pPr>
            <w:r>
              <w:rPr>
                <w:b/>
              </w:rPr>
              <w:t>All Other</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283"/>
              <w:jc w:val="left"/>
              <w:rPr>
                <w:b/>
              </w:rPr>
            </w:pPr>
            <w:r>
              <w:rPr>
                <w:b/>
              </w:rPr>
              <w:t>Name</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shd w:fill="FFFFFF" w:val="clear"/>
            <w:vAlign w:val="bottom"/>
          </w:tcPr>
          <w:p>
            <w:pPr>
              <w:pStyle w:val="TableContents"/>
              <w:spacing w:before="0" w:after="283"/>
              <w:jc w:val="center"/>
              <w:rPr>
                <w:b/>
              </w:rPr>
            </w:pPr>
            <w:r>
              <w:rPr>
                <w:b/>
              </w:rPr>
              <w:t>Cash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shd w:fill="FFFFFF" w:val="clear"/>
            <w:vAlign w:val="bottom"/>
          </w:tcPr>
          <w:p>
            <w:pPr>
              <w:pStyle w:val="TableContents"/>
              <w:spacing w:before="0" w:after="283"/>
              <w:jc w:val="center"/>
              <w:rPr>
                <w:b/>
              </w:rPr>
            </w:pPr>
            <w:r>
              <w:rPr>
                <w:b/>
              </w:rPr>
              <w:t>Awards(1)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shd w:fill="FFFFFF" w:val="clear"/>
            <w:vAlign w:val="bottom"/>
          </w:tcPr>
          <w:p>
            <w:pPr>
              <w:pStyle w:val="TableContents"/>
              <w:spacing w:before="0" w:after="283"/>
              <w:jc w:val="center"/>
              <w:rPr>
                <w:b/>
              </w:rPr>
            </w:pPr>
            <w:r>
              <w:rPr>
                <w:b/>
              </w:rPr>
              <w:t>Awards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b/>
              </w:rPr>
            </w:pPr>
            <w:r>
              <w:rPr>
                <w:b/>
              </w:rPr>
              <w:t>Compensation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shd w:fill="FFFFFF" w:val="clear"/>
            <w:vAlign w:val="bottom"/>
          </w:tcPr>
          <w:p>
            <w:pPr>
              <w:pStyle w:val="TableContents"/>
              <w:spacing w:before="0" w:after="283"/>
              <w:jc w:val="center"/>
              <w:rPr>
                <w:b/>
              </w:rPr>
            </w:pPr>
            <w:r>
              <w:rPr>
                <w:b/>
              </w:rPr>
              <w:t>Earnings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shd w:fill="FFFFFF" w:val="clear"/>
            <w:vAlign w:val="bottom"/>
          </w:tcPr>
          <w:p>
            <w:pPr>
              <w:pStyle w:val="TableContents"/>
              <w:spacing w:before="0" w:after="283"/>
              <w:jc w:val="center"/>
              <w:rPr>
                <w:b/>
              </w:rPr>
            </w:pPr>
            <w:r>
              <w:rPr>
                <w:b/>
              </w:rPr>
              <w:t>Compensation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shd w:fill="FFFFFF" w:val="clear"/>
            <w:vAlign w:val="bottom"/>
          </w:tcPr>
          <w:p>
            <w:pPr>
              <w:pStyle w:val="TableContents"/>
              <w:spacing w:before="0" w:after="283"/>
              <w:jc w:val="center"/>
              <w:rPr>
                <w:b/>
              </w:rPr>
            </w:pPr>
            <w:r>
              <w:rPr>
                <w:b/>
              </w:rPr>
              <w:t>Total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bottom"/>
          </w:tcPr>
          <w:p>
            <w:pPr>
              <w:pStyle w:val="TableContents"/>
              <w:spacing w:before="0" w:after="0"/>
              <w:jc w:val="left"/>
              <w:rPr>
                <w:bdr w:val="single" w:sz="2" w:space="1" w:color="000000"/>
              </w:rPr>
            </w:pPr>
            <w:r>
              <w:rPr>
                <w:bdr w:val="single" w:sz="2" w:space="1" w:color="000000"/>
              </w:rPr>
              <w:t> </w:t>
            </w:r>
            <w:r>
              <w:rPr>
                <w:b/>
                <w:bdr w:val="single" w:sz="2" w:space="1" w:color="000000"/>
              </w:rPr>
              <w:t>(a)</w:t>
            </w:r>
            <w:r>
              <w:rPr>
                <w:bdr w:val="single" w:sz="2" w:space="1" w:color="000000"/>
              </w:rPr>
              <w:t xml:space="preserve"> </w:t>
            </w:r>
          </w:p>
        </w:tc>
        <w:tc>
          <w:tcPr>
            <w:tcW w:w="60" w:type="dxa"/>
            <w:tcBorders/>
            <w:shd w:fill="FFFFFF" w:val="clear"/>
            <w:vAlign w:val="bottom"/>
          </w:tcPr>
          <w:p>
            <w:pPr>
              <w:pStyle w:val="TableContents"/>
              <w:spacing w:before="0" w:after="283"/>
              <w:jc w:val="center"/>
              <w:rPr/>
            </w:pPr>
            <w:r>
              <w:rPr/>
              <w:t xml:space="preserve">  </w:t>
            </w:r>
          </w:p>
        </w:tc>
        <w:tc>
          <w:tcPr>
            <w:tcW w:w="129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9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8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(g)</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(h)</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355" w:type="dxa"/>
            <w:tcBorders/>
            <w:shd w:fill="FFFFFF" w:val="clear"/>
            <w:vAlign w:val="center"/>
          </w:tcPr>
          <w:p>
            <w:pPr>
              <w:pStyle w:val="TableContents"/>
              <w:spacing w:before="0" w:after="283"/>
              <w:rPr/>
            </w:pPr>
            <w:r>
              <w:rPr/>
              <w:t xml:space="preserve">  </w:t>
            </w:r>
          </w:p>
        </w:tc>
        <w:tc>
          <w:tcPr>
            <w:tcW w:w="11255" w:type="dxa"/>
            <w:gridSpan w:val="28"/>
            <w:tcBorders/>
            <w:shd w:fill="FFFFFF" w:val="clear"/>
          </w:tcPr>
          <w:p>
            <w:pPr>
              <w:pStyle w:val="TableContents"/>
              <w:spacing w:before="0" w:after="283"/>
              <w:rPr>
                <w:sz w:val="4"/>
                <w:szCs w:val="4"/>
              </w:rPr>
            </w:pPr>
            <w:r>
              <w:rPr>
                <w:sz w:val="4"/>
                <w:szCs w:val="4"/>
              </w:rPr>
            </w:r>
          </w:p>
        </w:tc>
      </w:tr>
      <w:tr>
        <w:trPr/>
        <w:tc>
          <w:tcPr>
            <w:tcW w:w="1355" w:type="dxa"/>
            <w:tcBorders/>
            <w:shd w:fill="CCEEFF" w:val="clear"/>
            <w:vAlign w:val="bottom"/>
          </w:tcPr>
          <w:p>
            <w:pPr>
              <w:pStyle w:val="TableContents"/>
              <w:spacing w:before="0" w:after="0"/>
              <w:ind w:left="200" w:right="0" w:hanging="200"/>
              <w:jc w:val="left"/>
              <w:rPr>
                <w:sz w:val="17"/>
              </w:rPr>
            </w:pPr>
            <w:r>
              <w:rPr>
                <w:sz w:val="17"/>
              </w:rPr>
              <w:t xml:space="preserve">David N. Capobianco(2) </w:t>
            </w:r>
          </w:p>
        </w:tc>
        <w:tc>
          <w:tcPr>
            <w:tcW w:w="60"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47,000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101,352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left"/>
              <w:rPr/>
            </w:pPr>
            <w:r>
              <w:rPr/>
              <w:t xml:space="preserve">  </w:t>
            </w:r>
          </w:p>
        </w:tc>
        <w:tc>
          <w:tcPr>
            <w:tcW w:w="796"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02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860" w:type="dxa"/>
            <w:tcBorders/>
            <w:shd w:fill="CCEEFF" w:val="clear"/>
            <w:vAlign w:val="bottom"/>
          </w:tcPr>
          <w:p>
            <w:pPr>
              <w:pStyle w:val="TableContents"/>
              <w:spacing w:before="0" w:after="283"/>
              <w:jc w:val="right"/>
              <w:rPr/>
            </w:pPr>
            <w:r>
              <w:rPr/>
              <w:t xml:space="preserve">148,352 </w:t>
            </w:r>
          </w:p>
        </w:tc>
        <w:tc>
          <w:tcPr>
            <w:tcW w:w="120" w:type="dxa"/>
            <w:tcBorders/>
            <w:shd w:fill="CCEEFF" w:val="clear"/>
            <w:vAlign w:val="bottom"/>
          </w:tcPr>
          <w:p>
            <w:pPr>
              <w:pStyle w:val="TableContents"/>
              <w:spacing w:before="0" w:after="283"/>
              <w:jc w:val="left"/>
              <w:rPr/>
            </w:pPr>
            <w:r>
              <w:rPr/>
              <w:t xml:space="preserve">  </w:t>
            </w:r>
          </w:p>
        </w:tc>
      </w:tr>
      <w:tr>
        <w:trPr/>
        <w:tc>
          <w:tcPr>
            <w:tcW w:w="1355" w:type="dxa"/>
            <w:tcBorders/>
            <w:shd w:fill="FFFFFF" w:val="clear"/>
            <w:vAlign w:val="bottom"/>
          </w:tcPr>
          <w:p>
            <w:pPr>
              <w:pStyle w:val="TableContents"/>
              <w:spacing w:before="0" w:after="0"/>
              <w:ind w:left="200" w:right="0" w:hanging="200"/>
              <w:jc w:val="left"/>
              <w:rPr>
                <w:sz w:val="17"/>
              </w:rPr>
            </w:pPr>
            <w:r>
              <w:rPr>
                <w:sz w:val="17"/>
              </w:rPr>
              <w:t xml:space="preserve">Everardo Goyanes </w:t>
            </w:r>
          </w:p>
        </w:tc>
        <w:tc>
          <w:tcPr>
            <w:tcW w:w="6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75,000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204,482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left"/>
              <w:rPr/>
            </w:pPr>
            <w:r>
              <w:rPr/>
              <w:t xml:space="preserve">  </w:t>
            </w:r>
          </w:p>
        </w:tc>
        <w:tc>
          <w:tcPr>
            <w:tcW w:w="796"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02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860" w:type="dxa"/>
            <w:tcBorders/>
            <w:shd w:fill="FFFFFF" w:val="clear"/>
            <w:vAlign w:val="bottom"/>
          </w:tcPr>
          <w:p>
            <w:pPr>
              <w:pStyle w:val="TableContents"/>
              <w:spacing w:before="0" w:after="283"/>
              <w:jc w:val="right"/>
              <w:rPr/>
            </w:pPr>
            <w:r>
              <w:rPr/>
              <w:t xml:space="preserve">279,482 </w:t>
            </w:r>
          </w:p>
        </w:tc>
        <w:tc>
          <w:tcPr>
            <w:tcW w:w="120" w:type="dxa"/>
            <w:tcBorders/>
            <w:shd w:fill="FFFFFF" w:val="clear"/>
            <w:vAlign w:val="bottom"/>
          </w:tcPr>
          <w:p>
            <w:pPr>
              <w:pStyle w:val="TableContents"/>
              <w:spacing w:before="0" w:after="283"/>
              <w:jc w:val="left"/>
              <w:rPr/>
            </w:pPr>
            <w:r>
              <w:rPr/>
              <w:t xml:space="preserve">  </w:t>
            </w:r>
          </w:p>
        </w:tc>
      </w:tr>
      <w:tr>
        <w:trPr/>
        <w:tc>
          <w:tcPr>
            <w:tcW w:w="1355" w:type="dxa"/>
            <w:tcBorders/>
            <w:shd w:fill="CCEEFF" w:val="clear"/>
            <w:vAlign w:val="bottom"/>
          </w:tcPr>
          <w:p>
            <w:pPr>
              <w:pStyle w:val="TableContents"/>
              <w:spacing w:before="0" w:after="0"/>
              <w:ind w:left="200" w:right="0" w:hanging="200"/>
              <w:jc w:val="left"/>
              <w:rPr>
                <w:sz w:val="17"/>
              </w:rPr>
            </w:pPr>
            <w:r>
              <w:rPr>
                <w:sz w:val="17"/>
              </w:rPr>
              <w:t xml:space="preserve">Gary R. Petersen(2) </w:t>
            </w:r>
          </w:p>
        </w:tc>
        <w:tc>
          <w:tcPr>
            <w:tcW w:w="60"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45,000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101,352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left"/>
              <w:rPr/>
            </w:pPr>
            <w:r>
              <w:rPr/>
              <w:t xml:space="preserve">  </w:t>
            </w:r>
          </w:p>
        </w:tc>
        <w:tc>
          <w:tcPr>
            <w:tcW w:w="796"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02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860" w:type="dxa"/>
            <w:tcBorders/>
            <w:shd w:fill="CCEEFF" w:val="clear"/>
            <w:vAlign w:val="bottom"/>
          </w:tcPr>
          <w:p>
            <w:pPr>
              <w:pStyle w:val="TableContents"/>
              <w:spacing w:before="0" w:after="283"/>
              <w:jc w:val="right"/>
              <w:rPr/>
            </w:pPr>
            <w:r>
              <w:rPr/>
              <w:t xml:space="preserve">146,352 </w:t>
            </w:r>
          </w:p>
        </w:tc>
        <w:tc>
          <w:tcPr>
            <w:tcW w:w="120" w:type="dxa"/>
            <w:tcBorders/>
            <w:shd w:fill="CCEEFF" w:val="clear"/>
            <w:vAlign w:val="bottom"/>
          </w:tcPr>
          <w:p>
            <w:pPr>
              <w:pStyle w:val="TableContents"/>
              <w:spacing w:before="0" w:after="283"/>
              <w:jc w:val="left"/>
              <w:rPr/>
            </w:pPr>
            <w:r>
              <w:rPr/>
              <w:t xml:space="preserve">  </w:t>
            </w:r>
          </w:p>
        </w:tc>
      </w:tr>
      <w:tr>
        <w:trPr/>
        <w:tc>
          <w:tcPr>
            <w:tcW w:w="1355" w:type="dxa"/>
            <w:tcBorders/>
            <w:shd w:fill="FFFFFF" w:val="clear"/>
            <w:vAlign w:val="bottom"/>
          </w:tcPr>
          <w:p>
            <w:pPr>
              <w:pStyle w:val="TableContents"/>
              <w:spacing w:before="0" w:after="0"/>
              <w:ind w:left="200" w:right="0" w:hanging="200"/>
              <w:jc w:val="left"/>
              <w:rPr>
                <w:sz w:val="17"/>
              </w:rPr>
            </w:pPr>
            <w:r>
              <w:rPr>
                <w:sz w:val="17"/>
              </w:rPr>
              <w:t xml:space="preserve">Robert V. Sinnott </w:t>
            </w:r>
          </w:p>
        </w:tc>
        <w:tc>
          <w:tcPr>
            <w:tcW w:w="6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45,000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101,352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left"/>
              <w:rPr/>
            </w:pPr>
            <w:r>
              <w:rPr/>
              <w:t xml:space="preserve">  </w:t>
            </w:r>
          </w:p>
        </w:tc>
        <w:tc>
          <w:tcPr>
            <w:tcW w:w="796"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02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860" w:type="dxa"/>
            <w:tcBorders/>
            <w:shd w:fill="FFFFFF" w:val="clear"/>
            <w:vAlign w:val="bottom"/>
          </w:tcPr>
          <w:p>
            <w:pPr>
              <w:pStyle w:val="TableContents"/>
              <w:spacing w:before="0" w:after="283"/>
              <w:jc w:val="right"/>
              <w:rPr/>
            </w:pPr>
            <w:r>
              <w:rPr/>
              <w:t xml:space="preserve">146,352 </w:t>
            </w:r>
          </w:p>
        </w:tc>
        <w:tc>
          <w:tcPr>
            <w:tcW w:w="120" w:type="dxa"/>
            <w:tcBorders/>
            <w:shd w:fill="FFFFFF" w:val="clear"/>
            <w:vAlign w:val="bottom"/>
          </w:tcPr>
          <w:p>
            <w:pPr>
              <w:pStyle w:val="TableContents"/>
              <w:spacing w:before="0" w:after="283"/>
              <w:jc w:val="left"/>
              <w:rPr/>
            </w:pPr>
            <w:r>
              <w:rPr/>
              <w:t xml:space="preserve">  </w:t>
            </w:r>
          </w:p>
        </w:tc>
      </w:tr>
      <w:tr>
        <w:trPr/>
        <w:tc>
          <w:tcPr>
            <w:tcW w:w="1355" w:type="dxa"/>
            <w:tcBorders/>
            <w:shd w:fill="CCEEFF" w:val="clear"/>
            <w:vAlign w:val="bottom"/>
          </w:tcPr>
          <w:p>
            <w:pPr>
              <w:pStyle w:val="TableContents"/>
              <w:spacing w:before="0" w:after="0"/>
              <w:ind w:left="200" w:right="0" w:hanging="200"/>
              <w:jc w:val="left"/>
              <w:rPr>
                <w:sz w:val="17"/>
              </w:rPr>
            </w:pPr>
            <w:r>
              <w:rPr>
                <w:sz w:val="17"/>
              </w:rPr>
              <w:t xml:space="preserve">Arthur L. Smith </w:t>
            </w:r>
          </w:p>
        </w:tc>
        <w:tc>
          <w:tcPr>
            <w:tcW w:w="60" w:type="dxa"/>
            <w:tcBorders/>
            <w:shd w:fill="CCEEFF" w:val="clear"/>
            <w:vAlign w:val="bottom"/>
          </w:tcPr>
          <w:p>
            <w:pPr>
              <w:pStyle w:val="TableContents"/>
              <w:spacing w:before="0" w:after="283"/>
              <w:rPr/>
            </w:pPr>
            <w:r>
              <w:rPr/>
              <w:t xml:space="preserve">  </w:t>
            </w:r>
          </w:p>
        </w:tc>
        <w:tc>
          <w:tcPr>
            <w:tcW w:w="180"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62,000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204,482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left"/>
              <w:rPr/>
            </w:pPr>
            <w:r>
              <w:rPr/>
              <w:t xml:space="preserve">  </w:t>
            </w:r>
          </w:p>
        </w:tc>
        <w:tc>
          <w:tcPr>
            <w:tcW w:w="796"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022"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573" w:type="dxa"/>
            <w:tcBorders/>
            <w:shd w:fill="CCEEFF" w:val="clear"/>
            <w:vAlign w:val="bottom"/>
          </w:tcPr>
          <w:p>
            <w:pPr>
              <w:pStyle w:val="TableContents"/>
              <w:spacing w:before="0" w:after="283"/>
              <w:jc w:val="left"/>
              <w:rPr/>
            </w:pPr>
            <w:r>
              <w:rPr/>
              <w:t xml:space="preserve">  </w:t>
            </w:r>
          </w:p>
        </w:tc>
        <w:tc>
          <w:tcPr>
            <w:tcW w:w="1247"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860" w:type="dxa"/>
            <w:tcBorders/>
            <w:shd w:fill="CCEEFF" w:val="clear"/>
            <w:vAlign w:val="bottom"/>
          </w:tcPr>
          <w:p>
            <w:pPr>
              <w:pStyle w:val="TableContents"/>
              <w:spacing w:before="0" w:after="283"/>
              <w:jc w:val="right"/>
              <w:rPr/>
            </w:pPr>
            <w:r>
              <w:rPr/>
              <w:t xml:space="preserve">266,482 </w:t>
            </w:r>
          </w:p>
        </w:tc>
        <w:tc>
          <w:tcPr>
            <w:tcW w:w="120" w:type="dxa"/>
            <w:tcBorders/>
            <w:shd w:fill="CCEEFF" w:val="clear"/>
            <w:vAlign w:val="bottom"/>
          </w:tcPr>
          <w:p>
            <w:pPr>
              <w:pStyle w:val="TableContents"/>
              <w:spacing w:before="0" w:after="283"/>
              <w:jc w:val="left"/>
              <w:rPr/>
            </w:pPr>
            <w:r>
              <w:rPr/>
              <w:t xml:space="preserve">  </w:t>
            </w:r>
          </w:p>
        </w:tc>
      </w:tr>
      <w:tr>
        <w:trPr/>
        <w:tc>
          <w:tcPr>
            <w:tcW w:w="1355" w:type="dxa"/>
            <w:tcBorders/>
            <w:shd w:fill="FFFFFF" w:val="clear"/>
            <w:vAlign w:val="bottom"/>
          </w:tcPr>
          <w:p>
            <w:pPr>
              <w:pStyle w:val="TableContents"/>
              <w:spacing w:before="0" w:after="0"/>
              <w:ind w:left="200" w:right="0" w:hanging="200"/>
              <w:jc w:val="left"/>
              <w:rPr>
                <w:sz w:val="17"/>
              </w:rPr>
            </w:pPr>
            <w:r>
              <w:rPr>
                <w:sz w:val="17"/>
              </w:rPr>
              <w:t xml:space="preserve">J. Taft Symonds </w:t>
            </w:r>
          </w:p>
        </w:tc>
        <w:tc>
          <w:tcPr>
            <w:tcW w:w="6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60,000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204,483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left"/>
              <w:rPr/>
            </w:pPr>
            <w:r>
              <w:rPr/>
              <w:t xml:space="preserve">  </w:t>
            </w:r>
          </w:p>
        </w:tc>
        <w:tc>
          <w:tcPr>
            <w:tcW w:w="796"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022"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573" w:type="dxa"/>
            <w:tcBorders/>
            <w:shd w:fill="FFFFFF" w:val="clear"/>
            <w:vAlign w:val="bottom"/>
          </w:tcPr>
          <w:p>
            <w:pPr>
              <w:pStyle w:val="TableContents"/>
              <w:spacing w:before="0" w:after="283"/>
              <w:jc w:val="left"/>
              <w:rPr/>
            </w:pPr>
            <w:r>
              <w:rPr/>
              <w:t xml:space="preserve">  </w:t>
            </w:r>
          </w:p>
        </w:tc>
        <w:tc>
          <w:tcPr>
            <w:tcW w:w="1247"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860" w:type="dxa"/>
            <w:tcBorders/>
            <w:shd w:fill="FFFFFF" w:val="clear"/>
            <w:vAlign w:val="bottom"/>
          </w:tcPr>
          <w:p>
            <w:pPr>
              <w:pStyle w:val="TableContents"/>
              <w:spacing w:before="0" w:after="283"/>
              <w:jc w:val="right"/>
              <w:rPr/>
            </w:pPr>
            <w:r>
              <w:rPr/>
              <w:t xml:space="preserve">264,483 </w:t>
            </w:r>
          </w:p>
        </w:tc>
        <w:tc>
          <w:tcPr>
            <w:tcW w:w="120"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During the last fiscal year, Messrs. Goyanes, Smith and Symonds were granted 2,500 units and Mr. Sinnott was granted 1,250 units, by virtue of the automatic re-grant of LTIP awards vested during the fiscal year. In addition, each member of the audit committee was awarded 5,000 units, which vest annually in 25% increments; these units are also subject to an automatic re-grant of the amount vested such that in each future fiscal year 1,250 units will simultaneous vest and be re-granted. Upon any vesting (other than the incremental audit committee awards), a cash equivalent payment is made to Vulcan Capital and an affiliate of EnCap as directed by Mr. Capobianco and Mr. Petersen, respectively. Each audit committee member (currently Messrs. Goyanes, Smith and Symonds) has 10,000 units outstanding. Because these awards are subject to an automatic re-grant of units upon any vesting, each audit committee member will always have outstanding an award of 10,000 units. Mr. Sinnott has 5,000 units outstanding, and because this award is subject to an automatic re-grant of units upon any vesting, Mr. Sinnott will always have outstanding an award of 5,000 units. The dollar value of these awards and other awards granted in prior years is presented in the table reflecting the dollar amount of compensation expense recognized by us for 2006. See Note 10 to our Consolidated Financial Statements for a discussion of the assumptions made in determining these amounts.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Mr. Capobianco assigns to Vulcan Capital any compensation attributable to his service as director. Mr. Petersen assigns to EnCap Energy Capital Fund III, L.P. any compensation attributable to his service as director.</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director of our general partner who is not an employee of our general partner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non-employee directors receive LTIP awards or cash equivalent awards as part of their compensation. The LTIP awards vest annually in 25% increments over a four-year period and have an automatic re-grant feature such that as they vest, an equivalent amount is granted. The three non-employee directors who serve on our audit committee each received a grant of 10,000 units (vesting 2,500 units per year). Mr. Sinnott received a grant of 5,000 units (vesting 1,250 per year). Mr. Petersen and Mr. Capobianco each have assigned all director compensation to an affiliate of the GP LLC member that appointed him as a director. Such affiliates receive an annual cash payment equivalent in value to the annual vesting of Mr. Sinnotts award.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LTIP awards held by a director will vest in full upon the next vesting date after the death or disability (as determined in good faith by the board) of the director. For any independent directors (as defined in the GP LLC Agreement, and currently including Messrs. Goyanes, Smith and Symonds), the awards will also vest in full if such director (i) retires (no longer with full-time employment and no longer serving as an officer or director of any public company) or (ii) is removed from the Board or is not reelected to the Board, unless such removal or failure to reelect is for good cause, as defined in the letter granting the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Reimbursement of Expenses of Our General Partner and its Affiliates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pay our general partner a management fee, but we do reimburse our general partner for all expenses incurred on our behalf, including the costs of employee, officer and director compensation and benefits, as well as all other expenses necessary or appropriate to the conduct of our business. Our partnership agreement provides that our general partner will determine the expenses that are allocable to us in any reasonable manner determined by our general partner in its sole discretion. See Item 13. Certain Relationships and Related Transactions, and Director Independence  Our General Partner.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bookmarkStart w:id="21" w:name="119"/>
      <w:bookmarkEnd w:id="21"/>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12.  </w:t>
            </w:r>
            <w:r>
              <w:rPr/>
              <w:t xml:space="preserve"> </w:t>
            </w:r>
          </w:p>
        </w:tc>
        <w:tc>
          <w:tcPr>
            <w:tcW w:w="9288" w:type="dxa"/>
            <w:tcBorders/>
            <w:shd w:fill="FFFFFF" w:val="clear"/>
          </w:tcPr>
          <w:p>
            <w:pPr>
              <w:pStyle w:val="TableContents"/>
              <w:spacing w:before="0" w:after="283"/>
              <w:rPr/>
            </w:pPr>
            <w:r>
              <w:rPr>
                <w:rFonts w:ascii="Times New Roman;Times" w:hAnsi="Times New Roman;Times"/>
                <w:b/>
                <w:i/>
              </w:rPr>
              <w:t>Security Ownership of Certain Beneficial Owners and Management and Related Unitholder Matters</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Beneficial Ownership of Limited Partner Interest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common units outstanding represent 98% of our equity (limited partner interest). The 2% general partner interest is discussed separately below under 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20, 2007.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528"/>
        <w:gridCol w:w="137"/>
        <w:gridCol w:w="154"/>
        <w:gridCol w:w="1431"/>
        <w:gridCol w:w="891"/>
        <w:gridCol w:w="379"/>
        <w:gridCol w:w="251"/>
        <w:gridCol w:w="1125"/>
        <w:gridCol w:w="309"/>
      </w:tblGrid>
      <w:tr>
        <w:trPr/>
        <w:tc>
          <w:tcPr>
            <w:tcW w:w="5528"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pPr>
            <w:r>
              <w:rPr/>
              <w:t> </w:t>
            </w:r>
          </w:p>
        </w:tc>
        <w:tc>
          <w:tcPr>
            <w:tcW w:w="1431" w:type="dxa"/>
            <w:tcBorders/>
            <w:shd w:fill="FFFFFF" w:val="clear"/>
            <w:vAlign w:val="bottom"/>
          </w:tcPr>
          <w:p>
            <w:pPr>
              <w:pStyle w:val="TableContents"/>
              <w:spacing w:before="0" w:after="283"/>
              <w:jc w:val="right"/>
              <w:rPr/>
            </w:pPr>
            <w:r>
              <w:rPr/>
              <w:t> </w:t>
            </w:r>
          </w:p>
        </w:tc>
        <w:tc>
          <w:tcPr>
            <w:tcW w:w="891" w:type="dxa"/>
            <w:tcBorders/>
            <w:shd w:fill="FFFFFF" w:val="clear"/>
            <w:vAlign w:val="bottom"/>
          </w:tcPr>
          <w:p>
            <w:pPr>
              <w:pStyle w:val="TableContents"/>
              <w:spacing w:before="0" w:after="283"/>
              <w:jc w:val="left"/>
              <w:rPr/>
            </w:pPr>
            <w:r>
              <w:rPr/>
              <w:t> </w:t>
            </w:r>
          </w:p>
        </w:tc>
        <w:tc>
          <w:tcPr>
            <w:tcW w:w="379"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125" w:type="dxa"/>
            <w:tcBorders/>
            <w:shd w:fill="FFFFFF" w:val="clear"/>
            <w:vAlign w:val="bottom"/>
          </w:tcPr>
          <w:p>
            <w:pPr>
              <w:pStyle w:val="TableContents"/>
              <w:spacing w:before="0" w:after="283"/>
              <w:jc w:val="right"/>
              <w:rPr/>
            </w:pPr>
            <w:r>
              <w:rPr/>
              <w:t> </w:t>
            </w:r>
          </w:p>
        </w:tc>
        <w:tc>
          <w:tcPr>
            <w:tcW w:w="309" w:type="dxa"/>
            <w:tcBorders/>
            <w:shd w:fill="FFFFFF" w:val="clear"/>
            <w:vAlign w:val="bottom"/>
          </w:tcPr>
          <w:p>
            <w:pPr>
              <w:pStyle w:val="TableContents"/>
              <w:spacing w:before="0" w:after="283"/>
              <w:jc w:val="left"/>
              <w:rPr/>
            </w:pPr>
            <w:r>
              <w:rPr/>
              <w:t> </w:t>
            </w:r>
          </w:p>
        </w:tc>
      </w:tr>
      <w:tr>
        <w:trPr/>
        <w:tc>
          <w:tcPr>
            <w:tcW w:w="5528" w:type="dxa"/>
            <w:tcBorders/>
            <w:shd w:fill="FFFFFF" w:val="clear"/>
            <w:vAlign w:val="bottom"/>
          </w:tcPr>
          <w:p>
            <w:pPr>
              <w:pStyle w:val="TableContents"/>
              <w:spacing w:before="0" w:after="283"/>
              <w:jc w:val="left"/>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585" w:type="dxa"/>
            <w:gridSpan w:val="2"/>
            <w:tcBorders/>
            <w:shd w:fill="FFFFFF" w:val="clear"/>
            <w:vAlign w:val="bottom"/>
          </w:tcPr>
          <w:p>
            <w:pPr>
              <w:pStyle w:val="TableContents"/>
              <w:spacing w:before="0" w:after="283"/>
              <w:jc w:val="center"/>
              <w:rPr/>
            </w:pPr>
            <w:r>
              <w:rPr/>
              <w:t xml:space="preserve">  </w:t>
            </w:r>
          </w:p>
        </w:tc>
        <w:tc>
          <w:tcPr>
            <w:tcW w:w="891" w:type="dxa"/>
            <w:tcBorders/>
            <w:shd w:fill="FFFFFF" w:val="clear"/>
            <w:vAlign w:val="bottom"/>
          </w:tcPr>
          <w:p>
            <w:pPr>
              <w:pStyle w:val="TableContents"/>
              <w:spacing w:before="0" w:after="283"/>
              <w:jc w:val="center"/>
              <w:rPr/>
            </w:pPr>
            <w:r>
              <w:rPr/>
              <w:t xml:space="preserve">  </w:t>
            </w:r>
          </w:p>
        </w:tc>
        <w:tc>
          <w:tcPr>
            <w:tcW w:w="379" w:type="dxa"/>
            <w:tcBorders/>
            <w:shd w:fill="FFFFFF" w:val="clear"/>
            <w:vAlign w:val="bottom"/>
          </w:tcPr>
          <w:p>
            <w:pPr>
              <w:pStyle w:val="TableContents"/>
              <w:spacing w:before="0" w:after="283"/>
              <w:jc w:val="center"/>
              <w:rPr/>
            </w:pPr>
            <w:r>
              <w:rPr/>
              <w:t xml:space="preserve">  </w:t>
            </w:r>
          </w:p>
        </w:tc>
        <w:tc>
          <w:tcPr>
            <w:tcW w:w="1376" w:type="dxa"/>
            <w:gridSpan w:val="2"/>
            <w:tcBorders/>
            <w:shd w:fill="FFFFFF" w:val="clear"/>
            <w:vAlign w:val="bottom"/>
          </w:tcPr>
          <w:p>
            <w:pPr>
              <w:pStyle w:val="TableContents"/>
              <w:spacing w:before="0" w:after="283"/>
              <w:jc w:val="center"/>
              <w:rPr>
                <w:b/>
              </w:rPr>
            </w:pPr>
            <w:r>
              <w:rPr>
                <w:b/>
              </w:rPr>
              <w:t>Percentage</w:t>
            </w:r>
          </w:p>
        </w:tc>
        <w:tc>
          <w:tcPr>
            <w:tcW w:w="309" w:type="dxa"/>
            <w:tcBorders/>
            <w:shd w:fill="FFFFFF" w:val="clear"/>
            <w:vAlign w:val="bottom"/>
          </w:tcPr>
          <w:p>
            <w:pPr>
              <w:pStyle w:val="TableContents"/>
              <w:spacing w:before="0" w:after="283"/>
              <w:jc w:val="center"/>
              <w:rPr/>
            </w:pPr>
            <w:r>
              <w:rPr/>
              <w:t xml:space="preserve">  </w:t>
            </w:r>
          </w:p>
        </w:tc>
      </w:tr>
      <w:tr>
        <w:trPr/>
        <w:tc>
          <w:tcPr>
            <w:tcW w:w="5528" w:type="dxa"/>
            <w:tcBorders/>
            <w:shd w:fill="FFFFFF" w:val="clear"/>
            <w:vAlign w:val="bottom"/>
          </w:tcPr>
          <w:p>
            <w:pPr>
              <w:pStyle w:val="TableContents"/>
              <w:spacing w:before="0" w:after="283"/>
              <w:jc w:val="left"/>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585" w:type="dxa"/>
            <w:gridSpan w:val="2"/>
            <w:tcBorders/>
            <w:shd w:fill="FFFFFF" w:val="clear"/>
            <w:vAlign w:val="bottom"/>
          </w:tcPr>
          <w:p>
            <w:pPr>
              <w:pStyle w:val="TableContents"/>
              <w:spacing w:before="0" w:after="283"/>
              <w:jc w:val="center"/>
              <w:rPr/>
            </w:pPr>
            <w:r>
              <w:rPr/>
              <w:t xml:space="preserve">  </w:t>
            </w:r>
          </w:p>
        </w:tc>
        <w:tc>
          <w:tcPr>
            <w:tcW w:w="891" w:type="dxa"/>
            <w:tcBorders/>
            <w:shd w:fill="FFFFFF" w:val="clear"/>
            <w:vAlign w:val="bottom"/>
          </w:tcPr>
          <w:p>
            <w:pPr>
              <w:pStyle w:val="TableContents"/>
              <w:spacing w:before="0" w:after="283"/>
              <w:jc w:val="center"/>
              <w:rPr/>
            </w:pPr>
            <w:r>
              <w:rPr/>
              <w:t xml:space="preserve">  </w:t>
            </w:r>
          </w:p>
        </w:tc>
        <w:tc>
          <w:tcPr>
            <w:tcW w:w="379" w:type="dxa"/>
            <w:tcBorders/>
            <w:shd w:fill="FFFFFF" w:val="clear"/>
            <w:vAlign w:val="bottom"/>
          </w:tcPr>
          <w:p>
            <w:pPr>
              <w:pStyle w:val="TableContents"/>
              <w:spacing w:before="0" w:after="283"/>
              <w:jc w:val="center"/>
              <w:rPr/>
            </w:pPr>
            <w:r>
              <w:rPr/>
              <w:t xml:space="preserve">  </w:t>
            </w:r>
          </w:p>
        </w:tc>
        <w:tc>
          <w:tcPr>
            <w:tcW w:w="1376" w:type="dxa"/>
            <w:gridSpan w:val="2"/>
            <w:tcBorders/>
            <w:shd w:fill="FFFFFF" w:val="clear"/>
            <w:vAlign w:val="bottom"/>
          </w:tcPr>
          <w:p>
            <w:pPr>
              <w:pStyle w:val="TableContents"/>
              <w:spacing w:before="0" w:after="283"/>
              <w:jc w:val="center"/>
              <w:rPr>
                <w:b/>
              </w:rPr>
            </w:pPr>
            <w:r>
              <w:rPr>
                <w:b/>
              </w:rPr>
              <w:t>of</w:t>
            </w:r>
          </w:p>
        </w:tc>
        <w:tc>
          <w:tcPr>
            <w:tcW w:w="309" w:type="dxa"/>
            <w:tcBorders/>
            <w:shd w:fill="FFFFFF" w:val="clear"/>
            <w:vAlign w:val="bottom"/>
          </w:tcPr>
          <w:p>
            <w:pPr>
              <w:pStyle w:val="TableContents"/>
              <w:spacing w:before="0" w:after="283"/>
              <w:jc w:val="center"/>
              <w:rPr/>
            </w:pPr>
            <w:r>
              <w:rPr/>
              <w:t xml:space="preserve">  </w:t>
            </w:r>
          </w:p>
        </w:tc>
      </w:tr>
      <w:tr>
        <w:trPr/>
        <w:tc>
          <w:tcPr>
            <w:tcW w:w="5528" w:type="dxa"/>
            <w:tcBorders/>
            <w:shd w:fill="FFFFFF" w:val="clear"/>
            <w:vAlign w:val="bottom"/>
          </w:tcPr>
          <w:p>
            <w:pPr>
              <w:pStyle w:val="TableContents"/>
              <w:spacing w:before="0" w:after="283"/>
              <w:jc w:val="left"/>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585" w:type="dxa"/>
            <w:gridSpan w:val="2"/>
            <w:tcBorders/>
            <w:shd w:fill="FFFFFF" w:val="clear"/>
            <w:vAlign w:val="bottom"/>
          </w:tcPr>
          <w:p>
            <w:pPr>
              <w:pStyle w:val="TableContents"/>
              <w:spacing w:before="0" w:after="283"/>
              <w:jc w:val="center"/>
              <w:rPr>
                <w:b/>
              </w:rPr>
            </w:pPr>
            <w:r>
              <w:rPr>
                <w:b/>
              </w:rPr>
              <w:t>Common</w:t>
            </w:r>
          </w:p>
        </w:tc>
        <w:tc>
          <w:tcPr>
            <w:tcW w:w="891" w:type="dxa"/>
            <w:tcBorders/>
            <w:shd w:fill="FFFFFF" w:val="clear"/>
            <w:vAlign w:val="bottom"/>
          </w:tcPr>
          <w:p>
            <w:pPr>
              <w:pStyle w:val="TableContents"/>
              <w:spacing w:before="0" w:after="283"/>
              <w:jc w:val="center"/>
              <w:rPr/>
            </w:pPr>
            <w:r>
              <w:rPr/>
              <w:t xml:space="preserve">  </w:t>
            </w:r>
          </w:p>
        </w:tc>
        <w:tc>
          <w:tcPr>
            <w:tcW w:w="379" w:type="dxa"/>
            <w:tcBorders/>
            <w:shd w:fill="FFFFFF" w:val="clear"/>
            <w:vAlign w:val="bottom"/>
          </w:tcPr>
          <w:p>
            <w:pPr>
              <w:pStyle w:val="TableContents"/>
              <w:spacing w:before="0" w:after="283"/>
              <w:jc w:val="center"/>
              <w:rPr/>
            </w:pPr>
            <w:r>
              <w:rPr/>
              <w:t xml:space="preserve">  </w:t>
            </w:r>
          </w:p>
        </w:tc>
        <w:tc>
          <w:tcPr>
            <w:tcW w:w="1376" w:type="dxa"/>
            <w:gridSpan w:val="2"/>
            <w:tcBorders/>
            <w:shd w:fill="FFFFFF" w:val="clear"/>
            <w:vAlign w:val="bottom"/>
          </w:tcPr>
          <w:p>
            <w:pPr>
              <w:pStyle w:val="TableContents"/>
              <w:spacing w:before="0" w:after="283"/>
              <w:jc w:val="center"/>
              <w:rPr>
                <w:b/>
              </w:rPr>
            </w:pPr>
            <w:r>
              <w:rPr>
                <w:b/>
              </w:rPr>
              <w:t>Common</w:t>
            </w:r>
          </w:p>
        </w:tc>
        <w:tc>
          <w:tcPr>
            <w:tcW w:w="309" w:type="dxa"/>
            <w:tcBorders/>
            <w:shd w:fill="FFFFFF" w:val="clear"/>
            <w:vAlign w:val="bottom"/>
          </w:tcPr>
          <w:p>
            <w:pPr>
              <w:pStyle w:val="TableContents"/>
              <w:spacing w:before="0" w:after="283"/>
              <w:jc w:val="center"/>
              <w:rPr/>
            </w:pPr>
            <w:r>
              <w:rPr/>
              <w:t xml:space="preserve">  </w:t>
            </w:r>
          </w:p>
        </w:tc>
      </w:tr>
      <w:tr>
        <w:trPr/>
        <w:tc>
          <w:tcPr>
            <w:tcW w:w="5528" w:type="dxa"/>
            <w:tcBorders/>
            <w:shd w:fill="FFFFFF" w:val="clear"/>
            <w:vAlign w:val="bottom"/>
          </w:tcPr>
          <w:p>
            <w:pPr>
              <w:pStyle w:val="TableContents"/>
              <w:spacing w:before="0" w:after="0"/>
              <w:jc w:val="left"/>
              <w:rPr>
                <w:bdr w:val="single" w:sz="2" w:space="1" w:color="000000"/>
              </w:rPr>
            </w:pPr>
            <w:r>
              <w:rPr>
                <w:b/>
                <w:bdr w:val="single" w:sz="2" w:space="1" w:color="000000"/>
              </w:rPr>
              <w:t>Name of Beneficial Owner</w:t>
            </w:r>
            <w:r>
              <w:rPr>
                <w:bdr w:val="single" w:sz="2" w:space="1" w:color="000000"/>
              </w:rPr>
              <w:t xml:space="preserve"> </w:t>
            </w:r>
          </w:p>
        </w:tc>
        <w:tc>
          <w:tcPr>
            <w:tcW w:w="137" w:type="dxa"/>
            <w:tcBorders/>
            <w:shd w:fill="FFFFFF" w:val="clear"/>
            <w:vAlign w:val="bottom"/>
          </w:tcPr>
          <w:p>
            <w:pPr>
              <w:pStyle w:val="TableContents"/>
              <w:spacing w:before="0" w:after="283"/>
              <w:jc w:val="center"/>
              <w:rPr/>
            </w:pPr>
            <w:r>
              <w:rPr/>
              <w:t xml:space="preserve">  </w:t>
            </w:r>
          </w:p>
        </w:tc>
        <w:tc>
          <w:tcPr>
            <w:tcW w:w="15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891" w:type="dxa"/>
            <w:tcBorders/>
            <w:shd w:fill="FFFFFF" w:val="clear"/>
            <w:vAlign w:val="bottom"/>
          </w:tcPr>
          <w:p>
            <w:pPr>
              <w:pStyle w:val="TableContents"/>
              <w:spacing w:before="0" w:after="283"/>
              <w:jc w:val="center"/>
              <w:rPr/>
            </w:pPr>
            <w:r>
              <w:rPr/>
              <w:t xml:space="preserve">  </w:t>
            </w:r>
          </w:p>
        </w:tc>
        <w:tc>
          <w:tcPr>
            <w:tcW w:w="379" w:type="dxa"/>
            <w:tcBorders/>
            <w:shd w:fill="FFFFFF" w:val="clear"/>
            <w:vAlign w:val="bottom"/>
          </w:tcPr>
          <w:p>
            <w:pPr>
              <w:pStyle w:val="TableContents"/>
              <w:spacing w:before="0" w:after="283"/>
              <w:jc w:val="center"/>
              <w:rPr/>
            </w:pPr>
            <w:r>
              <w:rPr/>
              <w:t xml:space="preserve">  </w:t>
            </w:r>
          </w:p>
        </w:tc>
        <w:tc>
          <w:tcPr>
            <w:tcW w:w="137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Units(1)</w:t>
            </w:r>
            <w:r>
              <w:rPr/>
              <w:t xml:space="preserve"> </w:t>
            </w:r>
          </w:p>
        </w:tc>
        <w:tc>
          <w:tcPr>
            <w:tcW w:w="309" w:type="dxa"/>
            <w:tcBorders/>
            <w:shd w:fill="FFFFFF" w:val="clear"/>
            <w:vAlign w:val="bottom"/>
          </w:tcPr>
          <w:p>
            <w:pPr>
              <w:pStyle w:val="TableContents"/>
              <w:spacing w:before="0" w:after="283"/>
              <w:jc w:val="center"/>
              <w:rPr/>
            </w:pPr>
            <w:r>
              <w:rPr/>
              <w:t xml:space="preserve">  </w:t>
            </w:r>
          </w:p>
        </w:tc>
      </w:tr>
      <w:tr>
        <w:trPr/>
        <w:tc>
          <w:tcPr>
            <w:tcW w:w="5528" w:type="dxa"/>
            <w:tcBorders/>
            <w:shd w:fill="FFFFFF" w:val="clear"/>
            <w:vAlign w:val="center"/>
          </w:tcPr>
          <w:p>
            <w:pPr>
              <w:pStyle w:val="TableContents"/>
              <w:spacing w:before="0" w:after="283"/>
              <w:rPr/>
            </w:pPr>
            <w:r>
              <w:rPr/>
              <w:t xml:space="preserve">  </w:t>
            </w:r>
          </w:p>
        </w:tc>
        <w:tc>
          <w:tcPr>
            <w:tcW w:w="4677" w:type="dxa"/>
            <w:gridSpan w:val="8"/>
            <w:tcBorders/>
            <w:shd w:fill="FFFFFF" w:val="clear"/>
          </w:tcPr>
          <w:p>
            <w:pPr>
              <w:pStyle w:val="TableContents"/>
              <w:spacing w:before="0" w:after="283"/>
              <w:rPr>
                <w:sz w:val="4"/>
                <w:szCs w:val="4"/>
              </w:rPr>
            </w:pPr>
            <w:r>
              <w:rPr>
                <w:sz w:val="4"/>
                <w:szCs w:val="4"/>
              </w:rPr>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Paul G. Allen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14,386,074 </w:t>
            </w:r>
          </w:p>
        </w:tc>
        <w:tc>
          <w:tcPr>
            <w:tcW w:w="891" w:type="dxa"/>
            <w:tcBorders/>
            <w:shd w:fill="CCEEFF" w:val="clear"/>
            <w:vAlign w:val="bottom"/>
          </w:tcPr>
          <w:p>
            <w:pPr>
              <w:pStyle w:val="TableContents"/>
              <w:spacing w:before="0" w:after="283"/>
              <w:jc w:val="left"/>
              <w:rPr/>
            </w:pPr>
            <w:r>
              <w:rPr/>
              <w:t xml:space="preserve">(2)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13.1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Vulcan Energy Corporation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12,390,120 </w:t>
            </w:r>
          </w:p>
        </w:tc>
        <w:tc>
          <w:tcPr>
            <w:tcW w:w="891" w:type="dxa"/>
            <w:tcBorders/>
            <w:shd w:fill="FFFFFF" w:val="clear"/>
            <w:vAlign w:val="bottom"/>
          </w:tcPr>
          <w:p>
            <w:pPr>
              <w:pStyle w:val="TableContents"/>
              <w:spacing w:before="0" w:after="283"/>
              <w:jc w:val="left"/>
              <w:rPr/>
            </w:pPr>
            <w:r>
              <w:rPr/>
              <w:t xml:space="preserve">(3)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11.3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Richard Kayne/Kayne Anderson Capital Advisors, L.P.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9,238,534 </w:t>
            </w:r>
          </w:p>
        </w:tc>
        <w:tc>
          <w:tcPr>
            <w:tcW w:w="891" w:type="dxa"/>
            <w:tcBorders/>
            <w:shd w:fill="CCEEFF" w:val="clear"/>
            <w:vAlign w:val="bottom"/>
          </w:tcPr>
          <w:p>
            <w:pPr>
              <w:pStyle w:val="TableContents"/>
              <w:spacing w:before="0" w:after="283"/>
              <w:jc w:val="left"/>
              <w:rPr/>
            </w:pPr>
            <w:r>
              <w:rPr/>
              <w:t xml:space="preserve">(4)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8.4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Greg L. Armstrong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253,412 </w:t>
            </w:r>
          </w:p>
        </w:tc>
        <w:tc>
          <w:tcPr>
            <w:tcW w:w="891" w:type="dxa"/>
            <w:tcBorders/>
            <w:shd w:fill="FFFFFF" w:val="clear"/>
            <w:vAlign w:val="bottom"/>
          </w:tcPr>
          <w:p>
            <w:pPr>
              <w:pStyle w:val="TableContents"/>
              <w:spacing w:before="0" w:after="283"/>
              <w:jc w:val="left"/>
              <w:rPr/>
            </w:pPr>
            <w:r>
              <w:rPr/>
              <w:t xml:space="preserve">(5)(6)(7)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Harry N. Pefanis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146,567 </w:t>
            </w:r>
          </w:p>
        </w:tc>
        <w:tc>
          <w:tcPr>
            <w:tcW w:w="891" w:type="dxa"/>
            <w:tcBorders/>
            <w:shd w:fill="CCEEFF" w:val="clear"/>
            <w:vAlign w:val="bottom"/>
          </w:tcPr>
          <w:p>
            <w:pPr>
              <w:pStyle w:val="TableContents"/>
              <w:spacing w:before="0" w:after="283"/>
              <w:jc w:val="left"/>
              <w:rPr/>
            </w:pPr>
            <w:r>
              <w:rPr/>
              <w:t xml:space="preserve">(6)(7)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Phillip D. Kramer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98,370 </w:t>
            </w:r>
          </w:p>
        </w:tc>
        <w:tc>
          <w:tcPr>
            <w:tcW w:w="891" w:type="dxa"/>
            <w:tcBorders/>
            <w:shd w:fill="FFFFFF" w:val="clear"/>
            <w:vAlign w:val="bottom"/>
          </w:tcPr>
          <w:p>
            <w:pPr>
              <w:pStyle w:val="TableContents"/>
              <w:spacing w:before="0" w:after="283"/>
              <w:jc w:val="left"/>
              <w:rPr/>
            </w:pPr>
            <w:r>
              <w:rPr/>
              <w:t xml:space="preserve">(6)(7)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George R. Coiner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58,126 </w:t>
            </w:r>
          </w:p>
        </w:tc>
        <w:tc>
          <w:tcPr>
            <w:tcW w:w="891" w:type="dxa"/>
            <w:tcBorders/>
            <w:shd w:fill="CCEEFF" w:val="clear"/>
            <w:vAlign w:val="bottom"/>
          </w:tcPr>
          <w:p>
            <w:pPr>
              <w:pStyle w:val="TableContents"/>
              <w:spacing w:before="0" w:after="283"/>
              <w:jc w:val="left"/>
              <w:rPr/>
            </w:pPr>
            <w:r>
              <w:rPr/>
              <w:t xml:space="preserve">(6)(7)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John P. vonBerg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 </w:t>
            </w:r>
          </w:p>
        </w:tc>
        <w:tc>
          <w:tcPr>
            <w:tcW w:w="891" w:type="dxa"/>
            <w:tcBorders/>
            <w:shd w:fill="FFFFFF" w:val="clear"/>
            <w:vAlign w:val="bottom"/>
          </w:tcPr>
          <w:p>
            <w:pPr>
              <w:pStyle w:val="TableContents"/>
              <w:spacing w:before="0" w:after="283"/>
              <w:jc w:val="left"/>
              <w:rPr/>
            </w:pPr>
            <w:r>
              <w:rPr/>
              <w:t xml:space="preserve">(6)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David N. Capobianco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 </w:t>
            </w:r>
          </w:p>
        </w:tc>
        <w:tc>
          <w:tcPr>
            <w:tcW w:w="891" w:type="dxa"/>
            <w:tcBorders/>
            <w:shd w:fill="CCEEFF" w:val="clear"/>
            <w:vAlign w:val="bottom"/>
          </w:tcPr>
          <w:p>
            <w:pPr>
              <w:pStyle w:val="TableContents"/>
              <w:spacing w:before="0" w:after="283"/>
              <w:jc w:val="left"/>
              <w:rPr/>
            </w:pPr>
            <w:r>
              <w:rPr/>
              <w:t xml:space="preserve">(9)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Everardo Goyanes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11,200 </w:t>
            </w:r>
          </w:p>
        </w:tc>
        <w:tc>
          <w:tcPr>
            <w:tcW w:w="891" w:type="dxa"/>
            <w:tcBorders/>
            <w:shd w:fill="FFFFFF" w:val="clear"/>
            <w:vAlign w:val="bottom"/>
          </w:tcPr>
          <w:p>
            <w:pPr>
              <w:pStyle w:val="TableContents"/>
              <w:spacing w:before="0" w:after="283"/>
              <w:jc w:val="left"/>
              <w:rPr/>
            </w:pPr>
            <w:r>
              <w:rPr/>
              <w:t xml:space="preserve">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Gary R. Petersen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5,200 </w:t>
            </w:r>
          </w:p>
        </w:tc>
        <w:tc>
          <w:tcPr>
            <w:tcW w:w="891" w:type="dxa"/>
            <w:tcBorders/>
            <w:shd w:fill="CCEEFF" w:val="clear"/>
            <w:vAlign w:val="bottom"/>
          </w:tcPr>
          <w:p>
            <w:pPr>
              <w:pStyle w:val="TableContents"/>
              <w:spacing w:before="0" w:after="283"/>
              <w:jc w:val="left"/>
              <w:rPr/>
            </w:pPr>
            <w:r>
              <w:rPr/>
              <w:t xml:space="preserve">(10)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Robert V. Sinnott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16,250 </w:t>
            </w:r>
          </w:p>
        </w:tc>
        <w:tc>
          <w:tcPr>
            <w:tcW w:w="891" w:type="dxa"/>
            <w:tcBorders/>
            <w:shd w:fill="FFFFFF" w:val="clear"/>
            <w:vAlign w:val="bottom"/>
          </w:tcPr>
          <w:p>
            <w:pPr>
              <w:pStyle w:val="TableContents"/>
              <w:spacing w:before="0" w:after="283"/>
              <w:jc w:val="left"/>
              <w:rPr/>
            </w:pPr>
            <w:r>
              <w:rPr/>
              <w:t xml:space="preserve">(11)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Arthur L. Smith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13,350 </w:t>
            </w:r>
          </w:p>
        </w:tc>
        <w:tc>
          <w:tcPr>
            <w:tcW w:w="891" w:type="dxa"/>
            <w:tcBorders/>
            <w:shd w:fill="CCEEFF" w:val="clear"/>
            <w:vAlign w:val="bottom"/>
          </w:tcPr>
          <w:p>
            <w:pPr>
              <w:pStyle w:val="TableContents"/>
              <w:spacing w:before="0" w:after="283"/>
              <w:jc w:val="left"/>
              <w:rPr/>
            </w:pPr>
            <w:r>
              <w:rPr/>
              <w:t xml:space="preserve">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r>
        <w:trPr/>
        <w:tc>
          <w:tcPr>
            <w:tcW w:w="5528" w:type="dxa"/>
            <w:tcBorders/>
            <w:shd w:fill="FFFFFF" w:val="clear"/>
            <w:vAlign w:val="bottom"/>
          </w:tcPr>
          <w:p>
            <w:pPr>
              <w:pStyle w:val="TableContents"/>
              <w:spacing w:before="0" w:after="0"/>
              <w:ind w:left="200" w:right="0" w:hanging="200"/>
              <w:jc w:val="left"/>
              <w:rPr>
                <w:sz w:val="17"/>
              </w:rPr>
            </w:pPr>
            <w:r>
              <w:rPr>
                <w:sz w:val="17"/>
              </w:rPr>
              <w:t xml:space="preserve">J. Taft Symonds </w:t>
            </w:r>
          </w:p>
        </w:tc>
        <w:tc>
          <w:tcPr>
            <w:tcW w:w="137"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1431" w:type="dxa"/>
            <w:tcBorders/>
            <w:shd w:fill="FFFFFF" w:val="clear"/>
            <w:vAlign w:val="bottom"/>
          </w:tcPr>
          <w:p>
            <w:pPr>
              <w:pStyle w:val="TableContents"/>
              <w:spacing w:before="0" w:after="283"/>
              <w:jc w:val="right"/>
              <w:rPr/>
            </w:pPr>
            <w:r>
              <w:rPr/>
              <w:t xml:space="preserve">22,500 </w:t>
            </w:r>
          </w:p>
        </w:tc>
        <w:tc>
          <w:tcPr>
            <w:tcW w:w="891" w:type="dxa"/>
            <w:tcBorders/>
            <w:shd w:fill="FFFFFF" w:val="clear"/>
            <w:vAlign w:val="bottom"/>
          </w:tcPr>
          <w:p>
            <w:pPr>
              <w:pStyle w:val="TableContents"/>
              <w:spacing w:before="0" w:after="283"/>
              <w:jc w:val="left"/>
              <w:rPr/>
            </w:pPr>
            <w:r>
              <w:rPr/>
              <w:t xml:space="preserve">  </w:t>
            </w:r>
          </w:p>
        </w:tc>
        <w:tc>
          <w:tcPr>
            <w:tcW w:w="379"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jc w:val="left"/>
              <w:rPr/>
            </w:pPr>
            <w:r>
              <w:rPr/>
              <w:t xml:space="preserve">  </w:t>
            </w:r>
          </w:p>
        </w:tc>
        <w:tc>
          <w:tcPr>
            <w:tcW w:w="1125" w:type="dxa"/>
            <w:tcBorders/>
            <w:shd w:fill="FFFFFF" w:val="clear"/>
            <w:vAlign w:val="bottom"/>
          </w:tcPr>
          <w:p>
            <w:pPr>
              <w:pStyle w:val="TableContents"/>
              <w:spacing w:before="0" w:after="283"/>
              <w:jc w:val="right"/>
              <w:rPr/>
            </w:pPr>
            <w:r>
              <w:rPr/>
              <w:t xml:space="preserve">(8 </w:t>
            </w:r>
          </w:p>
        </w:tc>
        <w:tc>
          <w:tcPr>
            <w:tcW w:w="309" w:type="dxa"/>
            <w:tcBorders/>
            <w:shd w:fill="FFFFFF" w:val="clear"/>
            <w:vAlign w:val="bottom"/>
          </w:tcPr>
          <w:p>
            <w:pPr>
              <w:pStyle w:val="TableContents"/>
              <w:spacing w:before="0" w:after="283"/>
              <w:jc w:val="left"/>
              <w:rPr/>
            </w:pPr>
            <w:r>
              <w:rPr/>
              <w:t xml:space="preserve">) </w:t>
            </w:r>
          </w:p>
        </w:tc>
      </w:tr>
      <w:tr>
        <w:trPr/>
        <w:tc>
          <w:tcPr>
            <w:tcW w:w="5528" w:type="dxa"/>
            <w:tcBorders/>
            <w:shd w:fill="CCEEFF" w:val="clear"/>
            <w:vAlign w:val="bottom"/>
          </w:tcPr>
          <w:p>
            <w:pPr>
              <w:pStyle w:val="TableContents"/>
              <w:spacing w:before="0" w:after="0"/>
              <w:ind w:left="200" w:right="0" w:hanging="200"/>
              <w:jc w:val="left"/>
              <w:rPr>
                <w:sz w:val="17"/>
              </w:rPr>
            </w:pPr>
            <w:r>
              <w:rPr>
                <w:sz w:val="17"/>
              </w:rPr>
              <w:t xml:space="preserve">All directors and executive officers as a group (15 persons) </w:t>
            </w:r>
          </w:p>
        </w:tc>
        <w:tc>
          <w:tcPr>
            <w:tcW w:w="137"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1431" w:type="dxa"/>
            <w:tcBorders/>
            <w:shd w:fill="CCEEFF" w:val="clear"/>
            <w:vAlign w:val="bottom"/>
          </w:tcPr>
          <w:p>
            <w:pPr>
              <w:pStyle w:val="TableContents"/>
              <w:spacing w:before="0" w:after="283"/>
              <w:jc w:val="right"/>
              <w:rPr/>
            </w:pPr>
            <w:r>
              <w:rPr/>
              <w:t xml:space="preserve">811,120 </w:t>
            </w:r>
          </w:p>
        </w:tc>
        <w:tc>
          <w:tcPr>
            <w:tcW w:w="891" w:type="dxa"/>
            <w:tcBorders/>
            <w:shd w:fill="CCEEFF" w:val="clear"/>
            <w:vAlign w:val="bottom"/>
          </w:tcPr>
          <w:p>
            <w:pPr>
              <w:pStyle w:val="TableContents"/>
              <w:spacing w:before="0" w:after="283"/>
              <w:jc w:val="left"/>
              <w:rPr/>
            </w:pPr>
            <w:r>
              <w:rPr/>
              <w:t xml:space="preserve">(7)(12) </w:t>
            </w:r>
          </w:p>
        </w:tc>
        <w:tc>
          <w:tcPr>
            <w:tcW w:w="379" w:type="dxa"/>
            <w:tcBorders/>
            <w:shd w:fill="CCEEFF" w:val="clear"/>
            <w:vAlign w:val="bottom"/>
          </w:tcPr>
          <w:p>
            <w:pPr>
              <w:pStyle w:val="TableContents"/>
              <w:spacing w:before="0" w:after="283"/>
              <w:rPr/>
            </w:pPr>
            <w:r>
              <w:rPr/>
              <w:t xml:space="preserve">  </w:t>
            </w:r>
          </w:p>
        </w:tc>
        <w:tc>
          <w:tcPr>
            <w:tcW w:w="251" w:type="dxa"/>
            <w:tcBorders/>
            <w:shd w:fill="CCEEFF" w:val="clear"/>
            <w:vAlign w:val="bottom"/>
          </w:tcPr>
          <w:p>
            <w:pPr>
              <w:pStyle w:val="TableContents"/>
              <w:spacing w:before="0" w:after="283"/>
              <w:jc w:val="left"/>
              <w:rPr/>
            </w:pPr>
            <w:r>
              <w:rPr/>
              <w:t xml:space="preserve">  </w:t>
            </w:r>
          </w:p>
        </w:tc>
        <w:tc>
          <w:tcPr>
            <w:tcW w:w="1125" w:type="dxa"/>
            <w:tcBorders/>
            <w:shd w:fill="CCEEFF" w:val="clear"/>
            <w:vAlign w:val="bottom"/>
          </w:tcPr>
          <w:p>
            <w:pPr>
              <w:pStyle w:val="TableContents"/>
              <w:spacing w:before="0" w:after="283"/>
              <w:jc w:val="right"/>
              <w:rPr/>
            </w:pPr>
            <w:r>
              <w:rPr/>
              <w:t xml:space="preserve">(8 </w:t>
            </w:r>
          </w:p>
        </w:tc>
        <w:tc>
          <w:tcPr>
            <w:tcW w:w="309"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508"/>
        <w:gridCol w:w="102"/>
        <w:gridCol w:w="9595"/>
      </w:tblGrid>
      <w:tr>
        <w:trPr/>
        <w:tc>
          <w:tcPr>
            <w:tcW w:w="508"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595" w:type="dxa"/>
            <w:tcBorders/>
            <w:shd w:fill="FFFFFF" w:val="clear"/>
            <w:vAlign w:val="center"/>
          </w:tcPr>
          <w:p>
            <w:pPr>
              <w:pStyle w:val="TableContents"/>
              <w:spacing w:before="0" w:after="283"/>
              <w:rPr>
                <w:sz w:val="4"/>
                <w:szCs w:val="4"/>
              </w:rPr>
            </w:pPr>
            <w:r>
              <w:rPr>
                <w:sz w:val="4"/>
                <w:szCs w:val="4"/>
              </w:rPr>
            </w:r>
          </w:p>
        </w:tc>
      </w:tr>
      <w:tr>
        <w:trPr/>
        <w:tc>
          <w:tcPr>
            <w:tcW w:w="508"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595" w:type="dxa"/>
            <w:tcBorders/>
            <w:shd w:fill="FFFFFF" w:val="clear"/>
            <w:vAlign w:val="bottom"/>
          </w:tcPr>
          <w:p>
            <w:pPr>
              <w:pStyle w:val="TableContents"/>
              <w:spacing w:before="0" w:after="283"/>
              <w:rPr/>
            </w:pPr>
            <w:r>
              <w:rPr/>
              <w:t>Limited partner units constitute 98% of our equity, with the remaining 2% held by our general partner. The beneficial ownership of our general partner is set forth in the table below under  Beneficial Ownership of General Partner Interest. Giving effect to the indirect ownership by Vulcan Energy Corporation of a portion of our general partner, Mr. Allen may be deemed to beneficially own approximately 14% of our total equity. Mr. Allen disclaims any deemed beneficial ownership, beyond his pecuniary interest, in any of our partner interests held by Vulcan Energy Corporation or any of its affiliates.</w:t>
            </w:r>
          </w:p>
        </w:tc>
      </w:tr>
      <w:tr>
        <w:trPr/>
        <w:tc>
          <w:tcPr>
            <w:tcW w:w="508" w:type="dxa"/>
            <w:tcBorders/>
            <w:shd w:fill="FFFFFF" w:val="clear"/>
            <w:vAlign w:val="center"/>
          </w:tcPr>
          <w:p>
            <w:pPr>
              <w:pStyle w:val="TableContents"/>
              <w:spacing w:before="0" w:after="283"/>
              <w:rPr/>
            </w:pPr>
            <w:r>
              <w:rPr/>
              <w:t> </w:t>
            </w:r>
          </w:p>
        </w:tc>
        <w:tc>
          <w:tcPr>
            <w:tcW w:w="9697" w:type="dxa"/>
            <w:gridSpan w:val="2"/>
            <w:tcBorders/>
            <w:shd w:fill="FFFFFF" w:val="clear"/>
          </w:tcPr>
          <w:p>
            <w:pPr>
              <w:pStyle w:val="TableContents"/>
              <w:spacing w:before="0" w:after="283"/>
              <w:rPr>
                <w:sz w:val="4"/>
                <w:szCs w:val="4"/>
              </w:rPr>
            </w:pPr>
            <w:r>
              <w:rPr>
                <w:sz w:val="4"/>
                <w:szCs w:val="4"/>
              </w:rPr>
            </w:r>
          </w:p>
        </w:tc>
      </w:tr>
      <w:tr>
        <w:trPr/>
        <w:tc>
          <w:tcPr>
            <w:tcW w:w="508"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595" w:type="dxa"/>
            <w:tcBorders/>
            <w:shd w:fill="FFFFFF" w:val="clear"/>
            <w:vAlign w:val="bottom"/>
          </w:tcPr>
          <w:p>
            <w:pPr>
              <w:pStyle w:val="TableContents"/>
              <w:spacing w:before="0" w:after="283"/>
              <w:rPr/>
            </w:pPr>
            <w:r>
              <w:rPr/>
              <w:t>Mr. Allen owns approximately 80.1% of the outstanding shares of common stock of Vulcan Energy Corporation. Mr. Allen also controls Vulcan Capital Private Equity I LLC (Vulcan LLC), which is the record holder of 1,995,954 common units. The address for Mr. Allen and Vulcan LLC is 505 Fifth Avenue S, Suite 900, Seattle, Washington 98104. Mr. Allen disclaims any deemed beneficial ownership, beyond his pecuniary interest, in any of our partner interests held by Vulcan Energy Corporation or any of its affiliates.</w:t>
            </w:r>
          </w:p>
        </w:tc>
      </w:tr>
      <w:tr>
        <w:trPr/>
        <w:tc>
          <w:tcPr>
            <w:tcW w:w="508" w:type="dxa"/>
            <w:tcBorders/>
            <w:shd w:fill="FFFFFF" w:val="clear"/>
            <w:vAlign w:val="center"/>
          </w:tcPr>
          <w:p>
            <w:pPr>
              <w:pStyle w:val="TableContents"/>
              <w:spacing w:before="0" w:after="283"/>
              <w:rPr/>
            </w:pPr>
            <w:r>
              <w:rPr/>
              <w:t> </w:t>
            </w:r>
          </w:p>
        </w:tc>
        <w:tc>
          <w:tcPr>
            <w:tcW w:w="9697" w:type="dxa"/>
            <w:gridSpan w:val="2"/>
            <w:tcBorders/>
            <w:shd w:fill="FFFFFF" w:val="clear"/>
          </w:tcPr>
          <w:p>
            <w:pPr>
              <w:pStyle w:val="TableContents"/>
              <w:spacing w:before="0" w:after="283"/>
              <w:rPr>
                <w:sz w:val="4"/>
                <w:szCs w:val="4"/>
              </w:rPr>
            </w:pPr>
            <w:r>
              <w:rPr>
                <w:sz w:val="4"/>
                <w:szCs w:val="4"/>
              </w:rPr>
            </w:r>
          </w:p>
        </w:tc>
      </w:tr>
      <w:tr>
        <w:trPr/>
        <w:tc>
          <w:tcPr>
            <w:tcW w:w="508"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595" w:type="dxa"/>
            <w:tcBorders/>
            <w:shd w:fill="FFFFFF" w:val="clear"/>
            <w:vAlign w:val="bottom"/>
          </w:tcPr>
          <w:p>
            <w:pPr>
              <w:pStyle w:val="TableContents"/>
              <w:spacing w:before="0" w:after="283"/>
              <w:rPr/>
            </w:pPr>
            <w:r>
              <w:rPr/>
              <w:t>The address for Vulcan Energy Corporation is c/o Plains All American GP LLC, 333 Clay Street, Suite 1600, Houston, Texas 77002.</w:t>
            </w:r>
          </w:p>
        </w:tc>
      </w:tr>
      <w:tr>
        <w:trPr/>
        <w:tc>
          <w:tcPr>
            <w:tcW w:w="508" w:type="dxa"/>
            <w:tcBorders/>
            <w:shd w:fill="FFFFFF" w:val="clear"/>
            <w:vAlign w:val="center"/>
          </w:tcPr>
          <w:p>
            <w:pPr>
              <w:pStyle w:val="TableContents"/>
              <w:spacing w:before="0" w:after="283"/>
              <w:rPr/>
            </w:pPr>
            <w:r>
              <w:rPr/>
              <w:t> </w:t>
            </w:r>
          </w:p>
        </w:tc>
        <w:tc>
          <w:tcPr>
            <w:tcW w:w="9697" w:type="dxa"/>
            <w:gridSpan w:val="2"/>
            <w:tcBorders/>
            <w:shd w:fill="FFFFFF" w:val="clear"/>
          </w:tcPr>
          <w:p>
            <w:pPr>
              <w:pStyle w:val="TableContents"/>
              <w:spacing w:before="0" w:after="283"/>
              <w:rPr>
                <w:sz w:val="4"/>
                <w:szCs w:val="4"/>
              </w:rPr>
            </w:pPr>
            <w:r>
              <w:rPr>
                <w:sz w:val="4"/>
                <w:szCs w:val="4"/>
              </w:rPr>
            </w:r>
          </w:p>
        </w:tc>
      </w:tr>
      <w:tr>
        <w:trPr/>
        <w:tc>
          <w:tcPr>
            <w:tcW w:w="508" w:type="dxa"/>
            <w:tcBorders/>
            <w:shd w:fill="FFFFFF" w:val="clear"/>
          </w:tcPr>
          <w:p>
            <w:pPr>
              <w:pStyle w:val="TableContents"/>
              <w:spacing w:before="0" w:after="283"/>
              <w:jc w:val="right"/>
              <w:rPr/>
            </w:pPr>
            <w:r>
              <w:rPr/>
              <w:t xml:space="preserve">(4) </w:t>
            </w:r>
          </w:p>
        </w:tc>
        <w:tc>
          <w:tcPr>
            <w:tcW w:w="102" w:type="dxa"/>
            <w:tcBorders/>
            <w:shd w:fill="FFFFFF" w:val="clear"/>
            <w:vAlign w:val="center"/>
          </w:tcPr>
          <w:p>
            <w:pPr>
              <w:pStyle w:val="TableContents"/>
              <w:spacing w:before="0" w:after="283"/>
              <w:rPr>
                <w:sz w:val="4"/>
                <w:szCs w:val="4"/>
              </w:rPr>
            </w:pPr>
            <w:r>
              <w:rPr>
                <w:sz w:val="4"/>
                <w:szCs w:val="4"/>
              </w:rPr>
            </w:r>
          </w:p>
        </w:tc>
        <w:tc>
          <w:tcPr>
            <w:tcW w:w="9595" w:type="dxa"/>
            <w:tcBorders/>
            <w:shd w:fill="FFFFFF" w:val="clear"/>
            <w:vAlign w:val="bottom"/>
          </w:tcPr>
          <w:p>
            <w:pPr>
              <w:pStyle w:val="TableContents"/>
              <w:spacing w:before="0" w:after="283"/>
              <w:rPr/>
            </w:pPr>
            <w:r>
              <w:rPr/>
              <w:t xml:space="preserve">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9,238,534 common units. Mr. Kayne may be deemed to beneficially own such units. In addition, Mr. Kayne directly owns or has sole voting and dispositive power over 270,365 common units. Mr. Kayne disclaims beneficial ownership of any of our partner interests other than units held by him or interests attributable to him by virtue of his interests in the accounts that own our partner interests. The address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509"/>
        <w:gridCol w:w="102"/>
        <w:gridCol w:w="9594"/>
      </w:tblGrid>
      <w:tr>
        <w:trPr/>
        <w:tc>
          <w:tcPr>
            <w:tcW w:w="509"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cente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for Mr. Kayne and Kayne Anderson Investment Management, Inc. is 1800 Avenue of the Stars, 2nd Floor, Los Angeles, California 90067.</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(5)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Does not include approximately 173,444 common units owned by our general partner in connection with its Performance Option Plan. Mr. Armstrong disclaims any beneficial ownership of such units beyond his rights as a grantee under the plan. See Item 13. Certain Relationships and Related Transactions, and Director Independence  General Partners Performance Option Plan.</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(6)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Does not include unvested phantom units granted under the 2005 LTIP, none of which will vest within 60 days of the date hereof. See  Outstanding Equity Awards at Fiscal Year-End.</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(7)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the following vested, unexercised options to purchase common units under the general partners Performance Option Plan. Mr. Armstrong: 37,500; Mr. Pefanis: 27,500; Mr. Kramer: 22,500; Mr. Coiner: 21,250; and all directors and executive officers as a group: 126,250.</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(8)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Less than one percent.</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(9)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The GP LLC Agreement specifies that certain of the owners of our general partner have the right to designate a member of our board of directors. Mr. Capobianco has been designated as one of our directors by Vulcan Energy Corporation, of which he is Chairman of the Board. Mr. Capobianco owns an equity interest in Vulcan LLC and has the right to receive a performance-based fee based on the performance of the holdings of Vulcan LLC and Vulcan Energy Corporation. Mr. Capobianco disclaims any deemed beneficial ownership of our common units held by Vulcan Energy Corporation and Vulcan LLC or any of their affiliates beyond his pecuniary interest therein, if any. By virtue of its 54% ownership in the general partner, Vulcan Energy Corporation has the right at any time to cause the election of an additional director to the Board.</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(10)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Pursuant to the GP LLC Agreement, Mr. Petersen has been designated one of our directors by E-Holdings III, L.P., an affiliate of EnCap Investments L.P., of which he is Senior Managing Director. Mr. Petersen disclaims any deemed beneficial ownership of the 618,896 common units held by E-Holdings III, L.P. and E-Holdings V, L.P. or other affiliates of EnCap Investments L.P. beyond his pecuniary interest. The address for E-Holdings III, L.P. and E-Holdings V, L.P. is 1100 Louisiana, Suite 3150, Houston, Texas 77002.</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(11)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Pursuant to the GP LLC Agreement, Mr. Sinnott has been designated one of our directors by KAFU Holdings, L.P., which is controlled by Kayne Anderson Investment Management, Inc., of which he is President. Mr. Sinnott disclaims any deemed beneficial ownership of any common units held by KAFU Holdings, L.P. or its affiliates, other than through his 4.5% limited partner interest in KAFU Holdings, L.P. The address for KAFU Holdings, L.P. is 1800 Avenue of the Stars, 2nd Floor, Los Angeles, California 90067.</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(12)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As of February 23, 2007, no units were pledged by directors or Named Executive Officers. Certain of the directors and Named Executive Officers hold units in a marginable brokers account, but none of the units were margined as of February 23, 2007.</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Beneficial Ownership of General Partner Interest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AAP, L.P. owns all of our 2% general partner interest and all of our incentive distribution rights. The following table sets forth the effective ownership of Plains AAP, L.P. (after giving effect to proportionate ownership of Plains All American GP LLC, its 1% general partner).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061"/>
        <w:gridCol w:w="175"/>
        <w:gridCol w:w="474"/>
        <w:gridCol w:w="789"/>
        <w:gridCol w:w="706"/>
      </w:tblGrid>
      <w:tr>
        <w:trPr/>
        <w:tc>
          <w:tcPr>
            <w:tcW w:w="8061"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474" w:type="dxa"/>
            <w:tcBorders/>
            <w:shd w:fill="FFFFFF" w:val="clear"/>
            <w:vAlign w:val="bottom"/>
          </w:tcPr>
          <w:p>
            <w:pPr>
              <w:pStyle w:val="TableContents"/>
              <w:spacing w:before="0" w:after="283"/>
              <w:jc w:val="right"/>
              <w:rPr/>
            </w:pPr>
            <w:r>
              <w:rPr/>
              <w:t> </w:t>
            </w:r>
          </w:p>
        </w:tc>
        <w:tc>
          <w:tcPr>
            <w:tcW w:w="789" w:type="dxa"/>
            <w:tcBorders/>
            <w:shd w:fill="FFFFFF" w:val="clear"/>
            <w:vAlign w:val="bottom"/>
          </w:tcPr>
          <w:p>
            <w:pPr>
              <w:pStyle w:val="TableContents"/>
              <w:spacing w:before="0" w:after="283"/>
              <w:jc w:val="right"/>
              <w:rPr/>
            </w:pPr>
            <w:r>
              <w:rPr/>
              <w:t> </w:t>
            </w:r>
          </w:p>
        </w:tc>
        <w:tc>
          <w:tcPr>
            <w:tcW w:w="706" w:type="dxa"/>
            <w:tcBorders/>
            <w:shd w:fill="FFFFFF" w:val="clear"/>
            <w:vAlign w:val="bottom"/>
          </w:tcPr>
          <w:p>
            <w:pPr>
              <w:pStyle w:val="TableContents"/>
              <w:spacing w:before="0" w:after="283"/>
              <w:jc w:val="left"/>
              <w:rPr/>
            </w:pPr>
            <w:r>
              <w:rPr/>
              <w:t> </w:t>
            </w:r>
          </w:p>
        </w:tc>
      </w:tr>
      <w:tr>
        <w:trPr/>
        <w:tc>
          <w:tcPr>
            <w:tcW w:w="8061"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969" w:type="dxa"/>
            <w:gridSpan w:val="3"/>
            <w:tcBorders/>
            <w:shd w:fill="FFFFFF" w:val="clear"/>
            <w:vAlign w:val="bottom"/>
          </w:tcPr>
          <w:p>
            <w:pPr>
              <w:pStyle w:val="TableContents"/>
              <w:spacing w:before="0" w:after="283"/>
              <w:jc w:val="center"/>
              <w:rPr>
                <w:b/>
              </w:rPr>
            </w:pPr>
            <w:r>
              <w:rPr>
                <w:b/>
              </w:rPr>
              <w:t>Percentage</w:t>
            </w:r>
          </w:p>
        </w:tc>
      </w:tr>
      <w:tr>
        <w:trPr/>
        <w:tc>
          <w:tcPr>
            <w:tcW w:w="8061"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969" w:type="dxa"/>
            <w:gridSpan w:val="3"/>
            <w:tcBorders/>
            <w:shd w:fill="FFFFFF" w:val="clear"/>
            <w:vAlign w:val="bottom"/>
          </w:tcPr>
          <w:p>
            <w:pPr>
              <w:pStyle w:val="TableContents"/>
              <w:spacing w:before="0" w:after="283"/>
              <w:jc w:val="center"/>
              <w:rPr>
                <w:b/>
              </w:rPr>
            </w:pPr>
            <w:r>
              <w:rPr>
                <w:b/>
              </w:rPr>
              <w:t>Ownership of</w:t>
            </w:r>
          </w:p>
        </w:tc>
      </w:tr>
      <w:tr>
        <w:trPr/>
        <w:tc>
          <w:tcPr>
            <w:tcW w:w="8061" w:type="dxa"/>
            <w:tcBorders/>
            <w:shd w:fill="FFFFFF" w:val="clear"/>
            <w:vAlign w:val="bottom"/>
          </w:tcPr>
          <w:p>
            <w:pPr>
              <w:pStyle w:val="TableContents"/>
              <w:spacing w:before="0" w:after="0"/>
              <w:jc w:val="left"/>
              <w:rPr>
                <w:bdr w:val="single" w:sz="2" w:space="1" w:color="000000"/>
              </w:rPr>
            </w:pPr>
            <w:r>
              <w:rPr>
                <w:b/>
                <w:bdr w:val="single" w:sz="2" w:space="1" w:color="000000"/>
              </w:rPr>
              <w:t>Name and Address of Owner</w:t>
            </w:r>
            <w:r>
              <w:rPr>
                <w:bdr w:val="single" w:sz="2" w:space="1" w:color="000000"/>
              </w:rPr>
              <w:t xml:space="preserve"> </w:t>
            </w:r>
          </w:p>
        </w:tc>
        <w:tc>
          <w:tcPr>
            <w:tcW w:w="175" w:type="dxa"/>
            <w:tcBorders/>
            <w:shd w:fill="FFFFFF" w:val="clear"/>
            <w:vAlign w:val="bottom"/>
          </w:tcPr>
          <w:p>
            <w:pPr>
              <w:pStyle w:val="TableContents"/>
              <w:spacing w:before="0" w:after="283"/>
              <w:jc w:val="center"/>
              <w:rPr/>
            </w:pPr>
            <w:r>
              <w:rPr/>
              <w:t xml:space="preserve">  </w:t>
            </w:r>
          </w:p>
        </w:tc>
        <w:tc>
          <w:tcPr>
            <w:tcW w:w="1969"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Plains AAP</w:t>
            </w:r>
            <w:r>
              <w:rPr/>
              <w:t xml:space="preserve"> </w:t>
            </w:r>
          </w:p>
        </w:tc>
      </w:tr>
      <w:tr>
        <w:trPr/>
        <w:tc>
          <w:tcPr>
            <w:tcW w:w="8061" w:type="dxa"/>
            <w:tcBorders/>
            <w:shd w:fill="FFFFFF" w:val="clear"/>
            <w:vAlign w:val="center"/>
          </w:tcPr>
          <w:p>
            <w:pPr>
              <w:pStyle w:val="TableContents"/>
              <w:spacing w:before="0" w:after="283"/>
              <w:rPr/>
            </w:pPr>
            <w:r>
              <w:rPr/>
              <w:t xml:space="preserve">  </w:t>
            </w:r>
          </w:p>
        </w:tc>
        <w:tc>
          <w:tcPr>
            <w:tcW w:w="2144" w:type="dxa"/>
            <w:gridSpan w:val="4"/>
            <w:tcBorders/>
            <w:shd w:fill="FFFFFF" w:val="clear"/>
          </w:tcPr>
          <w:p>
            <w:pPr>
              <w:pStyle w:val="TableContents"/>
              <w:spacing w:before="0" w:after="283"/>
              <w:rPr>
                <w:sz w:val="4"/>
                <w:szCs w:val="4"/>
              </w:rPr>
            </w:pPr>
            <w:r>
              <w:rPr>
                <w:sz w:val="4"/>
                <w:szCs w:val="4"/>
              </w:rPr>
            </w:r>
          </w:p>
        </w:tc>
      </w:tr>
      <w:tr>
        <w:trPr/>
        <w:tc>
          <w:tcPr>
            <w:tcW w:w="8061" w:type="dxa"/>
            <w:tcBorders/>
            <w:shd w:fill="CCEEFF" w:val="clear"/>
            <w:vAlign w:val="bottom"/>
          </w:tcPr>
          <w:p>
            <w:pPr>
              <w:pStyle w:val="TableContents"/>
              <w:spacing w:before="0" w:after="0"/>
              <w:ind w:left="200" w:right="0" w:hanging="200"/>
              <w:jc w:val="left"/>
              <w:rPr>
                <w:sz w:val="17"/>
              </w:rPr>
            </w:pPr>
            <w:r>
              <w:rPr>
                <w:sz w:val="17"/>
              </w:rPr>
              <w:t xml:space="preserve">Paul G. Allen(1)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54.3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0"/>
              <w:jc w:val="left"/>
              <w:rPr>
                <w:sz w:val="17"/>
              </w:rPr>
            </w:pPr>
            <w:r>
              <w:rPr>
                <w:sz w:val="17"/>
              </w:rPr>
              <w:t>505 Fifth Avenue S, Suite 900</w:t>
              <w:br/>
              <w:t xml:space="preserve">Seattle, WA 98104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200"/>
              <w:jc w:val="left"/>
              <w:rPr>
                <w:sz w:val="17"/>
              </w:rPr>
            </w:pPr>
            <w:r>
              <w:rPr>
                <w:sz w:val="17"/>
              </w:rPr>
              <w:t xml:space="preserve">Vulcan Energy Corporation(2)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54.3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0"/>
              <w:jc w:val="left"/>
              <w:rPr>
                <w:sz w:val="17"/>
              </w:rPr>
            </w:pPr>
            <w:r>
              <w:rPr>
                <w:sz w:val="17"/>
              </w:rPr>
              <w:t>c/o Plains All American GP LLC</w:t>
              <w:br/>
              <w:t>333 Clay Street, Suite 1600</w:t>
              <w:br/>
              <w:t xml:space="preserve">Houston, TX 77002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200"/>
              <w:jc w:val="left"/>
              <w:rPr>
                <w:sz w:val="17"/>
              </w:rPr>
            </w:pPr>
            <w:r>
              <w:rPr>
                <w:sz w:val="17"/>
              </w:rPr>
              <w:t xml:space="preserve">KAFU Holdings, L.P.(3)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20.3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0"/>
              <w:jc w:val="left"/>
              <w:rPr>
                <w:sz w:val="17"/>
              </w:rPr>
            </w:pPr>
            <w:r>
              <w:rPr>
                <w:sz w:val="17"/>
              </w:rPr>
              <w:t>1800 Avenue of the Stars, 2nd Floor</w:t>
              <w:br/>
              <w:t xml:space="preserve">Los Angeles, CA 90067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200"/>
              <w:jc w:val="left"/>
              <w:rPr>
                <w:sz w:val="17"/>
              </w:rPr>
            </w:pPr>
            <w:r>
              <w:rPr>
                <w:sz w:val="17"/>
              </w:rPr>
              <w:t xml:space="preserve">E-Holdings III, L.P.(4)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9.0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0"/>
              <w:jc w:val="left"/>
              <w:rPr>
                <w:sz w:val="17"/>
              </w:rPr>
            </w:pPr>
            <w:r>
              <w:rPr>
                <w:sz w:val="17"/>
              </w:rPr>
              <w:t>1100 Louisiana, Suite 3150</w:t>
              <w:br/>
              <w:t xml:space="preserve">Houston, TX 77002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200"/>
              <w:jc w:val="left"/>
              <w:rPr>
                <w:sz w:val="17"/>
              </w:rPr>
            </w:pPr>
            <w:r>
              <w:rPr>
                <w:sz w:val="17"/>
              </w:rPr>
              <w:t xml:space="preserve">E-Holdings V, L.P.(4)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2.1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0"/>
              <w:jc w:val="left"/>
              <w:rPr>
                <w:sz w:val="17"/>
              </w:rPr>
            </w:pPr>
            <w:r>
              <w:rPr>
                <w:sz w:val="17"/>
              </w:rPr>
              <w:t>1100 Louisiana, Suite 3150</w:t>
              <w:br/>
              <w:t xml:space="preserve">Houston, TX 77002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200"/>
              <w:jc w:val="left"/>
              <w:rPr>
                <w:sz w:val="17"/>
              </w:rPr>
            </w:pPr>
            <w:r>
              <w:rPr>
                <w:sz w:val="17"/>
              </w:rPr>
              <w:t xml:space="preserve">PAA Management, L.P.(5)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4.9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0"/>
              <w:jc w:val="left"/>
              <w:rPr>
                <w:sz w:val="17"/>
              </w:rPr>
            </w:pPr>
            <w:r>
              <w:rPr>
                <w:sz w:val="17"/>
              </w:rPr>
              <w:t>333 Clay Street, Suite 1600</w:t>
              <w:br/>
              <w:t xml:space="preserve">Houston, TX 77002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200"/>
              <w:jc w:val="left"/>
              <w:rPr>
                <w:sz w:val="17"/>
              </w:rPr>
            </w:pPr>
            <w:r>
              <w:rPr>
                <w:sz w:val="17"/>
              </w:rPr>
              <w:t xml:space="preserve">Wachovia Investors, Inc.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4.2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0"/>
              <w:jc w:val="left"/>
              <w:rPr>
                <w:sz w:val="17"/>
              </w:rPr>
            </w:pPr>
            <w:r>
              <w:rPr>
                <w:sz w:val="17"/>
              </w:rPr>
              <w:t>301 South College Street, 12th Floor</w:t>
              <w:br/>
              <w:t xml:space="preserve">Charlotte, NC 28288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200"/>
              <w:jc w:val="left"/>
              <w:rPr>
                <w:sz w:val="17"/>
              </w:rPr>
            </w:pPr>
            <w:r>
              <w:rPr>
                <w:sz w:val="17"/>
              </w:rPr>
              <w:t xml:space="preserve">Mark E. Strome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2.6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0"/>
              <w:jc w:val="left"/>
              <w:rPr>
                <w:sz w:val="17"/>
              </w:rPr>
            </w:pPr>
            <w:r>
              <w:rPr>
                <w:sz w:val="17"/>
              </w:rPr>
              <w:t>100 Wilshire Blvd., Suite 1500</w:t>
              <w:br/>
              <w:t xml:space="preserve">Santa Monica, CA 90401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200"/>
              <w:jc w:val="left"/>
              <w:rPr>
                <w:sz w:val="17"/>
              </w:rPr>
            </w:pPr>
            <w:r>
              <w:rPr>
                <w:sz w:val="17"/>
              </w:rPr>
              <w:t xml:space="preserve">Strome MLP Fund, L.P.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1.3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CCEEFF" w:val="clear"/>
            <w:vAlign w:val="bottom"/>
          </w:tcPr>
          <w:p>
            <w:pPr>
              <w:pStyle w:val="TableContents"/>
              <w:spacing w:before="0" w:after="0"/>
              <w:ind w:left="200" w:right="0" w:hanging="0"/>
              <w:jc w:val="left"/>
              <w:rPr>
                <w:sz w:val="17"/>
              </w:rPr>
            </w:pPr>
            <w:r>
              <w:rPr>
                <w:sz w:val="17"/>
              </w:rPr>
              <w:t>100 Wilshire Blvd., Suite 1500</w:t>
              <w:br/>
              <w:t xml:space="preserve">Santa Monica, CA 90401 </w:t>
            </w:r>
          </w:p>
        </w:tc>
        <w:tc>
          <w:tcPr>
            <w:tcW w:w="175" w:type="dxa"/>
            <w:tcBorders/>
            <w:shd w:fill="CCEEFF" w:val="clear"/>
            <w:vAlign w:val="bottom"/>
          </w:tcPr>
          <w:p>
            <w:pPr>
              <w:pStyle w:val="TableContents"/>
              <w:spacing w:before="0" w:after="283"/>
              <w:rPr/>
            </w:pPr>
            <w:r>
              <w:rPr/>
              <w:t xml:space="preserve">  </w:t>
            </w:r>
          </w:p>
        </w:tc>
        <w:tc>
          <w:tcPr>
            <w:tcW w:w="474" w:type="dxa"/>
            <w:tcBorders/>
            <w:shd w:fill="CCEEFF" w:val="clear"/>
            <w:vAlign w:val="bottom"/>
          </w:tcPr>
          <w:p>
            <w:pPr>
              <w:pStyle w:val="TableContents"/>
              <w:spacing w:before="0" w:after="283"/>
              <w:jc w:val="right"/>
              <w:rPr/>
            </w:pPr>
            <w:r>
              <w:rPr/>
              <w:t xml:space="preserve">  </w:t>
            </w:r>
          </w:p>
        </w:tc>
        <w:tc>
          <w:tcPr>
            <w:tcW w:w="789" w:type="dxa"/>
            <w:tcBorders/>
            <w:shd w:fill="CCEEFF" w:val="clear"/>
            <w:vAlign w:val="bottom"/>
          </w:tcPr>
          <w:p>
            <w:pPr>
              <w:pStyle w:val="TableContents"/>
              <w:spacing w:before="0" w:after="283"/>
              <w:jc w:val="right"/>
              <w:rPr/>
            </w:pPr>
            <w:r>
              <w:rPr/>
              <w:t xml:space="preserve">  </w:t>
            </w:r>
          </w:p>
        </w:tc>
        <w:tc>
          <w:tcPr>
            <w:tcW w:w="706" w:type="dxa"/>
            <w:tcBorders/>
            <w:shd w:fill="CCEE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200"/>
              <w:jc w:val="left"/>
              <w:rPr>
                <w:sz w:val="17"/>
              </w:rPr>
            </w:pPr>
            <w:r>
              <w:rPr>
                <w:sz w:val="17"/>
              </w:rPr>
              <w:t xml:space="preserve">Lynx Holdings I, LLC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1.2 </w:t>
            </w:r>
          </w:p>
        </w:tc>
        <w:tc>
          <w:tcPr>
            <w:tcW w:w="706" w:type="dxa"/>
            <w:tcBorders/>
            <w:shd w:fill="FFFFFF" w:val="clear"/>
            <w:vAlign w:val="bottom"/>
          </w:tcPr>
          <w:p>
            <w:pPr>
              <w:pStyle w:val="TableContents"/>
              <w:spacing w:before="0" w:after="283"/>
              <w:jc w:val="left"/>
              <w:rPr/>
            </w:pPr>
            <w:r>
              <w:rPr/>
              <w:t xml:space="preserve">% </w:t>
            </w:r>
          </w:p>
        </w:tc>
      </w:tr>
      <w:tr>
        <w:trPr/>
        <w:tc>
          <w:tcPr>
            <w:tcW w:w="8061" w:type="dxa"/>
            <w:tcBorders/>
            <w:shd w:fill="FFFFFF" w:val="clear"/>
            <w:vAlign w:val="bottom"/>
          </w:tcPr>
          <w:p>
            <w:pPr>
              <w:pStyle w:val="TableContents"/>
              <w:spacing w:before="0" w:after="0"/>
              <w:ind w:left="200" w:right="0" w:hanging="0"/>
              <w:jc w:val="left"/>
              <w:rPr>
                <w:sz w:val="17"/>
              </w:rPr>
            </w:pPr>
            <w:r>
              <w:rPr>
                <w:sz w:val="17"/>
              </w:rPr>
              <w:t>15209 Westheimer, Suite 110</w:t>
              <w:br/>
              <w:t xml:space="preserve">Houston, TX 77082 </w:t>
            </w:r>
          </w:p>
        </w:tc>
        <w:tc>
          <w:tcPr>
            <w:tcW w:w="175" w:type="dxa"/>
            <w:tcBorders/>
            <w:shd w:fill="FFFFFF" w:val="clear"/>
            <w:vAlign w:val="bottom"/>
          </w:tcPr>
          <w:p>
            <w:pPr>
              <w:pStyle w:val="TableContents"/>
              <w:spacing w:before="0" w:after="283"/>
              <w:rPr/>
            </w:pPr>
            <w:r>
              <w:rPr/>
              <w:t xml:space="preserve">  </w:t>
            </w:r>
          </w:p>
        </w:tc>
        <w:tc>
          <w:tcPr>
            <w:tcW w:w="474" w:type="dxa"/>
            <w:tcBorders/>
            <w:shd w:fill="FFFFFF" w:val="clear"/>
            <w:vAlign w:val="bottom"/>
          </w:tcPr>
          <w:p>
            <w:pPr>
              <w:pStyle w:val="TableContents"/>
              <w:spacing w:before="0" w:after="283"/>
              <w:jc w:val="right"/>
              <w:rPr/>
            </w:pPr>
            <w:r>
              <w:rPr/>
              <w:t xml:space="preserve">  </w:t>
            </w:r>
          </w:p>
        </w:tc>
        <w:tc>
          <w:tcPr>
            <w:tcW w:w="789" w:type="dxa"/>
            <w:tcBorders/>
            <w:shd w:fill="FFFFFF" w:val="clear"/>
            <w:vAlign w:val="bottom"/>
          </w:tcPr>
          <w:p>
            <w:pPr>
              <w:pStyle w:val="TableContents"/>
              <w:spacing w:before="0" w:after="283"/>
              <w:jc w:val="right"/>
              <w:rPr/>
            </w:pPr>
            <w:r>
              <w:rPr/>
              <w:t xml:space="preserve">  </w:t>
            </w:r>
          </w:p>
        </w:tc>
        <w:tc>
          <w:tcPr>
            <w:tcW w:w="706"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Mr. Allen owns approximately 80.1% of the outstanding shares of common stock of Vulcan Energy Corporation. Vulcan Energy GP Holdings Inc., a subsidiary of Vulcan Energy Corporation, owns 54.3% of the equity of our general partner. Vulcan Energy Corporation has pledged all of its equity interest in Vulcan Energy GP Holdings Inc. as security for its obligations under the Second Amended and Restated Credit Agreement dated as of August 12, 2005 among Vulcan Energy Corporation, Bank of America, N.A. and the lenders party thereto (the VEC Credit Agreement). A default by Vulcan Energy Corporation under the VEC Credit Agreement could result in an indirect change in control of our general partner. Mr. Allen disclaims any deemed beneficial ownership, beyond his pecuniary interest, in any of our partner interests held by Vulcan Energy Corporation or any of its affiliates.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Mr. Capobianco disclaims any deemed beneficial ownership of the interests held by Vulcan Energy Corporation and its affiliates beyond his pecuniary interest therein, if any.</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Mr. Sinnott disclaims any deemed beneficial ownership of the interests owned by KAFU Holdings, L.P. other than through his 4.5% limited partner interest in KAFU Holdings, L.P.</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Mr. Petersen disclaims any deemed beneficial ownership of the interests owned by E-Holdings III, L.P. and E-Holdings V, L.P. beyond his pecuniary interest.</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PAA Management, L.P. is owned entirely by certain members of senior management, including Messrs. Armstrong (approximately 25%), Pefanis (approximately 14%), Kramer (approximately 9%), Coiner (approximately 9%) and vonBerg (approximately 4%). Other than Mr. Armstrong, no directors own any interest in PAA Management, L.P. Directors and executive officers as a group own approximately 76% of PAA Management, L.P. Mr. Armstrong disclaims any beneficial ownership of the general partner interest owned by Plains AAP, L.P., other than through his ownership interest in PAA Management, L.P.</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Equity Compensation Plan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certain information with respect to our equity compensation plans as of December 31, 2006. For a description of these plans, see Item 13. Certain Relationships and Related Transactions, and Director Independence  Equity-Based Long-Term Incentive Plans.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659"/>
        <w:gridCol w:w="65"/>
        <w:gridCol w:w="231"/>
        <w:gridCol w:w="2043"/>
        <w:gridCol w:w="620"/>
        <w:gridCol w:w="68"/>
        <w:gridCol w:w="544"/>
        <w:gridCol w:w="1731"/>
        <w:gridCol w:w="351"/>
        <w:gridCol w:w="68"/>
        <w:gridCol w:w="264"/>
        <w:gridCol w:w="1936"/>
        <w:gridCol w:w="625"/>
      </w:tblGrid>
      <w:tr>
        <w:trPr/>
        <w:tc>
          <w:tcPr>
            <w:tcW w:w="1659"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jc w:val="right"/>
              <w:rPr/>
            </w:pPr>
            <w:r>
              <w:rPr/>
              <w:t> </w:t>
            </w:r>
          </w:p>
        </w:tc>
        <w:tc>
          <w:tcPr>
            <w:tcW w:w="2043"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left"/>
              <w:rPr/>
            </w:pPr>
            <w:r>
              <w:rPr/>
              <w:t> </w:t>
            </w:r>
          </w:p>
        </w:tc>
        <w:tc>
          <w:tcPr>
            <w:tcW w:w="68" w:type="dxa"/>
            <w:tcBorders/>
            <w:shd w:fill="FFFFFF" w:val="clear"/>
            <w:vAlign w:val="bottom"/>
          </w:tcPr>
          <w:p>
            <w:pPr>
              <w:pStyle w:val="TableContents"/>
              <w:spacing w:before="0" w:after="283"/>
              <w:rPr/>
            </w:pPr>
            <w:r>
              <w:rPr/>
              <w:t> </w:t>
            </w:r>
          </w:p>
        </w:tc>
        <w:tc>
          <w:tcPr>
            <w:tcW w:w="544" w:type="dxa"/>
            <w:tcBorders/>
            <w:shd w:fill="FFFFFF" w:val="clear"/>
            <w:vAlign w:val="bottom"/>
          </w:tcPr>
          <w:p>
            <w:pPr>
              <w:pStyle w:val="TableContents"/>
              <w:spacing w:before="0" w:after="283"/>
              <w:jc w:val="right"/>
              <w:rPr/>
            </w:pPr>
            <w:r>
              <w:rPr/>
              <w:t> </w:t>
            </w:r>
          </w:p>
        </w:tc>
        <w:tc>
          <w:tcPr>
            <w:tcW w:w="1731" w:type="dxa"/>
            <w:tcBorders/>
            <w:shd w:fill="FFFFFF" w:val="clear"/>
            <w:vAlign w:val="bottom"/>
          </w:tcPr>
          <w:p>
            <w:pPr>
              <w:pStyle w:val="TableContents"/>
              <w:spacing w:before="0" w:after="283"/>
              <w:jc w:val="right"/>
              <w:rPr/>
            </w:pPr>
            <w:r>
              <w:rPr/>
              <w:t> </w:t>
            </w:r>
          </w:p>
        </w:tc>
        <w:tc>
          <w:tcPr>
            <w:tcW w:w="351" w:type="dxa"/>
            <w:tcBorders/>
            <w:shd w:fill="FFFFFF" w:val="clear"/>
            <w:vAlign w:val="bottom"/>
          </w:tcPr>
          <w:p>
            <w:pPr>
              <w:pStyle w:val="TableContents"/>
              <w:spacing w:before="0" w:after="283"/>
              <w:jc w:val="left"/>
              <w:rPr/>
            </w:pPr>
            <w:r>
              <w:rPr/>
              <w:t> </w:t>
            </w:r>
          </w:p>
        </w:tc>
        <w:tc>
          <w:tcPr>
            <w:tcW w:w="68" w:type="dxa"/>
            <w:tcBorders/>
            <w:shd w:fill="FFFFFF" w:val="clear"/>
            <w:vAlign w:val="bottom"/>
          </w:tcPr>
          <w:p>
            <w:pPr>
              <w:pStyle w:val="TableContents"/>
              <w:spacing w:before="0" w:after="283"/>
              <w:rPr/>
            </w:pPr>
            <w:r>
              <w:rPr/>
              <w:t> </w:t>
            </w:r>
          </w:p>
        </w:tc>
        <w:tc>
          <w:tcPr>
            <w:tcW w:w="264" w:type="dxa"/>
            <w:tcBorders/>
            <w:shd w:fill="FFFFFF" w:val="clear"/>
            <w:vAlign w:val="bottom"/>
          </w:tcPr>
          <w:p>
            <w:pPr>
              <w:pStyle w:val="TableContents"/>
              <w:spacing w:before="0" w:after="283"/>
              <w:jc w:val="right"/>
              <w:rPr/>
            </w:pPr>
            <w:r>
              <w:rPr/>
              <w:t> </w:t>
            </w:r>
          </w:p>
        </w:tc>
        <w:tc>
          <w:tcPr>
            <w:tcW w:w="1936" w:type="dxa"/>
            <w:tcBorders/>
            <w:shd w:fill="FFFFFF" w:val="clear"/>
            <w:vAlign w:val="bottom"/>
          </w:tcPr>
          <w:p>
            <w:pPr>
              <w:pStyle w:val="TableContents"/>
              <w:spacing w:before="0" w:after="283"/>
              <w:jc w:val="right"/>
              <w:rPr/>
            </w:pPr>
            <w:r>
              <w:rPr/>
              <w:t> </w:t>
            </w:r>
          </w:p>
        </w:tc>
        <w:tc>
          <w:tcPr>
            <w:tcW w:w="625" w:type="dxa"/>
            <w:tcBorders/>
            <w:shd w:fill="FFFFFF" w:val="clear"/>
            <w:vAlign w:val="bottom"/>
          </w:tcPr>
          <w:p>
            <w:pPr>
              <w:pStyle w:val="TableContents"/>
              <w:spacing w:before="0" w:after="283"/>
              <w:jc w:val="left"/>
              <w:rPr/>
            </w:pPr>
            <w:r>
              <w:rPr/>
              <w:t> </w:t>
            </w:r>
          </w:p>
        </w:tc>
      </w:tr>
      <w:tr>
        <w:trPr/>
        <w:tc>
          <w:tcPr>
            <w:tcW w:w="1659"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shd w:fill="FFFFFF" w:val="clear"/>
            <w:vAlign w:val="bottom"/>
          </w:tcPr>
          <w:p>
            <w:pPr>
              <w:pStyle w:val="TableContents"/>
              <w:spacing w:before="0" w:after="283"/>
              <w:jc w:val="center"/>
              <w:rPr>
                <w:b/>
              </w:rPr>
            </w:pPr>
            <w:r>
              <w:rPr>
                <w:b/>
              </w:rPr>
              <w:t>Number of Units to</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shd w:fill="FFFFFF" w:val="clear"/>
            <w:vAlign w:val="bottom"/>
          </w:tcPr>
          <w:p>
            <w:pPr>
              <w:pStyle w:val="TableContents"/>
              <w:spacing w:before="0" w:after="283"/>
              <w:jc w:val="center"/>
              <w:rPr/>
            </w:pPr>
            <w:r>
              <w:rPr/>
              <w:t xml:space="preserve">  </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shd w:fill="FFFFFF" w:val="clear"/>
            <w:vAlign w:val="bottom"/>
          </w:tcPr>
          <w:p>
            <w:pPr>
              <w:pStyle w:val="TableContents"/>
              <w:spacing w:before="0" w:after="283"/>
              <w:jc w:val="center"/>
              <w:rPr>
                <w:b/>
              </w:rPr>
            </w:pPr>
            <w:r>
              <w:rPr>
                <w:b/>
              </w:rPr>
              <w:t>Number of Units</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shd w:fill="FFFFFF" w:val="clear"/>
            <w:vAlign w:val="bottom"/>
          </w:tcPr>
          <w:p>
            <w:pPr>
              <w:pStyle w:val="TableContents"/>
              <w:spacing w:before="0" w:after="283"/>
              <w:jc w:val="center"/>
              <w:rPr>
                <w:b/>
              </w:rPr>
            </w:pPr>
            <w:r>
              <w:rPr>
                <w:b/>
              </w:rPr>
              <w:t>be Issued upon</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shd w:fill="FFFFFF" w:val="clear"/>
            <w:vAlign w:val="bottom"/>
          </w:tcPr>
          <w:p>
            <w:pPr>
              <w:pStyle w:val="TableContents"/>
              <w:spacing w:before="0" w:after="283"/>
              <w:jc w:val="center"/>
              <w:rPr>
                <w:b/>
              </w:rPr>
            </w:pPr>
            <w:r>
              <w:rPr>
                <w:b/>
              </w:rPr>
              <w:t>Weighted Average</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shd w:fill="FFFFFF" w:val="clear"/>
            <w:vAlign w:val="bottom"/>
          </w:tcPr>
          <w:p>
            <w:pPr>
              <w:pStyle w:val="TableContents"/>
              <w:spacing w:before="0" w:after="283"/>
              <w:jc w:val="center"/>
              <w:rPr>
                <w:b/>
              </w:rPr>
            </w:pPr>
            <w:r>
              <w:rPr>
                <w:b/>
              </w:rPr>
              <w:t>Remaining Available</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shd w:fill="FFFFFF" w:val="clear"/>
            <w:vAlign w:val="bottom"/>
          </w:tcPr>
          <w:p>
            <w:pPr>
              <w:pStyle w:val="TableContents"/>
              <w:spacing w:before="0" w:after="283"/>
              <w:jc w:val="center"/>
              <w:rPr>
                <w:b/>
              </w:rPr>
            </w:pPr>
            <w:r>
              <w:rPr>
                <w:b/>
              </w:rPr>
              <w:t>Exercise/Vesting of</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shd w:fill="FFFFFF" w:val="clear"/>
            <w:vAlign w:val="bottom"/>
          </w:tcPr>
          <w:p>
            <w:pPr>
              <w:pStyle w:val="TableContents"/>
              <w:spacing w:before="0" w:after="283"/>
              <w:jc w:val="center"/>
              <w:rPr>
                <w:b/>
              </w:rPr>
            </w:pPr>
            <w:r>
              <w:rPr>
                <w:b/>
              </w:rPr>
              <w:t>Exercise Price of</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shd w:fill="FFFFFF" w:val="clear"/>
            <w:vAlign w:val="bottom"/>
          </w:tcPr>
          <w:p>
            <w:pPr>
              <w:pStyle w:val="TableContents"/>
              <w:spacing w:before="0" w:after="283"/>
              <w:jc w:val="center"/>
              <w:rPr>
                <w:b/>
              </w:rPr>
            </w:pPr>
            <w:r>
              <w:rPr>
                <w:b/>
              </w:rPr>
              <w:t>for Future Issuance</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bottom"/>
          </w:tcPr>
          <w:p>
            <w:pPr>
              <w:pStyle w:val="TableContents"/>
              <w:spacing w:before="0" w:after="283"/>
              <w:jc w:val="left"/>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shd w:fill="FFFFFF" w:val="clear"/>
            <w:vAlign w:val="bottom"/>
          </w:tcPr>
          <w:p>
            <w:pPr>
              <w:pStyle w:val="TableContents"/>
              <w:spacing w:before="0" w:after="283"/>
              <w:jc w:val="center"/>
              <w:rPr>
                <w:b/>
              </w:rPr>
            </w:pPr>
            <w:r>
              <w:rPr>
                <w:b/>
              </w:rPr>
              <w:t>Outstanding Options,</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shd w:fill="FFFFFF" w:val="clear"/>
            <w:vAlign w:val="bottom"/>
          </w:tcPr>
          <w:p>
            <w:pPr>
              <w:pStyle w:val="TableContents"/>
              <w:spacing w:before="0" w:after="283"/>
              <w:jc w:val="center"/>
              <w:rPr>
                <w:b/>
              </w:rPr>
            </w:pPr>
            <w:r>
              <w:rPr>
                <w:b/>
              </w:rPr>
              <w:t>Outstanding Options,</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shd w:fill="FFFFFF" w:val="clear"/>
            <w:vAlign w:val="bottom"/>
          </w:tcPr>
          <w:p>
            <w:pPr>
              <w:pStyle w:val="TableContents"/>
              <w:spacing w:before="0" w:after="283"/>
              <w:jc w:val="center"/>
              <w:rPr>
                <w:b/>
              </w:rPr>
            </w:pPr>
            <w:r>
              <w:rPr>
                <w:b/>
              </w:rPr>
              <w:t>under Equity</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bottom"/>
          </w:tcPr>
          <w:p>
            <w:pPr>
              <w:pStyle w:val="TableContents"/>
              <w:spacing w:before="0" w:after="0"/>
              <w:jc w:val="left"/>
              <w:rPr>
                <w:bdr w:val="single" w:sz="2" w:space="1" w:color="000000"/>
              </w:rPr>
            </w:pPr>
            <w:r>
              <w:rPr>
                <w:b/>
                <w:bdr w:val="single" w:sz="2" w:space="1" w:color="000000"/>
              </w:rPr>
              <w:t>Plan Category</w:t>
            </w:r>
            <w:r>
              <w:rPr>
                <w:bdr w:val="single" w:sz="2" w:space="1" w:color="000000"/>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Warrants and Rights</w:t>
            </w:r>
            <w:r>
              <w:rPr/>
              <w:t xml:space="preserve"> </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Warrants and Rights</w:t>
            </w:r>
            <w:r>
              <w:rPr/>
              <w:t xml:space="preserve"> </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Compensation Plans</w:t>
            </w:r>
            <w:r>
              <w:rPr/>
              <w:t xml:space="preserve"> </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bottom"/>
          </w:tcPr>
          <w:p>
            <w:pPr>
              <w:pStyle w:val="TableContents"/>
              <w:spacing w:before="0" w:after="283"/>
              <w:jc w:val="center"/>
              <w:rPr/>
            </w:pPr>
            <w:r>
              <w:rPr/>
              <w:t xml:space="preserve">  </w:t>
            </w:r>
          </w:p>
        </w:tc>
        <w:tc>
          <w:tcPr>
            <w:tcW w:w="65" w:type="dxa"/>
            <w:tcBorders/>
            <w:shd w:fill="FFFFFF" w:val="clear"/>
            <w:vAlign w:val="bottom"/>
          </w:tcPr>
          <w:p>
            <w:pPr>
              <w:pStyle w:val="TableContents"/>
              <w:spacing w:before="0" w:after="283"/>
              <w:jc w:val="center"/>
              <w:rPr/>
            </w:pPr>
            <w:r>
              <w:rPr/>
              <w:t xml:space="preserve">  </w:t>
            </w:r>
          </w:p>
        </w:tc>
        <w:tc>
          <w:tcPr>
            <w:tcW w:w="2274" w:type="dxa"/>
            <w:gridSpan w:val="2"/>
            <w:tcBorders/>
            <w:shd w:fill="FFFFFF" w:val="clear"/>
            <w:vAlign w:val="bottom"/>
          </w:tcPr>
          <w:p>
            <w:pPr>
              <w:pStyle w:val="TableContents"/>
              <w:spacing w:before="0" w:after="283"/>
              <w:jc w:val="center"/>
              <w:rPr/>
            </w:pPr>
            <w:r>
              <w:rPr>
                <w:b/>
              </w:rPr>
              <w:t>(a)</w:t>
            </w:r>
            <w:r>
              <w:rPr/>
              <w:t xml:space="preserve"> </w:t>
            </w:r>
          </w:p>
        </w:tc>
        <w:tc>
          <w:tcPr>
            <w:tcW w:w="620"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75" w:type="dxa"/>
            <w:gridSpan w:val="2"/>
            <w:tcBorders/>
            <w:shd w:fill="FFFFFF" w:val="clear"/>
            <w:vAlign w:val="bottom"/>
          </w:tcPr>
          <w:p>
            <w:pPr>
              <w:pStyle w:val="TableContents"/>
              <w:spacing w:before="0" w:after="283"/>
              <w:jc w:val="center"/>
              <w:rPr/>
            </w:pPr>
            <w:r>
              <w:rPr>
                <w:b/>
              </w:rPr>
              <w:t>(b)</w:t>
            </w:r>
            <w:r>
              <w:rPr/>
              <w:t xml:space="preserve"> </w:t>
            </w:r>
          </w:p>
        </w:tc>
        <w:tc>
          <w:tcPr>
            <w:tcW w:w="351" w:type="dxa"/>
            <w:tcBorders/>
            <w:shd w:fill="FFFFFF" w:val="clear"/>
            <w:vAlign w:val="bottom"/>
          </w:tcPr>
          <w:p>
            <w:pPr>
              <w:pStyle w:val="TableContents"/>
              <w:spacing w:before="0" w:after="283"/>
              <w:jc w:val="center"/>
              <w:rPr/>
            </w:pPr>
            <w:r>
              <w:rPr/>
              <w:t xml:space="preserve">  </w:t>
            </w:r>
          </w:p>
        </w:tc>
        <w:tc>
          <w:tcPr>
            <w:tcW w:w="68" w:type="dxa"/>
            <w:tcBorders/>
            <w:shd w:fill="FFFFFF" w:val="clear"/>
            <w:vAlign w:val="bottom"/>
          </w:tcPr>
          <w:p>
            <w:pPr>
              <w:pStyle w:val="TableContents"/>
              <w:spacing w:before="0" w:after="283"/>
              <w:jc w:val="center"/>
              <w:rPr/>
            </w:pPr>
            <w:r>
              <w:rPr/>
              <w:t xml:space="preserve">  </w:t>
            </w:r>
          </w:p>
        </w:tc>
        <w:tc>
          <w:tcPr>
            <w:tcW w:w="2200" w:type="dxa"/>
            <w:gridSpan w:val="2"/>
            <w:tcBorders/>
            <w:shd w:fill="FFFFFF" w:val="clear"/>
            <w:vAlign w:val="bottom"/>
          </w:tcPr>
          <w:p>
            <w:pPr>
              <w:pStyle w:val="TableContents"/>
              <w:spacing w:before="0" w:after="283"/>
              <w:jc w:val="center"/>
              <w:rPr/>
            </w:pPr>
            <w:r>
              <w:rPr>
                <w:b/>
              </w:rPr>
              <w:t>(c)</w:t>
            </w:r>
            <w:r>
              <w:rPr/>
              <w:t xml:space="preserve"> </w:t>
            </w:r>
          </w:p>
        </w:tc>
        <w:tc>
          <w:tcPr>
            <w:tcW w:w="625" w:type="dxa"/>
            <w:tcBorders/>
            <w:shd w:fill="FFFFFF" w:val="clear"/>
            <w:vAlign w:val="bottom"/>
          </w:tcPr>
          <w:p>
            <w:pPr>
              <w:pStyle w:val="TableContents"/>
              <w:spacing w:before="0" w:after="283"/>
              <w:jc w:val="center"/>
              <w:rPr/>
            </w:pPr>
            <w:r>
              <w:rPr/>
              <w:t xml:space="preserve">  </w:t>
            </w:r>
          </w:p>
        </w:tc>
      </w:tr>
      <w:tr>
        <w:trPr/>
        <w:tc>
          <w:tcPr>
            <w:tcW w:w="1659" w:type="dxa"/>
            <w:tcBorders/>
            <w:shd w:fill="FFFFFF" w:val="clear"/>
            <w:vAlign w:val="center"/>
          </w:tcPr>
          <w:p>
            <w:pPr>
              <w:pStyle w:val="TableContents"/>
              <w:spacing w:before="0" w:after="283"/>
              <w:rPr/>
            </w:pPr>
            <w:r>
              <w:rPr/>
              <w:t xml:space="preserve">  </w:t>
            </w:r>
          </w:p>
        </w:tc>
        <w:tc>
          <w:tcPr>
            <w:tcW w:w="8546" w:type="dxa"/>
            <w:gridSpan w:val="12"/>
            <w:tcBorders/>
            <w:shd w:fill="FFFFFF" w:val="clear"/>
          </w:tcPr>
          <w:p>
            <w:pPr>
              <w:pStyle w:val="TableContents"/>
              <w:spacing w:before="0" w:after="283"/>
              <w:rPr>
                <w:sz w:val="4"/>
                <w:szCs w:val="4"/>
              </w:rPr>
            </w:pPr>
            <w:r>
              <w:rPr>
                <w:sz w:val="4"/>
                <w:szCs w:val="4"/>
              </w:rPr>
            </w:r>
          </w:p>
        </w:tc>
      </w:tr>
      <w:tr>
        <w:trPr/>
        <w:tc>
          <w:tcPr>
            <w:tcW w:w="1659" w:type="dxa"/>
            <w:tcBorders/>
            <w:shd w:fill="CCEEFF" w:val="clear"/>
            <w:vAlign w:val="bottom"/>
          </w:tcPr>
          <w:p>
            <w:pPr>
              <w:pStyle w:val="TableContents"/>
              <w:spacing w:before="0" w:after="0"/>
              <w:ind w:left="200" w:right="0" w:hanging="200"/>
              <w:jc w:val="left"/>
              <w:rPr>
                <w:sz w:val="17"/>
              </w:rPr>
            </w:pPr>
            <w:r>
              <w:rPr>
                <w:sz w:val="17"/>
              </w:rPr>
              <w:t xml:space="preserve">Equity compensation plans approved by unitholders: </w:t>
            </w:r>
          </w:p>
        </w:tc>
        <w:tc>
          <w:tcPr>
            <w:tcW w:w="65"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043" w:type="dxa"/>
            <w:tcBorders/>
            <w:shd w:fill="CCEEFF" w:val="clear"/>
            <w:vAlign w:val="bottom"/>
          </w:tcPr>
          <w:p>
            <w:pPr>
              <w:pStyle w:val="TableContents"/>
              <w:spacing w:before="0" w:after="283"/>
              <w:jc w:val="right"/>
              <w:rPr/>
            </w:pPr>
            <w:r>
              <w:rPr/>
              <w:t xml:space="preserve">  </w:t>
            </w:r>
          </w:p>
        </w:tc>
        <w:tc>
          <w:tcPr>
            <w:tcW w:w="620" w:type="dxa"/>
            <w:tcBorders/>
            <w:shd w:fill="CCEEFF" w:val="clear"/>
            <w:vAlign w:val="bottom"/>
          </w:tcPr>
          <w:p>
            <w:pPr>
              <w:pStyle w:val="TableContents"/>
              <w:spacing w:before="0" w:after="283"/>
              <w:jc w:val="left"/>
              <w:rPr/>
            </w:pPr>
            <w:r>
              <w:rPr/>
              <w:t xml:space="preserve">  </w:t>
            </w:r>
          </w:p>
        </w:tc>
        <w:tc>
          <w:tcPr>
            <w:tcW w:w="68" w:type="dxa"/>
            <w:tcBorders/>
            <w:shd w:fill="CCEEFF" w:val="clear"/>
            <w:vAlign w:val="bottom"/>
          </w:tcPr>
          <w:p>
            <w:pPr>
              <w:pStyle w:val="TableContents"/>
              <w:spacing w:before="0" w:after="283"/>
              <w:rPr/>
            </w:pPr>
            <w:r>
              <w:rPr/>
              <w:t xml:space="preserve">  </w:t>
            </w:r>
          </w:p>
        </w:tc>
        <w:tc>
          <w:tcPr>
            <w:tcW w:w="544" w:type="dxa"/>
            <w:tcBorders/>
            <w:shd w:fill="CCEEFF" w:val="clear"/>
            <w:vAlign w:val="bottom"/>
          </w:tcPr>
          <w:p>
            <w:pPr>
              <w:pStyle w:val="TableContents"/>
              <w:spacing w:before="0" w:after="283"/>
              <w:jc w:val="left"/>
              <w:rPr/>
            </w:pPr>
            <w:r>
              <w:rPr/>
              <w:t xml:space="preserve">  </w:t>
            </w:r>
          </w:p>
        </w:tc>
        <w:tc>
          <w:tcPr>
            <w:tcW w:w="1731" w:type="dxa"/>
            <w:tcBorders/>
            <w:shd w:fill="CCEEFF" w:val="clear"/>
            <w:vAlign w:val="bottom"/>
          </w:tcPr>
          <w:p>
            <w:pPr>
              <w:pStyle w:val="TableContents"/>
              <w:spacing w:before="0" w:after="283"/>
              <w:jc w:val="right"/>
              <w:rPr/>
            </w:pPr>
            <w:r>
              <w:rPr/>
              <w:t xml:space="preserve">  </w:t>
            </w:r>
          </w:p>
        </w:tc>
        <w:tc>
          <w:tcPr>
            <w:tcW w:w="351" w:type="dxa"/>
            <w:tcBorders/>
            <w:shd w:fill="CCEEFF" w:val="clear"/>
            <w:vAlign w:val="bottom"/>
          </w:tcPr>
          <w:p>
            <w:pPr>
              <w:pStyle w:val="TableContents"/>
              <w:spacing w:before="0" w:after="283"/>
              <w:jc w:val="left"/>
              <w:rPr/>
            </w:pPr>
            <w:r>
              <w:rPr/>
              <w:t xml:space="preserve">  </w:t>
            </w:r>
          </w:p>
        </w:tc>
        <w:tc>
          <w:tcPr>
            <w:tcW w:w="68"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936" w:type="dxa"/>
            <w:tcBorders/>
            <w:shd w:fill="CCEEFF" w:val="clear"/>
            <w:vAlign w:val="bottom"/>
          </w:tcPr>
          <w:p>
            <w:pPr>
              <w:pStyle w:val="TableContents"/>
              <w:spacing w:before="0" w:after="283"/>
              <w:jc w:val="right"/>
              <w:rPr/>
            </w:pPr>
            <w:r>
              <w:rPr/>
              <w:t xml:space="preserve">  </w:t>
            </w:r>
          </w:p>
        </w:tc>
        <w:tc>
          <w:tcPr>
            <w:tcW w:w="625" w:type="dxa"/>
            <w:tcBorders/>
            <w:shd w:fill="CCEEFF" w:val="clear"/>
            <w:vAlign w:val="bottom"/>
          </w:tcPr>
          <w:p>
            <w:pPr>
              <w:pStyle w:val="TableContents"/>
              <w:spacing w:before="0" w:after="283"/>
              <w:jc w:val="left"/>
              <w:rPr/>
            </w:pPr>
            <w:r>
              <w:rPr/>
              <w:t xml:space="preserve">  </w:t>
            </w:r>
          </w:p>
        </w:tc>
      </w:tr>
      <w:tr>
        <w:trPr/>
        <w:tc>
          <w:tcPr>
            <w:tcW w:w="1659" w:type="dxa"/>
            <w:tcBorders/>
            <w:shd w:fill="FFFFFF" w:val="clear"/>
            <w:vAlign w:val="bottom"/>
          </w:tcPr>
          <w:p>
            <w:pPr>
              <w:pStyle w:val="TableContents"/>
              <w:spacing w:before="0" w:after="0"/>
              <w:ind w:left="400" w:right="0" w:hanging="200"/>
              <w:jc w:val="left"/>
              <w:rPr>
                <w:sz w:val="17"/>
              </w:rPr>
            </w:pPr>
            <w:r>
              <w:rPr>
                <w:sz w:val="17"/>
              </w:rPr>
              <w:t xml:space="preserve">1998 Long Term Incentive Plan </w:t>
            </w:r>
          </w:p>
        </w:tc>
        <w:tc>
          <w:tcPr>
            <w:tcW w:w="65"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043" w:type="dxa"/>
            <w:tcBorders/>
            <w:shd w:fill="FFFFFF" w:val="clear"/>
            <w:vAlign w:val="bottom"/>
          </w:tcPr>
          <w:p>
            <w:pPr>
              <w:pStyle w:val="TableContents"/>
              <w:spacing w:before="0" w:after="283"/>
              <w:jc w:val="right"/>
              <w:rPr/>
            </w:pPr>
            <w:r>
              <w:rPr/>
              <w:t xml:space="preserve">40,550 </w:t>
            </w:r>
          </w:p>
        </w:tc>
        <w:tc>
          <w:tcPr>
            <w:tcW w:w="620" w:type="dxa"/>
            <w:tcBorders/>
            <w:shd w:fill="FFFFFF" w:val="clear"/>
            <w:vAlign w:val="bottom"/>
          </w:tcPr>
          <w:p>
            <w:pPr>
              <w:pStyle w:val="TableContents"/>
              <w:spacing w:before="0" w:after="283"/>
              <w:jc w:val="left"/>
              <w:rPr/>
            </w:pPr>
            <w:r>
              <w:rPr/>
              <w:t xml:space="preserve">(1) </w:t>
            </w:r>
          </w:p>
        </w:tc>
        <w:tc>
          <w:tcPr>
            <w:tcW w:w="68" w:type="dxa"/>
            <w:tcBorders/>
            <w:shd w:fill="FFFFFF" w:val="clear"/>
            <w:vAlign w:val="bottom"/>
          </w:tcPr>
          <w:p>
            <w:pPr>
              <w:pStyle w:val="TableContents"/>
              <w:spacing w:before="0" w:after="283"/>
              <w:rPr/>
            </w:pPr>
            <w:r>
              <w:rPr/>
              <w:t xml:space="preserve">  </w:t>
            </w:r>
          </w:p>
        </w:tc>
        <w:tc>
          <w:tcPr>
            <w:tcW w:w="544" w:type="dxa"/>
            <w:tcBorders/>
            <w:shd w:fill="FFFFFF" w:val="clear"/>
            <w:vAlign w:val="bottom"/>
          </w:tcPr>
          <w:p>
            <w:pPr>
              <w:pStyle w:val="TableContents"/>
              <w:spacing w:before="0" w:after="283"/>
              <w:jc w:val="left"/>
              <w:rPr/>
            </w:pPr>
            <w:r>
              <w:rPr/>
              <w:t xml:space="preserve">  </w:t>
            </w:r>
          </w:p>
        </w:tc>
        <w:tc>
          <w:tcPr>
            <w:tcW w:w="1731" w:type="dxa"/>
            <w:tcBorders/>
            <w:shd w:fill="FFFFFF" w:val="clear"/>
            <w:vAlign w:val="bottom"/>
          </w:tcPr>
          <w:p>
            <w:pPr>
              <w:pStyle w:val="TableContents"/>
              <w:spacing w:before="0" w:after="283"/>
              <w:jc w:val="right"/>
              <w:rPr/>
            </w:pPr>
            <w:r>
              <w:rPr/>
              <w:t xml:space="preserve">N/A </w:t>
            </w:r>
          </w:p>
        </w:tc>
        <w:tc>
          <w:tcPr>
            <w:tcW w:w="351" w:type="dxa"/>
            <w:tcBorders/>
            <w:shd w:fill="FFFFFF" w:val="clear"/>
            <w:vAlign w:val="bottom"/>
          </w:tcPr>
          <w:p>
            <w:pPr>
              <w:pStyle w:val="TableContents"/>
              <w:spacing w:before="0" w:after="283"/>
              <w:jc w:val="left"/>
              <w:rPr/>
            </w:pPr>
            <w:r>
              <w:rPr/>
              <w:t xml:space="preserve">(2) </w:t>
            </w:r>
          </w:p>
        </w:tc>
        <w:tc>
          <w:tcPr>
            <w:tcW w:w="68"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936" w:type="dxa"/>
            <w:tcBorders/>
            <w:shd w:fill="FFFFFF" w:val="clear"/>
            <w:vAlign w:val="bottom"/>
          </w:tcPr>
          <w:p>
            <w:pPr>
              <w:pStyle w:val="TableContents"/>
              <w:spacing w:before="0" w:after="283"/>
              <w:jc w:val="right"/>
              <w:rPr/>
            </w:pPr>
            <w:r>
              <w:rPr/>
              <w:t xml:space="preserve">506,708 </w:t>
            </w:r>
          </w:p>
        </w:tc>
        <w:tc>
          <w:tcPr>
            <w:tcW w:w="625" w:type="dxa"/>
            <w:tcBorders/>
            <w:shd w:fill="FFFFFF" w:val="clear"/>
            <w:vAlign w:val="bottom"/>
          </w:tcPr>
          <w:p>
            <w:pPr>
              <w:pStyle w:val="TableContents"/>
              <w:spacing w:before="0" w:after="283"/>
              <w:jc w:val="left"/>
              <w:rPr/>
            </w:pPr>
            <w:r>
              <w:rPr/>
              <w:t xml:space="preserve">(1)(3) </w:t>
            </w:r>
          </w:p>
        </w:tc>
      </w:tr>
      <w:tr>
        <w:trPr/>
        <w:tc>
          <w:tcPr>
            <w:tcW w:w="1659" w:type="dxa"/>
            <w:tcBorders/>
            <w:shd w:fill="CCEEFF" w:val="clear"/>
            <w:vAlign w:val="bottom"/>
          </w:tcPr>
          <w:p>
            <w:pPr>
              <w:pStyle w:val="TableContents"/>
              <w:spacing w:before="0" w:after="0"/>
              <w:ind w:left="400" w:right="0" w:hanging="200"/>
              <w:jc w:val="left"/>
              <w:rPr>
                <w:sz w:val="17"/>
              </w:rPr>
            </w:pPr>
            <w:r>
              <w:rPr>
                <w:sz w:val="17"/>
              </w:rPr>
              <w:t xml:space="preserve">2005 Long Term Incentive Plan </w:t>
            </w:r>
          </w:p>
        </w:tc>
        <w:tc>
          <w:tcPr>
            <w:tcW w:w="65"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043" w:type="dxa"/>
            <w:tcBorders/>
            <w:shd w:fill="CCEEFF" w:val="clear"/>
            <w:vAlign w:val="bottom"/>
          </w:tcPr>
          <w:p>
            <w:pPr>
              <w:pStyle w:val="TableContents"/>
              <w:spacing w:before="0" w:after="283"/>
              <w:jc w:val="right"/>
              <w:rPr/>
            </w:pPr>
            <w:r>
              <w:rPr/>
              <w:t xml:space="preserve">2,195,700 </w:t>
            </w:r>
          </w:p>
        </w:tc>
        <w:tc>
          <w:tcPr>
            <w:tcW w:w="620" w:type="dxa"/>
            <w:tcBorders/>
            <w:shd w:fill="CCEEFF" w:val="clear"/>
            <w:vAlign w:val="bottom"/>
          </w:tcPr>
          <w:p>
            <w:pPr>
              <w:pStyle w:val="TableContents"/>
              <w:spacing w:before="0" w:after="283"/>
              <w:jc w:val="left"/>
              <w:rPr/>
            </w:pPr>
            <w:r>
              <w:rPr/>
              <w:t xml:space="preserve">(4) </w:t>
            </w:r>
          </w:p>
        </w:tc>
        <w:tc>
          <w:tcPr>
            <w:tcW w:w="68" w:type="dxa"/>
            <w:tcBorders/>
            <w:shd w:fill="CCEEFF" w:val="clear"/>
            <w:vAlign w:val="bottom"/>
          </w:tcPr>
          <w:p>
            <w:pPr>
              <w:pStyle w:val="TableContents"/>
              <w:spacing w:before="0" w:after="283"/>
              <w:rPr/>
            </w:pPr>
            <w:r>
              <w:rPr/>
              <w:t xml:space="preserve">  </w:t>
            </w:r>
          </w:p>
        </w:tc>
        <w:tc>
          <w:tcPr>
            <w:tcW w:w="544" w:type="dxa"/>
            <w:tcBorders/>
            <w:shd w:fill="CCEEFF" w:val="clear"/>
            <w:vAlign w:val="bottom"/>
          </w:tcPr>
          <w:p>
            <w:pPr>
              <w:pStyle w:val="TableContents"/>
              <w:spacing w:before="0" w:after="283"/>
              <w:jc w:val="left"/>
              <w:rPr/>
            </w:pPr>
            <w:r>
              <w:rPr/>
              <w:t xml:space="preserve">  </w:t>
            </w:r>
          </w:p>
        </w:tc>
        <w:tc>
          <w:tcPr>
            <w:tcW w:w="1731" w:type="dxa"/>
            <w:tcBorders/>
            <w:shd w:fill="CCEEFF" w:val="clear"/>
            <w:vAlign w:val="bottom"/>
          </w:tcPr>
          <w:p>
            <w:pPr>
              <w:pStyle w:val="TableContents"/>
              <w:spacing w:before="0" w:after="283"/>
              <w:jc w:val="right"/>
              <w:rPr/>
            </w:pPr>
            <w:r>
              <w:rPr/>
              <w:t xml:space="preserve">N/A </w:t>
            </w:r>
          </w:p>
        </w:tc>
        <w:tc>
          <w:tcPr>
            <w:tcW w:w="351" w:type="dxa"/>
            <w:tcBorders/>
            <w:shd w:fill="CCEEFF" w:val="clear"/>
            <w:vAlign w:val="bottom"/>
          </w:tcPr>
          <w:p>
            <w:pPr>
              <w:pStyle w:val="TableContents"/>
              <w:spacing w:before="0" w:after="283"/>
              <w:jc w:val="left"/>
              <w:rPr/>
            </w:pPr>
            <w:r>
              <w:rPr/>
              <w:t xml:space="preserve">(2) </w:t>
            </w:r>
          </w:p>
        </w:tc>
        <w:tc>
          <w:tcPr>
            <w:tcW w:w="68"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936" w:type="dxa"/>
            <w:tcBorders/>
            <w:shd w:fill="CCEEFF" w:val="clear"/>
            <w:vAlign w:val="bottom"/>
          </w:tcPr>
          <w:p>
            <w:pPr>
              <w:pStyle w:val="TableContents"/>
              <w:spacing w:before="0" w:after="283"/>
              <w:jc w:val="right"/>
              <w:rPr/>
            </w:pPr>
            <w:r>
              <w:rPr/>
              <w:t xml:space="preserve">804,300 </w:t>
            </w:r>
          </w:p>
        </w:tc>
        <w:tc>
          <w:tcPr>
            <w:tcW w:w="625" w:type="dxa"/>
            <w:tcBorders/>
            <w:shd w:fill="CCEEFF" w:val="clear"/>
            <w:vAlign w:val="bottom"/>
          </w:tcPr>
          <w:p>
            <w:pPr>
              <w:pStyle w:val="TableContents"/>
              <w:spacing w:before="0" w:after="283"/>
              <w:jc w:val="left"/>
              <w:rPr/>
            </w:pPr>
            <w:r>
              <w:rPr/>
              <w:t xml:space="preserve">(3) </w:t>
            </w:r>
          </w:p>
        </w:tc>
      </w:tr>
      <w:tr>
        <w:trPr/>
        <w:tc>
          <w:tcPr>
            <w:tcW w:w="1659" w:type="dxa"/>
            <w:tcBorders/>
            <w:shd w:fill="FFFFFF" w:val="clear"/>
            <w:vAlign w:val="bottom"/>
          </w:tcPr>
          <w:p>
            <w:pPr>
              <w:pStyle w:val="TableContents"/>
              <w:spacing w:before="0" w:after="0"/>
              <w:ind w:left="200" w:right="0" w:hanging="200"/>
              <w:jc w:val="left"/>
              <w:rPr>
                <w:sz w:val="17"/>
              </w:rPr>
            </w:pPr>
            <w:r>
              <w:rPr>
                <w:sz w:val="17"/>
              </w:rPr>
              <w:t xml:space="preserve">Equity compensation plans not approved by unitholders: </w:t>
            </w:r>
          </w:p>
        </w:tc>
        <w:tc>
          <w:tcPr>
            <w:tcW w:w="65"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043"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  </w:t>
            </w:r>
          </w:p>
        </w:tc>
        <w:tc>
          <w:tcPr>
            <w:tcW w:w="68" w:type="dxa"/>
            <w:tcBorders/>
            <w:shd w:fill="FFFFFF" w:val="clear"/>
            <w:vAlign w:val="bottom"/>
          </w:tcPr>
          <w:p>
            <w:pPr>
              <w:pStyle w:val="TableContents"/>
              <w:spacing w:before="0" w:after="283"/>
              <w:rPr/>
            </w:pPr>
            <w:r>
              <w:rPr/>
              <w:t xml:space="preserve">  </w:t>
            </w:r>
          </w:p>
        </w:tc>
        <w:tc>
          <w:tcPr>
            <w:tcW w:w="544" w:type="dxa"/>
            <w:tcBorders/>
            <w:shd w:fill="FFFFFF" w:val="clear"/>
            <w:vAlign w:val="bottom"/>
          </w:tcPr>
          <w:p>
            <w:pPr>
              <w:pStyle w:val="TableContents"/>
              <w:spacing w:before="0" w:after="283"/>
              <w:jc w:val="left"/>
              <w:rPr/>
            </w:pPr>
            <w:r>
              <w:rPr/>
              <w:t xml:space="preserve">  </w:t>
            </w:r>
          </w:p>
        </w:tc>
        <w:tc>
          <w:tcPr>
            <w:tcW w:w="1731" w:type="dxa"/>
            <w:tcBorders/>
            <w:shd w:fill="FFFFFF" w:val="clear"/>
            <w:vAlign w:val="bottom"/>
          </w:tcPr>
          <w:p>
            <w:pPr>
              <w:pStyle w:val="TableContents"/>
              <w:spacing w:before="0" w:after="283"/>
              <w:jc w:val="right"/>
              <w:rPr/>
            </w:pPr>
            <w:r>
              <w:rPr/>
              <w:t xml:space="preserve">  </w:t>
            </w:r>
          </w:p>
        </w:tc>
        <w:tc>
          <w:tcPr>
            <w:tcW w:w="351" w:type="dxa"/>
            <w:tcBorders/>
            <w:shd w:fill="FFFFFF" w:val="clear"/>
            <w:vAlign w:val="bottom"/>
          </w:tcPr>
          <w:p>
            <w:pPr>
              <w:pStyle w:val="TableContents"/>
              <w:spacing w:before="0" w:after="283"/>
              <w:jc w:val="left"/>
              <w:rPr/>
            </w:pPr>
            <w:r>
              <w:rPr/>
              <w:t xml:space="preserve">  </w:t>
            </w:r>
          </w:p>
        </w:tc>
        <w:tc>
          <w:tcPr>
            <w:tcW w:w="68"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936" w:type="dxa"/>
            <w:tcBorders/>
            <w:shd w:fill="FFFFFF" w:val="clear"/>
            <w:vAlign w:val="bottom"/>
          </w:tcPr>
          <w:p>
            <w:pPr>
              <w:pStyle w:val="TableContents"/>
              <w:spacing w:before="0" w:after="283"/>
              <w:jc w:val="right"/>
              <w:rPr/>
            </w:pPr>
            <w:r>
              <w:rPr/>
              <w:t xml:space="preserve">  </w:t>
            </w:r>
          </w:p>
        </w:tc>
        <w:tc>
          <w:tcPr>
            <w:tcW w:w="625" w:type="dxa"/>
            <w:tcBorders/>
            <w:shd w:fill="FFFFFF" w:val="clear"/>
            <w:vAlign w:val="bottom"/>
          </w:tcPr>
          <w:p>
            <w:pPr>
              <w:pStyle w:val="TableContents"/>
              <w:spacing w:before="0" w:after="283"/>
              <w:jc w:val="left"/>
              <w:rPr/>
            </w:pPr>
            <w:r>
              <w:rPr/>
              <w:t xml:space="preserve">  </w:t>
            </w:r>
          </w:p>
        </w:tc>
      </w:tr>
      <w:tr>
        <w:trPr/>
        <w:tc>
          <w:tcPr>
            <w:tcW w:w="1659" w:type="dxa"/>
            <w:tcBorders/>
            <w:shd w:fill="CCEEFF" w:val="clear"/>
            <w:vAlign w:val="bottom"/>
          </w:tcPr>
          <w:p>
            <w:pPr>
              <w:pStyle w:val="TableContents"/>
              <w:spacing w:before="0" w:after="0"/>
              <w:ind w:left="400" w:right="0" w:hanging="200"/>
              <w:jc w:val="left"/>
              <w:rPr>
                <w:sz w:val="17"/>
              </w:rPr>
            </w:pPr>
            <w:r>
              <w:rPr>
                <w:sz w:val="17"/>
              </w:rPr>
              <w:t xml:space="preserve">1998 Long Term Incentive Plan </w:t>
            </w:r>
          </w:p>
        </w:tc>
        <w:tc>
          <w:tcPr>
            <w:tcW w:w="65"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043" w:type="dxa"/>
            <w:tcBorders/>
            <w:shd w:fill="CCEEFF" w:val="clear"/>
            <w:vAlign w:val="bottom"/>
          </w:tcPr>
          <w:p>
            <w:pPr>
              <w:pStyle w:val="TableContents"/>
              <w:spacing w:before="0" w:after="283"/>
              <w:jc w:val="right"/>
              <w:rPr/>
            </w:pPr>
            <w:r>
              <w:rPr/>
              <w:t xml:space="preserve"> </w:t>
            </w:r>
          </w:p>
        </w:tc>
        <w:tc>
          <w:tcPr>
            <w:tcW w:w="620" w:type="dxa"/>
            <w:tcBorders/>
            <w:shd w:fill="CCEEFF" w:val="clear"/>
            <w:vAlign w:val="bottom"/>
          </w:tcPr>
          <w:p>
            <w:pPr>
              <w:pStyle w:val="TableContents"/>
              <w:spacing w:before="0" w:after="283"/>
              <w:jc w:val="left"/>
              <w:rPr/>
            </w:pPr>
            <w:r>
              <w:rPr/>
              <w:t xml:space="preserve">(1)(5) </w:t>
            </w:r>
          </w:p>
        </w:tc>
        <w:tc>
          <w:tcPr>
            <w:tcW w:w="68" w:type="dxa"/>
            <w:tcBorders/>
            <w:shd w:fill="CCEEFF" w:val="clear"/>
            <w:vAlign w:val="bottom"/>
          </w:tcPr>
          <w:p>
            <w:pPr>
              <w:pStyle w:val="TableContents"/>
              <w:spacing w:before="0" w:after="283"/>
              <w:rPr/>
            </w:pPr>
            <w:r>
              <w:rPr/>
              <w:t xml:space="preserve">  </w:t>
            </w:r>
          </w:p>
        </w:tc>
        <w:tc>
          <w:tcPr>
            <w:tcW w:w="544" w:type="dxa"/>
            <w:tcBorders/>
            <w:shd w:fill="CCEEFF" w:val="clear"/>
            <w:vAlign w:val="bottom"/>
          </w:tcPr>
          <w:p>
            <w:pPr>
              <w:pStyle w:val="TableContents"/>
              <w:spacing w:before="0" w:after="283"/>
              <w:jc w:val="left"/>
              <w:rPr/>
            </w:pPr>
            <w:r>
              <w:rPr/>
              <w:t xml:space="preserve">  </w:t>
            </w:r>
          </w:p>
        </w:tc>
        <w:tc>
          <w:tcPr>
            <w:tcW w:w="1731" w:type="dxa"/>
            <w:tcBorders/>
            <w:shd w:fill="CCEEFF" w:val="clear"/>
            <w:vAlign w:val="bottom"/>
          </w:tcPr>
          <w:p>
            <w:pPr>
              <w:pStyle w:val="TableContents"/>
              <w:spacing w:before="0" w:after="283"/>
              <w:jc w:val="right"/>
              <w:rPr/>
            </w:pPr>
            <w:r>
              <w:rPr/>
              <w:t xml:space="preserve">N/A </w:t>
            </w:r>
          </w:p>
        </w:tc>
        <w:tc>
          <w:tcPr>
            <w:tcW w:w="351" w:type="dxa"/>
            <w:tcBorders/>
            <w:shd w:fill="CCEEFF" w:val="clear"/>
            <w:vAlign w:val="bottom"/>
          </w:tcPr>
          <w:p>
            <w:pPr>
              <w:pStyle w:val="TableContents"/>
              <w:spacing w:before="0" w:after="283"/>
              <w:jc w:val="left"/>
              <w:rPr/>
            </w:pPr>
            <w:r>
              <w:rPr/>
              <w:t xml:space="preserve">(2) </w:t>
            </w:r>
          </w:p>
        </w:tc>
        <w:tc>
          <w:tcPr>
            <w:tcW w:w="68"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936" w:type="dxa"/>
            <w:tcBorders/>
            <w:shd w:fill="CCEEFF" w:val="clear"/>
            <w:vAlign w:val="bottom"/>
          </w:tcPr>
          <w:p>
            <w:pPr>
              <w:pStyle w:val="TableContents"/>
              <w:spacing w:before="0" w:after="283"/>
              <w:jc w:val="right"/>
              <w:rPr/>
            </w:pPr>
            <w:r>
              <w:rPr/>
              <w:t xml:space="preserve"> </w:t>
            </w:r>
          </w:p>
        </w:tc>
        <w:tc>
          <w:tcPr>
            <w:tcW w:w="625" w:type="dxa"/>
            <w:tcBorders/>
            <w:shd w:fill="CCEEFF" w:val="clear"/>
            <w:vAlign w:val="bottom"/>
          </w:tcPr>
          <w:p>
            <w:pPr>
              <w:pStyle w:val="TableContents"/>
              <w:spacing w:before="0" w:after="283"/>
              <w:jc w:val="left"/>
              <w:rPr/>
            </w:pPr>
            <w:r>
              <w:rPr/>
              <w:t xml:space="preserve">(6) </w:t>
            </w:r>
          </w:p>
        </w:tc>
      </w:tr>
      <w:tr>
        <w:trPr/>
        <w:tc>
          <w:tcPr>
            <w:tcW w:w="1659" w:type="dxa"/>
            <w:tcBorders/>
            <w:shd w:fill="FFFFFF" w:val="clear"/>
            <w:vAlign w:val="bottom"/>
          </w:tcPr>
          <w:p>
            <w:pPr>
              <w:pStyle w:val="TableContents"/>
              <w:spacing w:before="0" w:after="0"/>
              <w:ind w:left="400" w:right="0" w:hanging="200"/>
              <w:jc w:val="left"/>
              <w:rPr>
                <w:sz w:val="17"/>
              </w:rPr>
            </w:pPr>
            <w:r>
              <w:rPr>
                <w:sz w:val="17"/>
              </w:rPr>
              <w:t xml:space="preserve">General Partners Performance Option Plan </w:t>
            </w:r>
          </w:p>
        </w:tc>
        <w:tc>
          <w:tcPr>
            <w:tcW w:w="65"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043" w:type="dxa"/>
            <w:tcBorders/>
            <w:shd w:fill="FFFFFF" w:val="clear"/>
            <w:vAlign w:val="bottom"/>
          </w:tcPr>
          <w:p>
            <w:pPr>
              <w:pStyle w:val="TableContents"/>
              <w:spacing w:before="0" w:after="283"/>
              <w:jc w:val="right"/>
              <w:rPr/>
            </w:pPr>
            <w:r>
              <w:rPr/>
              <w:t xml:space="preserve"> </w:t>
            </w:r>
          </w:p>
        </w:tc>
        <w:tc>
          <w:tcPr>
            <w:tcW w:w="620" w:type="dxa"/>
            <w:tcBorders/>
            <w:shd w:fill="FFFFFF" w:val="clear"/>
            <w:vAlign w:val="bottom"/>
          </w:tcPr>
          <w:p>
            <w:pPr>
              <w:pStyle w:val="TableContents"/>
              <w:spacing w:before="0" w:after="283"/>
              <w:jc w:val="left"/>
              <w:rPr/>
            </w:pPr>
            <w:r>
              <w:rPr/>
              <w:t xml:space="preserve">(7) </w:t>
            </w:r>
          </w:p>
        </w:tc>
        <w:tc>
          <w:tcPr>
            <w:tcW w:w="68" w:type="dxa"/>
            <w:tcBorders/>
            <w:shd w:fill="FFFFFF" w:val="clear"/>
            <w:vAlign w:val="bottom"/>
          </w:tcPr>
          <w:p>
            <w:pPr>
              <w:pStyle w:val="TableContents"/>
              <w:spacing w:before="0" w:after="283"/>
              <w:rPr/>
            </w:pPr>
            <w:r>
              <w:rPr/>
              <w:t xml:space="preserve">  </w:t>
            </w:r>
          </w:p>
        </w:tc>
        <w:tc>
          <w:tcPr>
            <w:tcW w:w="544" w:type="dxa"/>
            <w:tcBorders/>
            <w:shd w:fill="FFFFFF" w:val="clear"/>
            <w:vAlign w:val="bottom"/>
          </w:tcPr>
          <w:p>
            <w:pPr>
              <w:pStyle w:val="TableContents"/>
              <w:spacing w:before="0" w:after="283"/>
              <w:jc w:val="left"/>
              <w:rPr/>
            </w:pPr>
            <w:r>
              <w:rPr/>
              <w:t xml:space="preserve">$ </w:t>
            </w:r>
          </w:p>
        </w:tc>
        <w:tc>
          <w:tcPr>
            <w:tcW w:w="1731" w:type="dxa"/>
            <w:tcBorders/>
            <w:shd w:fill="FFFFFF" w:val="clear"/>
            <w:vAlign w:val="bottom"/>
          </w:tcPr>
          <w:p>
            <w:pPr>
              <w:pStyle w:val="TableContents"/>
              <w:spacing w:before="0" w:after="283"/>
              <w:jc w:val="right"/>
              <w:rPr/>
            </w:pPr>
            <w:r>
              <w:rPr/>
              <w:t xml:space="preserve">11.55 </w:t>
            </w:r>
          </w:p>
        </w:tc>
        <w:tc>
          <w:tcPr>
            <w:tcW w:w="351" w:type="dxa"/>
            <w:tcBorders/>
            <w:shd w:fill="FFFFFF" w:val="clear"/>
            <w:vAlign w:val="bottom"/>
          </w:tcPr>
          <w:p>
            <w:pPr>
              <w:pStyle w:val="TableContents"/>
              <w:spacing w:before="0" w:after="283"/>
              <w:jc w:val="left"/>
              <w:rPr/>
            </w:pPr>
            <w:r>
              <w:rPr/>
              <w:t xml:space="preserve">(8) </w:t>
            </w:r>
          </w:p>
        </w:tc>
        <w:tc>
          <w:tcPr>
            <w:tcW w:w="68"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936" w:type="dxa"/>
            <w:tcBorders/>
            <w:shd w:fill="FFFFFF" w:val="clear"/>
            <w:vAlign w:val="bottom"/>
          </w:tcPr>
          <w:p>
            <w:pPr>
              <w:pStyle w:val="TableContents"/>
              <w:spacing w:before="0" w:after="283"/>
              <w:jc w:val="right"/>
              <w:rPr/>
            </w:pPr>
            <w:r>
              <w:rPr/>
              <w:t xml:space="preserve"> </w:t>
            </w:r>
          </w:p>
        </w:tc>
        <w:tc>
          <w:tcPr>
            <w:tcW w:w="625" w:type="dxa"/>
            <w:tcBorders/>
            <w:shd w:fill="FFFFFF" w:val="clear"/>
            <w:vAlign w:val="bottom"/>
          </w:tcPr>
          <w:p>
            <w:pPr>
              <w:pStyle w:val="TableContents"/>
              <w:spacing w:before="0" w:after="283"/>
              <w:jc w:val="left"/>
              <w:rPr/>
            </w:pPr>
            <w:r>
              <w:rPr/>
              <w:t xml:space="preserve">(7) </w:t>
            </w:r>
          </w:p>
        </w:tc>
      </w:tr>
      <w:tr>
        <w:trPr/>
        <w:tc>
          <w:tcPr>
            <w:tcW w:w="1659" w:type="dxa"/>
            <w:tcBorders/>
            <w:shd w:fill="CCEEFF" w:val="clear"/>
            <w:vAlign w:val="bottom"/>
          </w:tcPr>
          <w:p>
            <w:pPr>
              <w:pStyle w:val="TableContents"/>
              <w:spacing w:before="0" w:after="0"/>
              <w:ind w:left="400" w:right="0" w:hanging="200"/>
              <w:jc w:val="left"/>
              <w:rPr>
                <w:sz w:val="17"/>
              </w:rPr>
            </w:pPr>
            <w:r>
              <w:rPr>
                <w:sz w:val="17"/>
              </w:rPr>
              <w:t xml:space="preserve">PPX Successor LTIP </w:t>
            </w:r>
          </w:p>
        </w:tc>
        <w:tc>
          <w:tcPr>
            <w:tcW w:w="65"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043" w:type="dxa"/>
            <w:tcBorders/>
            <w:shd w:fill="CCEEFF" w:val="clear"/>
            <w:vAlign w:val="bottom"/>
          </w:tcPr>
          <w:p>
            <w:pPr>
              <w:pStyle w:val="TableContents"/>
              <w:spacing w:before="0" w:after="283"/>
              <w:jc w:val="right"/>
              <w:rPr/>
            </w:pPr>
            <w:r>
              <w:rPr/>
              <w:t xml:space="preserve"> </w:t>
            </w:r>
          </w:p>
        </w:tc>
        <w:tc>
          <w:tcPr>
            <w:tcW w:w="620" w:type="dxa"/>
            <w:tcBorders/>
            <w:shd w:fill="CCEEFF" w:val="clear"/>
            <w:vAlign w:val="bottom"/>
          </w:tcPr>
          <w:p>
            <w:pPr>
              <w:pStyle w:val="TableContents"/>
              <w:spacing w:before="0" w:after="283"/>
              <w:jc w:val="left"/>
              <w:rPr/>
            </w:pPr>
            <w:r>
              <w:rPr/>
              <w:t xml:space="preserve">  </w:t>
            </w:r>
          </w:p>
        </w:tc>
        <w:tc>
          <w:tcPr>
            <w:tcW w:w="68" w:type="dxa"/>
            <w:tcBorders/>
            <w:shd w:fill="CCEEFF" w:val="clear"/>
            <w:vAlign w:val="bottom"/>
          </w:tcPr>
          <w:p>
            <w:pPr>
              <w:pStyle w:val="TableContents"/>
              <w:spacing w:before="0" w:after="283"/>
              <w:rPr/>
            </w:pPr>
            <w:r>
              <w:rPr/>
              <w:t xml:space="preserve">  </w:t>
            </w:r>
          </w:p>
        </w:tc>
        <w:tc>
          <w:tcPr>
            <w:tcW w:w="544" w:type="dxa"/>
            <w:tcBorders/>
            <w:shd w:fill="CCEEFF" w:val="clear"/>
            <w:vAlign w:val="bottom"/>
          </w:tcPr>
          <w:p>
            <w:pPr>
              <w:pStyle w:val="TableContents"/>
              <w:spacing w:before="0" w:after="283"/>
              <w:jc w:val="left"/>
              <w:rPr/>
            </w:pPr>
            <w:r>
              <w:rPr/>
              <w:t xml:space="preserve">  </w:t>
            </w:r>
          </w:p>
        </w:tc>
        <w:tc>
          <w:tcPr>
            <w:tcW w:w="1731" w:type="dxa"/>
            <w:tcBorders/>
            <w:shd w:fill="CCEEFF" w:val="clear"/>
            <w:vAlign w:val="bottom"/>
          </w:tcPr>
          <w:p>
            <w:pPr>
              <w:pStyle w:val="TableContents"/>
              <w:spacing w:before="0" w:after="283"/>
              <w:jc w:val="right"/>
              <w:rPr/>
            </w:pPr>
            <w:r>
              <w:rPr/>
              <w:t xml:space="preserve">N/A </w:t>
            </w:r>
          </w:p>
        </w:tc>
        <w:tc>
          <w:tcPr>
            <w:tcW w:w="351" w:type="dxa"/>
            <w:tcBorders/>
            <w:shd w:fill="CCEEFF" w:val="clear"/>
            <w:vAlign w:val="bottom"/>
          </w:tcPr>
          <w:p>
            <w:pPr>
              <w:pStyle w:val="TableContents"/>
              <w:spacing w:before="0" w:after="283"/>
              <w:jc w:val="left"/>
              <w:rPr/>
            </w:pPr>
            <w:r>
              <w:rPr/>
              <w:t xml:space="preserve">  </w:t>
            </w:r>
          </w:p>
        </w:tc>
        <w:tc>
          <w:tcPr>
            <w:tcW w:w="68"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936" w:type="dxa"/>
            <w:tcBorders/>
            <w:shd w:fill="CCEEFF" w:val="clear"/>
            <w:vAlign w:val="bottom"/>
          </w:tcPr>
          <w:p>
            <w:pPr>
              <w:pStyle w:val="TableContents"/>
              <w:spacing w:before="0" w:after="283"/>
              <w:jc w:val="right"/>
              <w:rPr/>
            </w:pPr>
            <w:r>
              <w:rPr/>
              <w:t xml:space="preserve">999,809 </w:t>
            </w:r>
          </w:p>
        </w:tc>
        <w:tc>
          <w:tcPr>
            <w:tcW w:w="625" w:type="dxa"/>
            <w:tcBorders/>
            <w:shd w:fill="CCEEFF" w:val="clear"/>
            <w:vAlign w:val="bottom"/>
          </w:tcPr>
          <w:p>
            <w:pPr>
              <w:pStyle w:val="TableContents"/>
              <w:spacing w:before="0" w:after="283"/>
              <w:jc w:val="left"/>
              <w:rPr/>
            </w:pPr>
            <w:r>
              <w:rPr/>
              <w:t xml:space="preserve">(9)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2006, we have issued approximately 427,742 common units in satisfaction of vesting under the 1998 LTIP. The number of units presented in column (a) assumes that all remaining grants will be satisfied by the issuance of new units upon vesting. In fact, a substantial number of phantom units that have vested were satisfied without the issuance of units. These phantom units were settled in cash or withheld for taxes. Any units not issued upon vesting will become available for future issuance under column (c).</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Phantom unit awards under the 1998 LTIP and 2005 LTIP vest without payment by recipients.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In fact, some portion of the phantom units may be settled in cash and some portion will be withheld for taxes. Any units not issued upon vesting will become available for future issuance under column (c).</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0"/>
        <w:gridCol w:w="9697"/>
      </w:tblGrid>
      <w:tr>
        <w:trPr/>
        <w:tc>
          <w:tcPr>
            <w:tcW w:w="408"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(5)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(6)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Awards for up to 387,032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(7)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Our general partner has adopted a Performance Option Plan for officers and key employees pursuant to which optionees have the right to purchase units from the general partner. The 450,000 units that were originally authorized to be sold under the plan were contributed to the general partner by certain of its owners in connection with the transfer of a majority of our general partner interest in 2001 without economic cost to the Partnership. Thus, there will be no units issued upon exercise/vesting of outstanding options. Options for approximately 161,500 units are currently outstanding. All are vested, and no units remain available for future grant. See Item 13. Certain Relationships and Related Transactions, and Director Independence  General Partners Performance Option Plan.</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(8)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As of December 31, 2006, the strike price for all outstanding options under the general partners Performance Option Plan was approximately $11.55 per unit. The strike price decreases as distributions are paid. See Item 13. Certain Relationships and Related Transactions, and Director Independence  General Partners Performance Option Plan.</w:t>
            </w:r>
          </w:p>
        </w:tc>
      </w:tr>
      <w:tr>
        <w:trPr/>
        <w:tc>
          <w:tcPr>
            <w:tcW w:w="408" w:type="dxa"/>
            <w:tcBorders/>
            <w:shd w:fill="FFFFFF" w:val="clear"/>
            <w:vAlign w:val="center"/>
          </w:tcPr>
          <w:p>
            <w:pPr>
              <w:pStyle w:val="TableContents"/>
              <w:spacing w:before="0" w:after="283"/>
              <w:rPr/>
            </w:pPr>
            <w:r>
              <w:rPr/>
              <w:t> </w:t>
            </w:r>
          </w:p>
        </w:tc>
        <w:tc>
          <w:tcPr>
            <w:tcW w:w="9797" w:type="dxa"/>
            <w:gridSpan w:val="2"/>
            <w:tcBorders/>
            <w:shd w:fill="FFFFFF"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(9)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 connection with the Pacific merger, under applicable stock exchange rules, we carried over the available units under the Pacific LTIP (applying the conversion ratio of 0.77 PAA units for each Pacific unit). In that regard, we have adopted the Plains All American PPX Successor Long-Term Incentive Plan (the PPX Successor LTIP). Potential awards under such plan include options and phantom units (with or without tandem DERs). The provisions of such plan are substantially the same as the 2005 LTIP, except that awards under the PPX Successor LTIP may only be made to employees who were working for Pacific at the time of the merger or to employees hired after the date of the Pacific acquisition.</w:t>
            </w:r>
          </w:p>
        </w:tc>
      </w:tr>
    </w:tbl>
    <w:p>
      <w:pPr>
        <w:pStyle w:val="TextBody"/>
        <w:spacing w:before="240" w:after="283"/>
        <w:rPr/>
      </w:pPr>
      <w:bookmarkStart w:id="22" w:name="120"/>
      <w:bookmarkEnd w:id="22"/>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13.  </w:t>
            </w:r>
            <w:r>
              <w:rPr/>
              <w:t xml:space="preserve"> </w:t>
            </w:r>
          </w:p>
        </w:tc>
        <w:tc>
          <w:tcPr>
            <w:tcW w:w="9288" w:type="dxa"/>
            <w:tcBorders/>
            <w:shd w:fill="FFFFFF" w:val="clear"/>
          </w:tcPr>
          <w:p>
            <w:pPr>
              <w:pStyle w:val="TableContents"/>
              <w:spacing w:before="0" w:after="283"/>
              <w:rPr/>
            </w:pPr>
            <w:r>
              <w:rPr>
                <w:rFonts w:ascii="Times New Roman;Times" w:hAnsi="Times New Roman;Times"/>
                <w:b/>
                <w:i/>
              </w:rPr>
              <w:t>Certain Relationships and Related Transactions, and Director Independence</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discussion of director independence, see Item 10 Directors and Executive Officers of Our General Partner and Corporate Governance.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Our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operations and activities are managed, and our officers and personnel are employed, by our general partner (or, in the case of our Canadian operations, PMC (Nova Scotia) Company). We do not pay our general partner a management fee, but we do reimburse our general partner for all expenses incurred on our behalf. Total costs reimbursed by us to our general partner for the year ended December 31, 2006 were approximately $204.6 million.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 In connection with the Pacific merger, our general partner agreed to a temporary reduction in the amount of incentive distribution right otherwise payable to it. The aggregate reduction will be $65 million over a five-year period, with a reduction of $20 million, $15 million, $15 million, $10 million and $5 million in years one through five, respectively. The first reduction was made in connection with the distribution paid on February 14, 2007.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illustrates the allocation of aggregate distributions at different per-unit levels, excluding the effect of the incentive distribution reductions: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67"/>
        <w:gridCol w:w="81"/>
        <w:gridCol w:w="342"/>
        <w:gridCol w:w="1567"/>
        <w:gridCol w:w="127"/>
        <w:gridCol w:w="92"/>
        <w:gridCol w:w="279"/>
        <w:gridCol w:w="1262"/>
        <w:gridCol w:w="127"/>
        <w:gridCol w:w="92"/>
        <w:gridCol w:w="299"/>
        <w:gridCol w:w="1354"/>
        <w:gridCol w:w="127"/>
        <w:gridCol w:w="92"/>
        <w:gridCol w:w="297"/>
        <w:gridCol w:w="1312"/>
        <w:gridCol w:w="288"/>
      </w:tblGrid>
      <w:tr>
        <w:trPr/>
        <w:tc>
          <w:tcPr>
            <w:tcW w:w="2467"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rPr/>
            </w:pPr>
            <w:r>
              <w:rPr/>
              <w:t> </w:t>
            </w:r>
          </w:p>
        </w:tc>
        <w:tc>
          <w:tcPr>
            <w:tcW w:w="342" w:type="dxa"/>
            <w:tcBorders/>
            <w:shd w:fill="FFFFFF" w:val="clear"/>
            <w:vAlign w:val="bottom"/>
          </w:tcPr>
          <w:p>
            <w:pPr>
              <w:pStyle w:val="TableContents"/>
              <w:spacing w:before="0" w:after="283"/>
              <w:jc w:val="right"/>
              <w:rPr/>
            </w:pPr>
            <w:r>
              <w:rPr/>
              <w:t> </w:t>
            </w:r>
          </w:p>
        </w:tc>
        <w:tc>
          <w:tcPr>
            <w:tcW w:w="156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79" w:type="dxa"/>
            <w:tcBorders/>
            <w:shd w:fill="FFFFFF" w:val="clear"/>
            <w:vAlign w:val="bottom"/>
          </w:tcPr>
          <w:p>
            <w:pPr>
              <w:pStyle w:val="TableContents"/>
              <w:spacing w:before="0" w:after="283"/>
              <w:jc w:val="right"/>
              <w:rPr/>
            </w:pPr>
            <w:r>
              <w:rPr/>
              <w:t> </w:t>
            </w:r>
          </w:p>
        </w:tc>
        <w:tc>
          <w:tcPr>
            <w:tcW w:w="1262"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jc w:val="right"/>
              <w:rPr/>
            </w:pPr>
            <w:r>
              <w:rPr/>
              <w:t> </w:t>
            </w:r>
          </w:p>
        </w:tc>
        <w:tc>
          <w:tcPr>
            <w:tcW w:w="1354"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pPr>
            <w:r>
              <w:rPr/>
              <w:t> </w:t>
            </w:r>
          </w:p>
        </w:tc>
        <w:tc>
          <w:tcPr>
            <w:tcW w:w="1312" w:type="dxa"/>
            <w:tcBorders/>
            <w:shd w:fill="FFFFFF" w:val="clear"/>
            <w:vAlign w:val="bottom"/>
          </w:tcPr>
          <w:p>
            <w:pPr>
              <w:pStyle w:val="TableContents"/>
              <w:spacing w:before="0" w:after="283"/>
              <w:jc w:val="right"/>
              <w:rPr/>
            </w:pPr>
            <w:r>
              <w:rPr/>
              <w:t> </w:t>
            </w:r>
          </w:p>
        </w:tc>
        <w:tc>
          <w:tcPr>
            <w:tcW w:w="288" w:type="dxa"/>
            <w:tcBorders/>
            <w:shd w:fill="FFFFFF" w:val="clear"/>
            <w:vAlign w:val="bottom"/>
          </w:tcPr>
          <w:p>
            <w:pPr>
              <w:pStyle w:val="TableContents"/>
              <w:spacing w:before="0" w:after="283"/>
              <w:jc w:val="left"/>
              <w:rPr/>
            </w:pPr>
            <w:r>
              <w:rPr/>
              <w:t> </w:t>
            </w:r>
          </w:p>
        </w:tc>
      </w:tr>
      <w:tr>
        <w:trPr/>
        <w:tc>
          <w:tcPr>
            <w:tcW w:w="2467" w:type="dxa"/>
            <w:tcBorders/>
            <w:shd w:fill="FFFFFF" w:val="clear"/>
            <w:vAlign w:val="bottom"/>
          </w:tcPr>
          <w:p>
            <w:pPr>
              <w:pStyle w:val="TableContents"/>
              <w:spacing w:before="0" w:after="283"/>
              <w:jc w:val="left"/>
              <w:rPr/>
            </w:pPr>
            <w:r>
              <w:rPr/>
              <w:t xml:space="preserve">  </w:t>
            </w:r>
          </w:p>
        </w:tc>
        <w:tc>
          <w:tcPr>
            <w:tcW w:w="81" w:type="dxa"/>
            <w:tcBorders/>
            <w:shd w:fill="FFFFFF" w:val="clear"/>
            <w:vAlign w:val="bottom"/>
          </w:tcPr>
          <w:p>
            <w:pPr>
              <w:pStyle w:val="TableContents"/>
              <w:spacing w:before="0" w:after="283"/>
              <w:jc w:val="center"/>
              <w:rPr/>
            </w:pPr>
            <w:r>
              <w:rPr/>
              <w:t xml:space="preserve">  </w:t>
            </w:r>
          </w:p>
        </w:tc>
        <w:tc>
          <w:tcPr>
            <w:tcW w:w="1909" w:type="dxa"/>
            <w:gridSpan w:val="2"/>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541" w:type="dxa"/>
            <w:gridSpan w:val="2"/>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53" w:type="dxa"/>
            <w:gridSpan w:val="2"/>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09" w:type="dxa"/>
            <w:gridSpan w:val="2"/>
            <w:tcBorders/>
            <w:shd w:fill="FFFFFF" w:val="clear"/>
            <w:vAlign w:val="bottom"/>
          </w:tcPr>
          <w:p>
            <w:pPr>
              <w:pStyle w:val="TableContents"/>
              <w:spacing w:before="0" w:after="283"/>
              <w:jc w:val="center"/>
              <w:rPr>
                <w:b/>
              </w:rPr>
            </w:pPr>
            <w:r>
              <w:rPr>
                <w:b/>
              </w:rPr>
              <w:t>GP Percentage</w:t>
            </w:r>
          </w:p>
        </w:tc>
        <w:tc>
          <w:tcPr>
            <w:tcW w:w="288" w:type="dxa"/>
            <w:tcBorders/>
            <w:shd w:fill="FFFFFF" w:val="clear"/>
            <w:vAlign w:val="bottom"/>
          </w:tcPr>
          <w:p>
            <w:pPr>
              <w:pStyle w:val="TableContents"/>
              <w:spacing w:before="0" w:after="283"/>
              <w:jc w:val="center"/>
              <w:rPr/>
            </w:pPr>
            <w:r>
              <w:rPr/>
              <w:t xml:space="preserve">  </w:t>
            </w:r>
          </w:p>
        </w:tc>
      </w:tr>
      <w:tr>
        <w:trPr/>
        <w:tc>
          <w:tcPr>
            <w:tcW w:w="2467" w:type="dxa"/>
            <w:tcBorders/>
            <w:shd w:fill="FFFFFF" w:val="clear"/>
            <w:vAlign w:val="bottom"/>
          </w:tcPr>
          <w:p>
            <w:pPr>
              <w:pStyle w:val="TableContents"/>
              <w:spacing w:before="0" w:after="283"/>
              <w:jc w:val="left"/>
              <w:rPr>
                <w:b/>
              </w:rPr>
            </w:pPr>
            <w:r>
              <w:rPr>
                <w:b/>
              </w:rPr>
              <w:t>Annual Distribution</w:t>
            </w:r>
          </w:p>
        </w:tc>
        <w:tc>
          <w:tcPr>
            <w:tcW w:w="81" w:type="dxa"/>
            <w:tcBorders/>
            <w:shd w:fill="FFFFFF" w:val="clear"/>
            <w:vAlign w:val="bottom"/>
          </w:tcPr>
          <w:p>
            <w:pPr>
              <w:pStyle w:val="TableContents"/>
              <w:spacing w:before="0" w:after="283"/>
              <w:jc w:val="center"/>
              <w:rPr/>
            </w:pPr>
            <w:r>
              <w:rPr/>
              <w:t xml:space="preserve">  </w:t>
            </w:r>
          </w:p>
        </w:tc>
        <w:tc>
          <w:tcPr>
            <w:tcW w:w="1909" w:type="dxa"/>
            <w:gridSpan w:val="2"/>
            <w:tcBorders/>
            <w:shd w:fill="FFFFFF" w:val="clear"/>
            <w:vAlign w:val="bottom"/>
          </w:tcPr>
          <w:p>
            <w:pPr>
              <w:pStyle w:val="TableContents"/>
              <w:spacing w:before="0" w:after="283"/>
              <w:jc w:val="center"/>
              <w:rPr>
                <w:b/>
              </w:rPr>
            </w:pPr>
            <w:r>
              <w:rPr>
                <w:b/>
              </w:rPr>
              <w:t>Distribution to</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541" w:type="dxa"/>
            <w:gridSpan w:val="2"/>
            <w:tcBorders/>
            <w:shd w:fill="FFFFFF" w:val="clear"/>
            <w:vAlign w:val="bottom"/>
          </w:tcPr>
          <w:p>
            <w:pPr>
              <w:pStyle w:val="TableContents"/>
              <w:spacing w:before="0" w:after="283"/>
              <w:jc w:val="center"/>
              <w:rPr>
                <w:b/>
              </w:rPr>
            </w:pPr>
            <w:r>
              <w:rPr>
                <w:b/>
              </w:rPr>
              <w:t>Distribution</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53" w:type="dxa"/>
            <w:gridSpan w:val="2"/>
            <w:tcBorders/>
            <w:shd w:fill="FFFFFF" w:val="clear"/>
            <w:vAlign w:val="bottom"/>
          </w:tcPr>
          <w:p>
            <w:pPr>
              <w:pStyle w:val="TableContents"/>
              <w:spacing w:before="0" w:after="283"/>
              <w:jc w:val="center"/>
              <w:rPr>
                <w:b/>
              </w:rPr>
            </w:pPr>
            <w:r>
              <w:rPr>
                <w:b/>
              </w:rPr>
              <w:t>Total</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09" w:type="dxa"/>
            <w:gridSpan w:val="2"/>
            <w:tcBorders/>
            <w:shd w:fill="FFFFFF" w:val="clear"/>
            <w:vAlign w:val="bottom"/>
          </w:tcPr>
          <w:p>
            <w:pPr>
              <w:pStyle w:val="TableContents"/>
              <w:spacing w:before="0" w:after="283"/>
              <w:jc w:val="center"/>
              <w:rPr>
                <w:b/>
              </w:rPr>
            </w:pPr>
            <w:r>
              <w:rPr>
                <w:b/>
              </w:rPr>
              <w:t>of Total</w:t>
            </w:r>
          </w:p>
        </w:tc>
        <w:tc>
          <w:tcPr>
            <w:tcW w:w="288" w:type="dxa"/>
            <w:tcBorders/>
            <w:shd w:fill="FFFFFF" w:val="clear"/>
            <w:vAlign w:val="bottom"/>
          </w:tcPr>
          <w:p>
            <w:pPr>
              <w:pStyle w:val="TableContents"/>
              <w:spacing w:before="0" w:after="283"/>
              <w:jc w:val="center"/>
              <w:rPr/>
            </w:pPr>
            <w:r>
              <w:rPr/>
              <w:t xml:space="preserve">  </w:t>
            </w:r>
          </w:p>
        </w:tc>
      </w:tr>
      <w:tr>
        <w:trPr/>
        <w:tc>
          <w:tcPr>
            <w:tcW w:w="2467" w:type="dxa"/>
            <w:tcBorders/>
            <w:shd w:fill="FFFFFF" w:val="clear"/>
            <w:vAlign w:val="bottom"/>
          </w:tcPr>
          <w:p>
            <w:pPr>
              <w:pStyle w:val="TableContents"/>
              <w:spacing w:before="0" w:after="0"/>
              <w:jc w:val="left"/>
              <w:rPr>
                <w:bdr w:val="single" w:sz="2" w:space="1" w:color="000000"/>
              </w:rPr>
            </w:pPr>
            <w:r>
              <w:rPr>
                <w:b/>
                <w:bdr w:val="single" w:sz="2" w:space="1" w:color="000000"/>
              </w:rPr>
              <w:t>per Unit</w:t>
            </w:r>
            <w:r>
              <w:rPr>
                <w:bdr w:val="single" w:sz="2" w:space="1" w:color="000000"/>
              </w:rPr>
              <w:t xml:space="preserve"> </w:t>
            </w:r>
          </w:p>
        </w:tc>
        <w:tc>
          <w:tcPr>
            <w:tcW w:w="81" w:type="dxa"/>
            <w:tcBorders/>
            <w:shd w:fill="FFFFFF" w:val="clear"/>
            <w:vAlign w:val="bottom"/>
          </w:tcPr>
          <w:p>
            <w:pPr>
              <w:pStyle w:val="TableContents"/>
              <w:spacing w:before="0" w:after="283"/>
              <w:jc w:val="center"/>
              <w:rPr/>
            </w:pPr>
            <w:r>
              <w:rPr/>
              <w:t xml:space="preserve">  </w:t>
            </w:r>
          </w:p>
        </w:tc>
        <w:tc>
          <w:tcPr>
            <w:tcW w:w="19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Unitholders(1)(2)</w:t>
            </w: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54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 GP(1)(2)(3)</w:t>
            </w: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Distribution(1)</w:t>
            </w: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2" w:type="dxa"/>
            <w:tcBorders/>
            <w:shd w:fill="FFFFFF" w:val="clear"/>
            <w:vAlign w:val="bottom"/>
          </w:tcPr>
          <w:p>
            <w:pPr>
              <w:pStyle w:val="TableContents"/>
              <w:spacing w:before="0" w:after="283"/>
              <w:jc w:val="center"/>
              <w:rPr/>
            </w:pPr>
            <w:r>
              <w:rPr/>
              <w:t xml:space="preserve">  </w:t>
            </w:r>
          </w:p>
        </w:tc>
        <w:tc>
          <w:tcPr>
            <w:tcW w:w="16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w:t>
            </w:r>
            <w:r>
              <w:rPr/>
              <w:t xml:space="preserve"> </w:t>
            </w:r>
          </w:p>
        </w:tc>
        <w:tc>
          <w:tcPr>
            <w:tcW w:w="288" w:type="dxa"/>
            <w:tcBorders/>
            <w:shd w:fill="FFFFFF" w:val="clear"/>
            <w:vAlign w:val="bottom"/>
          </w:tcPr>
          <w:p>
            <w:pPr>
              <w:pStyle w:val="TableContents"/>
              <w:spacing w:before="0" w:after="283"/>
              <w:jc w:val="center"/>
              <w:rPr/>
            </w:pPr>
            <w:r>
              <w:rPr/>
              <w:t xml:space="preserve">  </w:t>
            </w:r>
          </w:p>
        </w:tc>
      </w:tr>
      <w:tr>
        <w:trPr/>
        <w:tc>
          <w:tcPr>
            <w:tcW w:w="2467" w:type="dxa"/>
            <w:tcBorders/>
            <w:shd w:fill="FFFFFF" w:val="clear"/>
            <w:vAlign w:val="center"/>
          </w:tcPr>
          <w:p>
            <w:pPr>
              <w:pStyle w:val="TableContents"/>
              <w:spacing w:before="0" w:after="283"/>
              <w:rPr/>
            </w:pPr>
            <w:r>
              <w:rPr/>
              <w:t xml:space="preserve">  </w:t>
            </w:r>
          </w:p>
        </w:tc>
        <w:tc>
          <w:tcPr>
            <w:tcW w:w="7738" w:type="dxa"/>
            <w:gridSpan w:val="16"/>
            <w:tcBorders/>
            <w:shd w:fill="FFFFFF" w:val="clear"/>
          </w:tcPr>
          <w:p>
            <w:pPr>
              <w:pStyle w:val="TableContents"/>
              <w:spacing w:before="0" w:after="283"/>
              <w:rPr>
                <w:sz w:val="4"/>
                <w:szCs w:val="4"/>
              </w:rPr>
            </w:pPr>
            <w:r>
              <w:rPr>
                <w:sz w:val="4"/>
                <w:szCs w:val="4"/>
              </w:rPr>
            </w:r>
          </w:p>
        </w:tc>
      </w:tr>
      <w:tr>
        <w:trPr/>
        <w:tc>
          <w:tcPr>
            <w:tcW w:w="2467" w:type="dxa"/>
            <w:tcBorders/>
            <w:shd w:fill="CCEEFF" w:val="clear"/>
            <w:vAlign w:val="bottom"/>
          </w:tcPr>
          <w:p>
            <w:pPr>
              <w:pStyle w:val="TableContents"/>
              <w:spacing w:before="0" w:after="0"/>
              <w:ind w:left="200" w:right="0" w:hanging="200"/>
              <w:jc w:val="left"/>
              <w:rPr>
                <w:sz w:val="17"/>
              </w:rPr>
            </w:pPr>
            <w:r>
              <w:rPr>
                <w:sz w:val="17"/>
              </w:rPr>
              <w:t xml:space="preserve">$1.80 </w:t>
            </w:r>
          </w:p>
        </w:tc>
        <w:tc>
          <w:tcPr>
            <w:tcW w:w="81" w:type="dxa"/>
            <w:tcBorders/>
            <w:shd w:fill="CCEEFF" w:val="clear"/>
            <w:vAlign w:val="bottom"/>
          </w:tcPr>
          <w:p>
            <w:pPr>
              <w:pStyle w:val="TableContents"/>
              <w:spacing w:before="0" w:after="283"/>
              <w:rPr/>
            </w:pPr>
            <w:r>
              <w:rPr/>
              <w:t xml:space="preserve">  </w:t>
            </w:r>
          </w:p>
        </w:tc>
        <w:tc>
          <w:tcPr>
            <w:tcW w:w="342"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198,000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1262" w:type="dxa"/>
            <w:tcBorders/>
            <w:shd w:fill="CCEEFF" w:val="clear"/>
            <w:vAlign w:val="bottom"/>
          </w:tcPr>
          <w:p>
            <w:pPr>
              <w:pStyle w:val="TableContents"/>
              <w:spacing w:before="0" w:after="283"/>
              <w:jc w:val="right"/>
              <w:rPr/>
            </w:pPr>
            <w:r>
              <w:rPr/>
              <w:t xml:space="preserve">4,041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354" w:type="dxa"/>
            <w:tcBorders/>
            <w:shd w:fill="CCEEFF" w:val="clear"/>
            <w:vAlign w:val="bottom"/>
          </w:tcPr>
          <w:p>
            <w:pPr>
              <w:pStyle w:val="TableContents"/>
              <w:spacing w:before="0" w:after="283"/>
              <w:jc w:val="right"/>
              <w:rPr/>
            </w:pPr>
            <w:r>
              <w:rPr/>
              <w:t xml:space="preserve">202,041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312" w:type="dxa"/>
            <w:tcBorders/>
            <w:shd w:fill="CCEEFF" w:val="clear"/>
            <w:vAlign w:val="bottom"/>
          </w:tcPr>
          <w:p>
            <w:pPr>
              <w:pStyle w:val="TableContents"/>
              <w:spacing w:before="0" w:after="283"/>
              <w:jc w:val="right"/>
              <w:rPr/>
            </w:pPr>
            <w:r>
              <w:rPr/>
              <w:t xml:space="preserve">2.0 </w:t>
            </w:r>
          </w:p>
        </w:tc>
        <w:tc>
          <w:tcPr>
            <w:tcW w:w="288" w:type="dxa"/>
            <w:tcBorders/>
            <w:shd w:fill="CCEEFF" w:val="clear"/>
            <w:vAlign w:val="bottom"/>
          </w:tcPr>
          <w:p>
            <w:pPr>
              <w:pStyle w:val="TableContents"/>
              <w:spacing w:before="0" w:after="283"/>
              <w:jc w:val="left"/>
              <w:rPr/>
            </w:pPr>
            <w:r>
              <w:rPr/>
              <w:t xml:space="preserve">% </w:t>
            </w:r>
          </w:p>
        </w:tc>
      </w:tr>
      <w:tr>
        <w:trPr/>
        <w:tc>
          <w:tcPr>
            <w:tcW w:w="2467" w:type="dxa"/>
            <w:tcBorders/>
            <w:shd w:fill="FFFFFF" w:val="clear"/>
            <w:vAlign w:val="bottom"/>
          </w:tcPr>
          <w:p>
            <w:pPr>
              <w:pStyle w:val="TableContents"/>
              <w:spacing w:before="0" w:after="0"/>
              <w:ind w:left="200" w:right="0" w:hanging="200"/>
              <w:jc w:val="left"/>
              <w:rPr>
                <w:sz w:val="17"/>
              </w:rPr>
            </w:pPr>
            <w:r>
              <w:rPr>
                <w:sz w:val="17"/>
              </w:rPr>
              <w:t xml:space="preserve">$1.98 </w:t>
            </w:r>
          </w:p>
        </w:tc>
        <w:tc>
          <w:tcPr>
            <w:tcW w:w="81" w:type="dxa"/>
            <w:tcBorders/>
            <w:shd w:fill="FFFFFF" w:val="clear"/>
            <w:vAlign w:val="bottom"/>
          </w:tcPr>
          <w:p>
            <w:pPr>
              <w:pStyle w:val="TableContents"/>
              <w:spacing w:before="0" w:after="283"/>
              <w:rPr/>
            </w:pPr>
            <w:r>
              <w:rPr/>
              <w:t xml:space="preserve">  </w:t>
            </w:r>
          </w:p>
        </w:tc>
        <w:tc>
          <w:tcPr>
            <w:tcW w:w="342"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217,800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1262" w:type="dxa"/>
            <w:tcBorders/>
            <w:shd w:fill="FFFFFF" w:val="clear"/>
            <w:vAlign w:val="bottom"/>
          </w:tcPr>
          <w:p>
            <w:pPr>
              <w:pStyle w:val="TableContents"/>
              <w:spacing w:before="0" w:after="283"/>
              <w:jc w:val="right"/>
              <w:rPr/>
            </w:pPr>
            <w:r>
              <w:rPr/>
              <w:t xml:space="preserve">7,535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354" w:type="dxa"/>
            <w:tcBorders/>
            <w:shd w:fill="FFFFFF" w:val="clear"/>
            <w:vAlign w:val="bottom"/>
          </w:tcPr>
          <w:p>
            <w:pPr>
              <w:pStyle w:val="TableContents"/>
              <w:spacing w:before="0" w:after="283"/>
              <w:jc w:val="right"/>
              <w:rPr/>
            </w:pPr>
            <w:r>
              <w:rPr/>
              <w:t xml:space="preserve">225,335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312" w:type="dxa"/>
            <w:tcBorders/>
            <w:shd w:fill="FFFFFF" w:val="clear"/>
            <w:vAlign w:val="bottom"/>
          </w:tcPr>
          <w:p>
            <w:pPr>
              <w:pStyle w:val="TableContents"/>
              <w:spacing w:before="0" w:after="283"/>
              <w:jc w:val="right"/>
              <w:rPr/>
            </w:pPr>
            <w:r>
              <w:rPr/>
              <w:t xml:space="preserve">3.3 </w:t>
            </w:r>
          </w:p>
        </w:tc>
        <w:tc>
          <w:tcPr>
            <w:tcW w:w="288" w:type="dxa"/>
            <w:tcBorders/>
            <w:shd w:fill="FFFFFF" w:val="clear"/>
            <w:vAlign w:val="bottom"/>
          </w:tcPr>
          <w:p>
            <w:pPr>
              <w:pStyle w:val="TableContents"/>
              <w:spacing w:before="0" w:after="283"/>
              <w:jc w:val="left"/>
              <w:rPr/>
            </w:pPr>
            <w:r>
              <w:rPr/>
              <w:t xml:space="preserve">% </w:t>
            </w:r>
          </w:p>
        </w:tc>
      </w:tr>
      <w:tr>
        <w:trPr/>
        <w:tc>
          <w:tcPr>
            <w:tcW w:w="2467" w:type="dxa"/>
            <w:tcBorders/>
            <w:shd w:fill="CCEEFF" w:val="clear"/>
            <w:vAlign w:val="bottom"/>
          </w:tcPr>
          <w:p>
            <w:pPr>
              <w:pStyle w:val="TableContents"/>
              <w:spacing w:before="0" w:after="0"/>
              <w:ind w:left="200" w:right="0" w:hanging="200"/>
              <w:jc w:val="left"/>
              <w:rPr>
                <w:sz w:val="17"/>
              </w:rPr>
            </w:pPr>
            <w:r>
              <w:rPr>
                <w:sz w:val="17"/>
              </w:rPr>
              <w:t xml:space="preserve">$2.70 </w:t>
            </w:r>
          </w:p>
        </w:tc>
        <w:tc>
          <w:tcPr>
            <w:tcW w:w="81" w:type="dxa"/>
            <w:tcBorders/>
            <w:shd w:fill="CCEEFF" w:val="clear"/>
            <w:vAlign w:val="bottom"/>
          </w:tcPr>
          <w:p>
            <w:pPr>
              <w:pStyle w:val="TableContents"/>
              <w:spacing w:before="0" w:after="283"/>
              <w:rPr/>
            </w:pPr>
            <w:r>
              <w:rPr/>
              <w:t xml:space="preserve">  </w:t>
            </w:r>
          </w:p>
        </w:tc>
        <w:tc>
          <w:tcPr>
            <w:tcW w:w="342"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297,000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1262" w:type="dxa"/>
            <w:tcBorders/>
            <w:shd w:fill="CCEEFF" w:val="clear"/>
            <w:vAlign w:val="bottom"/>
          </w:tcPr>
          <w:p>
            <w:pPr>
              <w:pStyle w:val="TableContents"/>
              <w:spacing w:before="0" w:after="283"/>
              <w:jc w:val="right"/>
              <w:rPr/>
            </w:pPr>
            <w:r>
              <w:rPr/>
              <w:t xml:space="preserve">33,935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354" w:type="dxa"/>
            <w:tcBorders/>
            <w:shd w:fill="CCEEFF" w:val="clear"/>
            <w:vAlign w:val="bottom"/>
          </w:tcPr>
          <w:p>
            <w:pPr>
              <w:pStyle w:val="TableContents"/>
              <w:spacing w:before="0" w:after="283"/>
              <w:jc w:val="right"/>
              <w:rPr/>
            </w:pPr>
            <w:r>
              <w:rPr/>
              <w:t xml:space="preserve">330,935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312" w:type="dxa"/>
            <w:tcBorders/>
            <w:shd w:fill="CCEEFF" w:val="clear"/>
            <w:vAlign w:val="bottom"/>
          </w:tcPr>
          <w:p>
            <w:pPr>
              <w:pStyle w:val="TableContents"/>
              <w:spacing w:before="0" w:after="283"/>
              <w:jc w:val="right"/>
              <w:rPr/>
            </w:pPr>
            <w:r>
              <w:rPr/>
              <w:t xml:space="preserve">10.3 </w:t>
            </w:r>
          </w:p>
        </w:tc>
        <w:tc>
          <w:tcPr>
            <w:tcW w:w="288" w:type="dxa"/>
            <w:tcBorders/>
            <w:shd w:fill="CCEEFF" w:val="clear"/>
            <w:vAlign w:val="bottom"/>
          </w:tcPr>
          <w:p>
            <w:pPr>
              <w:pStyle w:val="TableContents"/>
              <w:spacing w:before="0" w:after="283"/>
              <w:jc w:val="left"/>
              <w:rPr/>
            </w:pPr>
            <w:r>
              <w:rPr/>
              <w:t xml:space="preserve">% </w:t>
            </w:r>
          </w:p>
        </w:tc>
      </w:tr>
      <w:tr>
        <w:trPr/>
        <w:tc>
          <w:tcPr>
            <w:tcW w:w="2467" w:type="dxa"/>
            <w:tcBorders/>
            <w:shd w:fill="FFFFFF" w:val="clear"/>
            <w:vAlign w:val="bottom"/>
          </w:tcPr>
          <w:p>
            <w:pPr>
              <w:pStyle w:val="TableContents"/>
              <w:spacing w:before="0" w:after="0"/>
              <w:ind w:left="200" w:right="0" w:hanging="200"/>
              <w:jc w:val="left"/>
              <w:rPr>
                <w:sz w:val="17"/>
              </w:rPr>
            </w:pPr>
            <w:r>
              <w:rPr>
                <w:sz w:val="17"/>
              </w:rPr>
              <w:t xml:space="preserve">$3.20 </w:t>
            </w:r>
          </w:p>
        </w:tc>
        <w:tc>
          <w:tcPr>
            <w:tcW w:w="81" w:type="dxa"/>
            <w:tcBorders/>
            <w:shd w:fill="FFFFFF" w:val="clear"/>
            <w:vAlign w:val="bottom"/>
          </w:tcPr>
          <w:p>
            <w:pPr>
              <w:pStyle w:val="TableContents"/>
              <w:spacing w:before="0" w:after="283"/>
              <w:rPr/>
            </w:pPr>
            <w:r>
              <w:rPr/>
              <w:t xml:space="preserve">  </w:t>
            </w:r>
          </w:p>
        </w:tc>
        <w:tc>
          <w:tcPr>
            <w:tcW w:w="342"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352,000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1262" w:type="dxa"/>
            <w:tcBorders/>
            <w:shd w:fill="FFFFFF" w:val="clear"/>
            <w:vAlign w:val="bottom"/>
          </w:tcPr>
          <w:p>
            <w:pPr>
              <w:pStyle w:val="TableContents"/>
              <w:spacing w:before="0" w:after="283"/>
              <w:jc w:val="right"/>
              <w:rPr/>
            </w:pPr>
            <w:r>
              <w:rPr/>
              <w:t xml:space="preserve">88,935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354" w:type="dxa"/>
            <w:tcBorders/>
            <w:shd w:fill="FFFFFF" w:val="clear"/>
            <w:vAlign w:val="bottom"/>
          </w:tcPr>
          <w:p>
            <w:pPr>
              <w:pStyle w:val="TableContents"/>
              <w:spacing w:before="0" w:after="283"/>
              <w:jc w:val="right"/>
              <w:rPr/>
            </w:pPr>
            <w:r>
              <w:rPr/>
              <w:t xml:space="preserve">440,935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312" w:type="dxa"/>
            <w:tcBorders/>
            <w:shd w:fill="FFFFFF" w:val="clear"/>
            <w:vAlign w:val="bottom"/>
          </w:tcPr>
          <w:p>
            <w:pPr>
              <w:pStyle w:val="TableContents"/>
              <w:spacing w:before="0" w:after="283"/>
              <w:jc w:val="right"/>
              <w:rPr/>
            </w:pPr>
            <w:r>
              <w:rPr/>
              <w:t xml:space="preserve">20.2 </w:t>
            </w:r>
          </w:p>
        </w:tc>
        <w:tc>
          <w:tcPr>
            <w:tcW w:w="288" w:type="dxa"/>
            <w:tcBorders/>
            <w:shd w:fill="FFFFFF" w:val="clear"/>
            <w:vAlign w:val="bottom"/>
          </w:tcPr>
          <w:p>
            <w:pPr>
              <w:pStyle w:val="TableContents"/>
              <w:spacing w:before="0" w:after="283"/>
              <w:jc w:val="left"/>
              <w:rPr/>
            </w:pPr>
            <w:r>
              <w:rPr/>
              <w:t xml:space="preserve">% </w:t>
            </w:r>
          </w:p>
        </w:tc>
      </w:tr>
      <w:tr>
        <w:trPr/>
        <w:tc>
          <w:tcPr>
            <w:tcW w:w="2467" w:type="dxa"/>
            <w:tcBorders/>
            <w:shd w:fill="CCEEFF" w:val="clear"/>
            <w:vAlign w:val="bottom"/>
          </w:tcPr>
          <w:p>
            <w:pPr>
              <w:pStyle w:val="TableContents"/>
              <w:spacing w:before="0" w:after="0"/>
              <w:ind w:left="200" w:right="0" w:hanging="200"/>
              <w:jc w:val="left"/>
              <w:rPr>
                <w:sz w:val="17"/>
              </w:rPr>
            </w:pPr>
            <w:r>
              <w:rPr>
                <w:sz w:val="17"/>
              </w:rPr>
              <w:t xml:space="preserve">$3.50 </w:t>
            </w:r>
          </w:p>
        </w:tc>
        <w:tc>
          <w:tcPr>
            <w:tcW w:w="81" w:type="dxa"/>
            <w:tcBorders/>
            <w:shd w:fill="CCEEFF" w:val="clear"/>
            <w:vAlign w:val="bottom"/>
          </w:tcPr>
          <w:p>
            <w:pPr>
              <w:pStyle w:val="TableContents"/>
              <w:spacing w:before="0" w:after="283"/>
              <w:rPr/>
            </w:pPr>
            <w:r>
              <w:rPr/>
              <w:t xml:space="preserve">  </w:t>
            </w:r>
          </w:p>
        </w:tc>
        <w:tc>
          <w:tcPr>
            <w:tcW w:w="342"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385,000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1262" w:type="dxa"/>
            <w:tcBorders/>
            <w:shd w:fill="CCEEFF" w:val="clear"/>
            <w:vAlign w:val="bottom"/>
          </w:tcPr>
          <w:p>
            <w:pPr>
              <w:pStyle w:val="TableContents"/>
              <w:spacing w:before="0" w:after="283"/>
              <w:jc w:val="right"/>
              <w:rPr/>
            </w:pPr>
            <w:r>
              <w:rPr/>
              <w:t xml:space="preserve">121,935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354" w:type="dxa"/>
            <w:tcBorders/>
            <w:shd w:fill="CCEEFF" w:val="clear"/>
            <w:vAlign w:val="bottom"/>
          </w:tcPr>
          <w:p>
            <w:pPr>
              <w:pStyle w:val="TableContents"/>
              <w:spacing w:before="0" w:after="283"/>
              <w:jc w:val="right"/>
              <w:rPr/>
            </w:pPr>
            <w:r>
              <w:rPr/>
              <w:t xml:space="preserve">506,935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312" w:type="dxa"/>
            <w:tcBorders/>
            <w:shd w:fill="CCEEFF" w:val="clear"/>
            <w:vAlign w:val="bottom"/>
          </w:tcPr>
          <w:p>
            <w:pPr>
              <w:pStyle w:val="TableContents"/>
              <w:spacing w:before="0" w:after="283"/>
              <w:jc w:val="right"/>
              <w:rPr/>
            </w:pPr>
            <w:r>
              <w:rPr/>
              <w:t xml:space="preserve">24.1 </w:t>
            </w:r>
          </w:p>
        </w:tc>
        <w:tc>
          <w:tcPr>
            <w:tcW w:w="288" w:type="dxa"/>
            <w:tcBorders/>
            <w:shd w:fill="CCEEFF" w:val="clear"/>
            <w:vAlign w:val="bottom"/>
          </w:tcPr>
          <w:p>
            <w:pPr>
              <w:pStyle w:val="TableContents"/>
              <w:spacing w:before="0" w:after="283"/>
              <w:jc w:val="left"/>
              <w:rPr/>
            </w:pPr>
            <w:r>
              <w:rPr/>
              <w:t xml:space="preserve">% </w:t>
            </w:r>
          </w:p>
        </w:tc>
      </w:tr>
      <w:tr>
        <w:trPr/>
        <w:tc>
          <w:tcPr>
            <w:tcW w:w="2467" w:type="dxa"/>
            <w:tcBorders/>
            <w:shd w:fill="FFFFFF" w:val="clear"/>
            <w:vAlign w:val="bottom"/>
          </w:tcPr>
          <w:p>
            <w:pPr>
              <w:pStyle w:val="TableContents"/>
              <w:spacing w:before="0" w:after="0"/>
              <w:ind w:left="200" w:right="0" w:hanging="200"/>
              <w:jc w:val="left"/>
              <w:rPr>
                <w:sz w:val="17"/>
              </w:rPr>
            </w:pPr>
            <w:r>
              <w:rPr>
                <w:sz w:val="17"/>
              </w:rPr>
              <w:t xml:space="preserve">$3.75 </w:t>
            </w:r>
          </w:p>
        </w:tc>
        <w:tc>
          <w:tcPr>
            <w:tcW w:w="81" w:type="dxa"/>
            <w:tcBorders/>
            <w:shd w:fill="FFFFFF" w:val="clear"/>
            <w:vAlign w:val="bottom"/>
          </w:tcPr>
          <w:p>
            <w:pPr>
              <w:pStyle w:val="TableContents"/>
              <w:spacing w:before="0" w:after="283"/>
              <w:rPr/>
            </w:pPr>
            <w:r>
              <w:rPr/>
              <w:t xml:space="preserve">  </w:t>
            </w:r>
          </w:p>
        </w:tc>
        <w:tc>
          <w:tcPr>
            <w:tcW w:w="342" w:type="dxa"/>
            <w:tcBorders/>
            <w:shd w:fill="FFFFFF" w:val="clear"/>
            <w:vAlign w:val="bottom"/>
          </w:tcPr>
          <w:p>
            <w:pPr>
              <w:pStyle w:val="TableContents"/>
              <w:spacing w:before="0" w:after="283"/>
              <w:jc w:val="left"/>
              <w:rPr/>
            </w:pPr>
            <w:r>
              <w:rPr/>
              <w:t xml:space="preserve">$ </w:t>
            </w:r>
          </w:p>
        </w:tc>
        <w:tc>
          <w:tcPr>
            <w:tcW w:w="1567" w:type="dxa"/>
            <w:tcBorders/>
            <w:shd w:fill="FFFFFF" w:val="clear"/>
            <w:vAlign w:val="bottom"/>
          </w:tcPr>
          <w:p>
            <w:pPr>
              <w:pStyle w:val="TableContents"/>
              <w:spacing w:before="0" w:after="283"/>
              <w:jc w:val="right"/>
              <w:rPr/>
            </w:pPr>
            <w:r>
              <w:rPr/>
              <w:t xml:space="preserve">412,500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79" w:type="dxa"/>
            <w:tcBorders/>
            <w:shd w:fill="FFFFFF" w:val="clear"/>
            <w:vAlign w:val="bottom"/>
          </w:tcPr>
          <w:p>
            <w:pPr>
              <w:pStyle w:val="TableContents"/>
              <w:spacing w:before="0" w:after="283"/>
              <w:jc w:val="left"/>
              <w:rPr/>
            </w:pPr>
            <w:r>
              <w:rPr/>
              <w:t xml:space="preserve">$ </w:t>
            </w:r>
          </w:p>
        </w:tc>
        <w:tc>
          <w:tcPr>
            <w:tcW w:w="1262" w:type="dxa"/>
            <w:tcBorders/>
            <w:shd w:fill="FFFFFF" w:val="clear"/>
            <w:vAlign w:val="bottom"/>
          </w:tcPr>
          <w:p>
            <w:pPr>
              <w:pStyle w:val="TableContents"/>
              <w:spacing w:before="0" w:after="283"/>
              <w:jc w:val="right"/>
              <w:rPr/>
            </w:pPr>
            <w:r>
              <w:rPr/>
              <w:t xml:space="preserve">149,435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354" w:type="dxa"/>
            <w:tcBorders/>
            <w:shd w:fill="FFFFFF" w:val="clear"/>
            <w:vAlign w:val="bottom"/>
          </w:tcPr>
          <w:p>
            <w:pPr>
              <w:pStyle w:val="TableContents"/>
              <w:spacing w:before="0" w:after="283"/>
              <w:jc w:val="right"/>
              <w:rPr/>
            </w:pPr>
            <w:r>
              <w:rPr/>
              <w:t xml:space="preserve">561,935 </w:t>
            </w:r>
          </w:p>
        </w:tc>
        <w:tc>
          <w:tcPr>
            <w:tcW w:w="127" w:type="dxa"/>
            <w:tcBorders/>
            <w:shd w:fill="FFFFFF" w:val="clear"/>
            <w:vAlign w:val="bottom"/>
          </w:tcPr>
          <w:p>
            <w:pPr>
              <w:pStyle w:val="TableContents"/>
              <w:spacing w:before="0" w:after="283"/>
              <w:jc w:val="left"/>
              <w:rPr/>
            </w:pPr>
            <w:r>
              <w:rPr/>
              <w:t xml:space="preserve">  </w:t>
            </w:r>
          </w:p>
        </w:tc>
        <w:tc>
          <w:tcPr>
            <w:tcW w:w="92"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jc w:val="left"/>
              <w:rPr/>
            </w:pPr>
            <w:r>
              <w:rPr/>
              <w:t xml:space="preserve">  </w:t>
            </w:r>
          </w:p>
        </w:tc>
        <w:tc>
          <w:tcPr>
            <w:tcW w:w="1312" w:type="dxa"/>
            <w:tcBorders/>
            <w:shd w:fill="FFFFFF" w:val="clear"/>
            <w:vAlign w:val="bottom"/>
          </w:tcPr>
          <w:p>
            <w:pPr>
              <w:pStyle w:val="TableContents"/>
              <w:spacing w:before="0" w:after="283"/>
              <w:jc w:val="right"/>
              <w:rPr/>
            </w:pPr>
            <w:r>
              <w:rPr/>
              <w:t xml:space="preserve">26.6 </w:t>
            </w:r>
          </w:p>
        </w:tc>
        <w:tc>
          <w:tcPr>
            <w:tcW w:w="288" w:type="dxa"/>
            <w:tcBorders/>
            <w:shd w:fill="FFFFFF" w:val="clear"/>
            <w:vAlign w:val="bottom"/>
          </w:tcPr>
          <w:p>
            <w:pPr>
              <w:pStyle w:val="TableContents"/>
              <w:spacing w:before="0" w:after="283"/>
              <w:jc w:val="left"/>
              <w:rPr/>
            </w:pPr>
            <w:r>
              <w:rPr/>
              <w:t xml:space="preserve">% </w:t>
            </w:r>
          </w:p>
        </w:tc>
      </w:tr>
      <w:tr>
        <w:trPr/>
        <w:tc>
          <w:tcPr>
            <w:tcW w:w="2467" w:type="dxa"/>
            <w:tcBorders/>
            <w:shd w:fill="CCEEFF" w:val="clear"/>
            <w:vAlign w:val="bottom"/>
          </w:tcPr>
          <w:p>
            <w:pPr>
              <w:pStyle w:val="TableContents"/>
              <w:spacing w:before="0" w:after="0"/>
              <w:ind w:left="200" w:right="0" w:hanging="200"/>
              <w:jc w:val="left"/>
              <w:rPr>
                <w:sz w:val="17"/>
              </w:rPr>
            </w:pPr>
            <w:r>
              <w:rPr>
                <w:sz w:val="17"/>
              </w:rPr>
              <w:t xml:space="preserve">$4.00 </w:t>
            </w:r>
          </w:p>
        </w:tc>
        <w:tc>
          <w:tcPr>
            <w:tcW w:w="81" w:type="dxa"/>
            <w:tcBorders/>
            <w:shd w:fill="CCEEFF" w:val="clear"/>
            <w:vAlign w:val="bottom"/>
          </w:tcPr>
          <w:p>
            <w:pPr>
              <w:pStyle w:val="TableContents"/>
              <w:spacing w:before="0" w:after="283"/>
              <w:rPr/>
            </w:pPr>
            <w:r>
              <w:rPr/>
              <w:t xml:space="preserve">  </w:t>
            </w:r>
          </w:p>
        </w:tc>
        <w:tc>
          <w:tcPr>
            <w:tcW w:w="342" w:type="dxa"/>
            <w:tcBorders/>
            <w:shd w:fill="CCEEFF" w:val="clear"/>
            <w:vAlign w:val="bottom"/>
          </w:tcPr>
          <w:p>
            <w:pPr>
              <w:pStyle w:val="TableContents"/>
              <w:spacing w:before="0" w:after="283"/>
              <w:jc w:val="left"/>
              <w:rPr/>
            </w:pPr>
            <w:r>
              <w:rPr/>
              <w:t xml:space="preserve">$ </w:t>
            </w:r>
          </w:p>
        </w:tc>
        <w:tc>
          <w:tcPr>
            <w:tcW w:w="1567" w:type="dxa"/>
            <w:tcBorders/>
            <w:shd w:fill="CCEEFF" w:val="clear"/>
            <w:vAlign w:val="bottom"/>
          </w:tcPr>
          <w:p>
            <w:pPr>
              <w:pStyle w:val="TableContents"/>
              <w:spacing w:before="0" w:after="283"/>
              <w:jc w:val="right"/>
              <w:rPr/>
            </w:pPr>
            <w:r>
              <w:rPr/>
              <w:t xml:space="preserve">440,000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79" w:type="dxa"/>
            <w:tcBorders/>
            <w:shd w:fill="CCEEFF" w:val="clear"/>
            <w:vAlign w:val="bottom"/>
          </w:tcPr>
          <w:p>
            <w:pPr>
              <w:pStyle w:val="TableContents"/>
              <w:spacing w:before="0" w:after="283"/>
              <w:jc w:val="left"/>
              <w:rPr/>
            </w:pPr>
            <w:r>
              <w:rPr/>
              <w:t xml:space="preserve">$ </w:t>
            </w:r>
          </w:p>
        </w:tc>
        <w:tc>
          <w:tcPr>
            <w:tcW w:w="1262" w:type="dxa"/>
            <w:tcBorders/>
            <w:shd w:fill="CCEEFF" w:val="clear"/>
            <w:vAlign w:val="bottom"/>
          </w:tcPr>
          <w:p>
            <w:pPr>
              <w:pStyle w:val="TableContents"/>
              <w:spacing w:before="0" w:after="283"/>
              <w:jc w:val="right"/>
              <w:rPr/>
            </w:pPr>
            <w:r>
              <w:rPr/>
              <w:t xml:space="preserve">176,935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354" w:type="dxa"/>
            <w:tcBorders/>
            <w:shd w:fill="CCEEFF" w:val="clear"/>
            <w:vAlign w:val="bottom"/>
          </w:tcPr>
          <w:p>
            <w:pPr>
              <w:pStyle w:val="TableContents"/>
              <w:spacing w:before="0" w:after="283"/>
              <w:jc w:val="right"/>
              <w:rPr/>
            </w:pPr>
            <w:r>
              <w:rPr/>
              <w:t xml:space="preserve">616,935 </w:t>
            </w:r>
          </w:p>
        </w:tc>
        <w:tc>
          <w:tcPr>
            <w:tcW w:w="127"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297" w:type="dxa"/>
            <w:tcBorders/>
            <w:shd w:fill="CCEEFF" w:val="clear"/>
            <w:vAlign w:val="bottom"/>
          </w:tcPr>
          <w:p>
            <w:pPr>
              <w:pStyle w:val="TableContents"/>
              <w:spacing w:before="0" w:after="283"/>
              <w:jc w:val="left"/>
              <w:rPr/>
            </w:pPr>
            <w:r>
              <w:rPr/>
              <w:t xml:space="preserve">  </w:t>
            </w:r>
          </w:p>
        </w:tc>
        <w:tc>
          <w:tcPr>
            <w:tcW w:w="1312" w:type="dxa"/>
            <w:tcBorders/>
            <w:shd w:fill="CCEEFF" w:val="clear"/>
            <w:vAlign w:val="bottom"/>
          </w:tcPr>
          <w:p>
            <w:pPr>
              <w:pStyle w:val="TableContents"/>
              <w:spacing w:before="0" w:after="283"/>
              <w:jc w:val="right"/>
              <w:rPr/>
            </w:pPr>
            <w:r>
              <w:rPr/>
              <w:t xml:space="preserve">28.7 </w:t>
            </w:r>
          </w:p>
        </w:tc>
        <w:tc>
          <w:tcPr>
            <w:tcW w:w="288"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 thousands.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Assumes 110,000,000 units outstanding. Actual number of units outstanding as of December 31, 2006 was 109,405,178. An increase in the number of units outstanding would increase both the distribution to unitholders and the distribution to the general partner of any given level of distribution per unit.</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distributions attributable to the 2% general partner interest and the incentive distribution rights.</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Equity-Based Long-Term Incentive Plans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adopted the Plains All American GP LLC 1998 Long-Term Incentive Plan (the 1998 LTIP) and the Plains All American GP LLC 2005 Long-Term Incentive Plan (the 2005 LTIP and, together with the 1998 LTIP, the Plans) for employees and directors of our general partner and its affiliates who perform services for us. Awards contemplated by the Plans include phantom units (referred to as restricted units in the 1998 LTIP), distribution equivalent rights (DERs) and unit options. As amended, the 1998 LTIP authorizes the grant of awards covering an aggregate of 1,425,000 common units deliverable upon vesting or exercise (as applicable) of such awards. The 2005 LTIP authorizes the grant of awards covering an aggregate of 3,000,000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Common units to be delivered upon the vesting of rights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Phantom Units.</w:t>
      </w:r>
      <w:r>
        <w:rPr>
          <w:rFonts w:ascii="Times New Roman;Times" w:hAnsi="Times New Roman;Times"/>
          <w:color w:val="000000"/>
          <w:sz w:val="17"/>
          <w:highlight w:val="white"/>
        </w:rPr>
        <w:t xml:space="preserve">  A phantom unit entitles the grantee to receive, upon the vesting of the phantom unit, a common unit (or cash equivalent, depending on the terms of the grant).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giving effect to vested grants, grants of approximately 40,550 and 2,195,700 unvested phantom units remain outstanding under the 1998 LTIP and 2005 LTIP, respectively, and approximately 893,740 and 804,300 remain available for future grant, respectively. In addition, the PPX Successor LTIP has available 999,809 units that were adopted from the Pacific LTIP. These units can be used only in awards to former Pacific employees or employees hired after the date of the Pacific acquisition.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issuance of the common units upon vesting of phantom units is primarily intended to serve as a means of incentive compensation for performance. Therefore, no consideration is paid to us by the plan participants upon receipt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Unit Options.</w:t>
      </w:r>
      <w:r>
        <w:rPr>
          <w:rFonts w:ascii="Times New Roman;Times" w:hAnsi="Times New Roman;Times"/>
          <w:color w:val="000000"/>
          <w:sz w:val="17"/>
          <w:highlight w:val="white"/>
        </w:rPr>
        <w:t xml:space="preserve">  Although the Plans currently permit the grant of options covering common units, no options have been granted under the Plans to 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General Partners Performance Option Plan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2001, certain owners of the general partner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As of December 31, 2006, 171,000 options remain outstanding under the plan, all of which are fully vested. No units remain available for future grant. The original exercise price of the options was $22 per unit, declining over time by an amount equal to 80% of each quarterly distribution per unit. As of December 31, 2006, the exercise price was approximately $11.55 per unit. Because the units underlying the plan were contributed to the general partner, we have no obligation to reimburse the general partner for the cost of the units upon exercise of the options.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Transactions with Related Persons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Vulcan Energy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Vulcan Energy and its affiliates owned approximately 54% of our general partner interest, as well as approximately 11.3% of our outstanding limited partner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Voting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August 2005, one of the owners of our general partner notified the remaining owners of its intent to sell its 19% interest in the general partner. The remaining owners elected to exercise their right of first refusal, such that the 19% interest was purchased pro rata by all remaining owners. As a result of the transaction, the interest of Vulcan Energy increased from 44% to approximately 54%.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material impact on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Administrative Services Agreement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October 14, 2005,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$1.0 million. The Services Agreement extends through October 2008, at which time it will automatically renew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or its affiliates then GP LLC is entitled to suspend the provision of that service and such a suspension will not constitute a breach of the Services Agreement. Vulcan Gas Storage LLC (discussed below) operates separately from Vulcan Energy, and services we provide to Vulcan Gas Storage LLC are not covered under the Services Agreement.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Predecessor Agreements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2001, Plains Resources, Inc. transferred a portion of its indirect interest in our general partner to certain of the current owners. As successor in interest to Plains Resources, Vulcan Energy is party to certain agreements related to such transfer, including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separation agreement entered into in 2001 in connection with the transfer of interests in our general partner pursuant to which (i) Vulcan indemnifies us for (a) claims relating to securities laws or regulations in connection with the upstream or midstream businesses, based on alleged acts or omissions occurring on or prior to June 8, 2001, or (b) claims related to the upstream business, whenever arising, and (ii) we indemnify Vulcan for claims related to the midstream business, whenever arising. Vulcan also indemnifies, and maintains liability insurance (through June 8, 2007) for the individuals who were, on or before June 8, 2001, directors or officers of Plains Resources or our former general partner.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Pension and Employee Benefits Assumption and Transition Services Agreement that provided for the transfer to our general partner of the employees of our former general partner and certain headquarters employees of Plains Resources.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 Omnibus Agreement that provides for the resolution of certain conflicts of interest, including certain non-compete obligations.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Crude Oil Purchases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Until August 12, 2005, Vulcan Energy owned 100% of Calumet Florida L.L.C. Calumet is now owned by Vulcan Resources Florida, Inc., the majority of which is owned by Paul G. Allen. We purchase crude oil from Calumet. We paid approximately $45.1 million to Calumet in 2006. Calumet may request from time to time that we provide fixed pricing or a range of pricing for a portion of its production. When we offer such an arrangement, we protect our position by placing hedges on equivalent amounts, and charge Calumet a fee of $0.20 per barrel. No such arrangements were in place during 2006.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those relationships described above, we have engaged in other transactions with affiliates of Vulcan Energy. See  Equity Offerings and  Investment in Natural Gas Storage Joint Venture.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Equity Offerings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2006, we sold 6,163,960 common units, approximately 10% and 10% of which were sold to investment funds affiliated with KACALP and Encap Investments, L.P., respectively. In July and August 2006, we sold a total of 3,720,930 common units, approximately 12.5% and 18.7% of which were sold to investment funds affiliated with KACALP and Vulcan Capital, respectively. In addition, in March and April 2006, we sold 3,504,672 common units, approximately 20% of which were sold to investment funds affiliated with KACALP. KAFU Holdings, L.P., which owns 20.3% of our general partner and has a representative on our board of directors, is managed by KACALP. Vulcan Capital, the investment arm of Paul G. Allen, and its subsidiaries own approximately 54% of our general partner interest and has a representative on our board of directors. Affiliates of EnCap own approximately 11.1% of our general partner and have a representative on our board of directors.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2005, we sold 4,500,000 units in a public offering at a unit price to the public of $42.20. We received net proceeds of approximately $182.3 million, or $40.512 per unit after underwriters discounts and commissions. Concurrently with the public offering, we sold 679,000 common units pursuant to our existing shelf registration statement to investment funds affiliated with KACALP in a privately negotiated transaction for a purchase price of $40.512 per unit (equivalent to the public offering price less underwriting discounts and commissions). On February 25, 2005, we issued 575,000 common units in a private placement to a subsidiary of Vulcan Capital. The sale price was $38.13 per unit, which represented a 2.8% discount to the closing price of the units on February 24, 2005.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Tank Car Lease and CANPET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July 2001, we acquired the assets of CANPET Energy Group Inc., a Calgary-based Canadian crude oil and LPG marketing company (the CANPET acquisition), for approximately $24.6 million plus excess inventory at the closing date of approximately $25.0 million. Mr. W. David Duckett, the President of PMC (Nova Scotia) Company, the general partner of Plains Marketing Canada, L.P., owns approximately 37.8% of CANPET. In connection with the CANPET acquisition, Plains Marketing Canada, L.P. assumed CANPETs rights and obligations under a Master Railcar Leasing Agreement between CANPET and Pivotal Enterprises Corporation (Pivotal). The agreement provides for Plains Marketing Canada, L.P. to lease approximately 57 railcars from Pivotal at a lease price of $1,000 (Canadian) per month, per car. The lease extends until June of 2008, with an option for Pivotal to extend the term of the lease for an additional five years. Pivotal is substantially owned by former employees of CANPET, including Mr. Duckett. Mr. Duckett owns a 23.4% interest in Pivotal.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Class C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April 2004, we sold 3,245,700 unregistered Class C common units (the Class C common units) to a group of investors consisting of affiliates of Kayne Anderson Capital Advisors, Vulcan Capital and Tortoise Capital pursuant to Rule 4(2) under the Securities Act. For more detailed information with respect to our relationship with Kayne Anderson Capital Advisors and Vulcan Capital, see Item 12. Security Ownership of Certain Beneficial Owners and Management and Related Unitholder Matters. We received $30.81 per Class C common unit, an amount which represented 94% of the average closing price of our common units for the twenty trading days immediately ending on and including March 26, 2004. Net proceeds from the private placement, including the general partners proportionate capital contribution and expenses associated with the sale, were approximately $101 million. We used the net proceeds from the offering to repay indebtedness under our revolving credit facility incurred in connection with the Link acquisition. In January 2005, our common unitholders approved a change in the terms of the Class C common units such that they were immediately convertible into an equal number of common units at the option of the holders, and in February 2005, all of the Class C common units converted.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Investment in Natural Gas Storage Joint Venture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a limited liability company, was formed in the third quarter of 2005. We own 50% of PAA/Vulcan and the remaining 50% is owned by Vulcan Gas Storage LLC, a subsidiary of Vulcan Capital, the investment arm of Paul G. Allen. The Board of Directors of PAA/Vulcan consists of an equal number of our representatives and representatives of Vulcan Gas Storage, and is responsible for providing strategic direction and policy-making. We, as the managing member, are responsible for the day-to-day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2005, PAA/Vulcan acquired ECI, an indirect subsidiary of Sempra Energy, for approximately $250 million. ECI develops and operates underground natural gas storage facilities. We and Vulcan Gas Storage LLC each made an initial cash investment of approximately $112.5 million, and Bluewater Natural Gas Holdings, LLC a subsidiary of PAA/Vulcan (Bluewater) entered into a $90 million credit facility contemporaneously with closing. Approximately $25.4 million was outstanding under this credit facility as of February 20, 2007. We currently have no direct or contingent obligations under the Bluewater credit facility.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2007, 2008 and 2009. We received a fee of approximately $1 million for our services to own and manage the hedge positions and to deliver the natural gas.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and Vulcan Gas Storage are both required to make capital contributions in equal proportions to fund equity requests associated with certain projects specified in the joint venture agreement.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conjunction with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$1.0 million over ten years from PAA/Vulcan (distributions that would otherwise have been paid to Vulcan Gas Storage LLC).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$75.0 million, we will receive a distribution from PAA/Vulcan equal to $6.0 million per year for each year since formation of the joint venture, subject to a maximum of 5 years or $30 million. Thereafter, we will receive annually a distribution equal to the greater of $2 million per year or two percent of the EBITDA of PAA/Vulcan.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Thomas Coiner, an employee in our marketing department, is the son of George R. Coiner, Senior Group Vice President. In 2006, Thomas Coiner received compensation in excess of $120,000.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Review, Approval or Ratification of Transactions with Related Persons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our Code of Business Conduct, any Executive Officer must avoid conflicts of interest unless approved by the board of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case of any sale of equity in which an owner or affiliate of an owner of our general partner participates, our practice is to obtain general approval of the full board for the transaction. The board typically delegates authority to set the specific terms to a pricing committee, consisting of the CEO and one independent director. Actions by the pricing committee require unanimous approval. </w:t>
      </w:r>
    </w:p>
    <w:p>
      <w:pPr>
        <w:pStyle w:val="TextBody"/>
        <w:spacing w:before="240" w:after="283"/>
        <w:rPr/>
      </w:pPr>
      <w:bookmarkStart w:id="23" w:name="121"/>
      <w:bookmarkEnd w:id="23"/>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14.  </w:t>
            </w:r>
            <w:r>
              <w:rPr/>
              <w:t xml:space="preserve"> </w:t>
            </w:r>
          </w:p>
        </w:tc>
        <w:tc>
          <w:tcPr>
            <w:tcW w:w="9288" w:type="dxa"/>
            <w:tcBorders/>
            <w:shd w:fill="FFFFFF" w:val="clear"/>
          </w:tcPr>
          <w:p>
            <w:pPr>
              <w:pStyle w:val="TableContents"/>
              <w:spacing w:before="0" w:after="283"/>
              <w:rPr/>
            </w:pPr>
            <w:r>
              <w:rPr>
                <w:rFonts w:ascii="Times New Roman;Times" w:hAnsi="Times New Roman;Times"/>
                <w:b/>
                <w:i/>
              </w:rPr>
              <w:t>Principal Accountant Fees and Services</w:t>
            </w: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services provided by our independent auditor are subject to pre-approval by our audit committee. The audit committee has instituted a policy that describes certain pre-approved non-audit services. We believe that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description of services is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details the aggregate fees billed for professional services rendered by our independent auditor: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086"/>
        <w:gridCol w:w="201"/>
        <w:gridCol w:w="221"/>
        <w:gridCol w:w="429"/>
        <w:gridCol w:w="165"/>
        <w:gridCol w:w="287"/>
        <w:gridCol w:w="221"/>
        <w:gridCol w:w="430"/>
        <w:gridCol w:w="165"/>
      </w:tblGrid>
      <w:tr>
        <w:trPr/>
        <w:tc>
          <w:tcPr>
            <w:tcW w:w="8086"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429"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c>
          <w:tcPr>
            <w:tcW w:w="28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430"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r>
      <w:tr>
        <w:trPr/>
        <w:tc>
          <w:tcPr>
            <w:tcW w:w="8086" w:type="dxa"/>
            <w:tcBorders/>
            <w:shd w:fill="FFFFFF" w:val="clear"/>
            <w:vAlign w:val="bottom"/>
          </w:tcPr>
          <w:p>
            <w:pPr>
              <w:pStyle w:val="TableContents"/>
              <w:spacing w:before="0" w:after="283"/>
              <w:jc w:val="center"/>
              <w:rPr/>
            </w:pPr>
            <w:r>
              <w:rPr/>
              <w:t xml:space="preserve">  </w:t>
            </w:r>
          </w:p>
        </w:tc>
        <w:tc>
          <w:tcPr>
            <w:tcW w:w="201" w:type="dxa"/>
            <w:tcBorders/>
            <w:shd w:fill="FFFFFF" w:val="clear"/>
            <w:vAlign w:val="bottom"/>
          </w:tcPr>
          <w:p>
            <w:pPr>
              <w:pStyle w:val="TableContents"/>
              <w:spacing w:before="0" w:after="283"/>
              <w:jc w:val="center"/>
              <w:rPr/>
            </w:pPr>
            <w:r>
              <w:rPr/>
              <w:t xml:space="preserve">  </w:t>
            </w:r>
          </w:p>
        </w:tc>
        <w:tc>
          <w:tcPr>
            <w:tcW w:w="1753" w:type="dxa"/>
            <w:gridSpan w:val="6"/>
            <w:tcBorders/>
            <w:shd w:fill="FFFFFF" w:val="clear"/>
            <w:vAlign w:val="bottom"/>
          </w:tcPr>
          <w:p>
            <w:pPr>
              <w:pStyle w:val="TableContents"/>
              <w:spacing w:before="0" w:after="283"/>
              <w:jc w:val="center"/>
              <w:rPr>
                <w:b/>
              </w:rPr>
            </w:pPr>
            <w:r>
              <w:rPr>
                <w:b/>
              </w:rPr>
              <w:t>Year Ended</w:t>
            </w:r>
          </w:p>
        </w:tc>
        <w:tc>
          <w:tcPr>
            <w:tcW w:w="165" w:type="dxa"/>
            <w:tcBorders/>
            <w:shd w:fill="FFFFFF" w:val="clear"/>
            <w:vAlign w:val="bottom"/>
          </w:tcPr>
          <w:p>
            <w:pPr>
              <w:pStyle w:val="TableContents"/>
              <w:spacing w:before="0" w:after="283"/>
              <w:jc w:val="center"/>
              <w:rPr/>
            </w:pPr>
            <w:r>
              <w:rPr/>
              <w:t xml:space="preserve">  </w:t>
            </w:r>
          </w:p>
        </w:tc>
      </w:tr>
      <w:tr>
        <w:trPr/>
        <w:tc>
          <w:tcPr>
            <w:tcW w:w="8086" w:type="dxa"/>
            <w:tcBorders/>
            <w:shd w:fill="FFFFFF" w:val="clear"/>
            <w:vAlign w:val="bottom"/>
          </w:tcPr>
          <w:p>
            <w:pPr>
              <w:pStyle w:val="TableContents"/>
              <w:spacing w:before="0" w:after="283"/>
              <w:jc w:val="center"/>
              <w:rPr/>
            </w:pPr>
            <w:r>
              <w:rPr/>
              <w:t xml:space="preserve">  </w:t>
            </w:r>
          </w:p>
        </w:tc>
        <w:tc>
          <w:tcPr>
            <w:tcW w:w="201" w:type="dxa"/>
            <w:tcBorders/>
            <w:shd w:fill="FFFFFF" w:val="clear"/>
            <w:vAlign w:val="bottom"/>
          </w:tcPr>
          <w:p>
            <w:pPr>
              <w:pStyle w:val="TableContents"/>
              <w:spacing w:before="0" w:after="283"/>
              <w:jc w:val="center"/>
              <w:rPr/>
            </w:pPr>
            <w:r>
              <w:rPr/>
              <w:t xml:space="preserve">  </w:t>
            </w:r>
          </w:p>
        </w:tc>
        <w:tc>
          <w:tcPr>
            <w:tcW w:w="175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65" w:type="dxa"/>
            <w:tcBorders/>
            <w:shd w:fill="FFFFFF" w:val="clear"/>
            <w:vAlign w:val="bottom"/>
          </w:tcPr>
          <w:p>
            <w:pPr>
              <w:pStyle w:val="TableContents"/>
              <w:spacing w:before="0" w:after="283"/>
              <w:jc w:val="center"/>
              <w:rPr/>
            </w:pPr>
            <w:r>
              <w:rPr/>
              <w:t xml:space="preserve">  </w:t>
            </w:r>
          </w:p>
        </w:tc>
      </w:tr>
      <w:tr>
        <w:trPr/>
        <w:tc>
          <w:tcPr>
            <w:tcW w:w="8086" w:type="dxa"/>
            <w:tcBorders/>
            <w:shd w:fill="FFFFFF" w:val="clear"/>
            <w:vAlign w:val="bottom"/>
          </w:tcPr>
          <w:p>
            <w:pPr>
              <w:pStyle w:val="TableContents"/>
              <w:spacing w:before="0" w:after="283"/>
              <w:jc w:val="center"/>
              <w:rPr/>
            </w:pPr>
            <w:r>
              <w:rPr/>
              <w:t xml:space="preserve">  </w:t>
            </w:r>
          </w:p>
        </w:tc>
        <w:tc>
          <w:tcPr>
            <w:tcW w:w="201" w:type="dxa"/>
            <w:tcBorders/>
            <w:shd w:fill="FFFFFF" w:val="clear"/>
            <w:vAlign w:val="bottom"/>
          </w:tcPr>
          <w:p>
            <w:pPr>
              <w:pStyle w:val="TableContents"/>
              <w:spacing w:before="0" w:after="283"/>
              <w:jc w:val="center"/>
              <w:rPr/>
            </w:pPr>
            <w:r>
              <w:rPr/>
              <w:t xml:space="preserve">  </w:t>
            </w:r>
          </w:p>
        </w:tc>
        <w:tc>
          <w:tcPr>
            <w:tcW w:w="65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287" w:type="dxa"/>
            <w:tcBorders/>
            <w:shd w:fill="FFFFFF" w:val="clear"/>
            <w:vAlign w:val="bottom"/>
          </w:tcPr>
          <w:p>
            <w:pPr>
              <w:pStyle w:val="TableContents"/>
              <w:spacing w:before="0" w:after="283"/>
              <w:jc w:val="center"/>
              <w:rPr/>
            </w:pPr>
            <w:r>
              <w:rPr/>
              <w:t xml:space="preserve">  </w:t>
            </w:r>
          </w:p>
        </w:tc>
        <w:tc>
          <w:tcPr>
            <w:tcW w:w="65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5" w:type="dxa"/>
            <w:tcBorders/>
            <w:shd w:fill="FFFFFF" w:val="clear"/>
            <w:vAlign w:val="bottom"/>
          </w:tcPr>
          <w:p>
            <w:pPr>
              <w:pStyle w:val="TableContents"/>
              <w:spacing w:before="0" w:after="283"/>
              <w:jc w:val="center"/>
              <w:rPr/>
            </w:pPr>
            <w:r>
              <w:rPr/>
              <w:t xml:space="preserve">  </w:t>
            </w:r>
          </w:p>
        </w:tc>
      </w:tr>
      <w:tr>
        <w:trPr/>
        <w:tc>
          <w:tcPr>
            <w:tcW w:w="8086" w:type="dxa"/>
            <w:tcBorders/>
            <w:shd w:fill="FFFFFF" w:val="clear"/>
            <w:vAlign w:val="center"/>
          </w:tcPr>
          <w:p>
            <w:pPr>
              <w:pStyle w:val="TableContents"/>
              <w:spacing w:before="0" w:after="283"/>
              <w:rPr/>
            </w:pPr>
            <w:r>
              <w:rPr/>
              <w:t xml:space="preserve">  </w:t>
            </w:r>
          </w:p>
        </w:tc>
        <w:tc>
          <w:tcPr>
            <w:tcW w:w="2119" w:type="dxa"/>
            <w:gridSpan w:val="8"/>
            <w:tcBorders/>
            <w:shd w:fill="FFFFFF" w:val="clear"/>
          </w:tcPr>
          <w:p>
            <w:pPr>
              <w:pStyle w:val="TableContents"/>
              <w:spacing w:before="0" w:after="283"/>
              <w:rPr>
                <w:sz w:val="4"/>
                <w:szCs w:val="4"/>
              </w:rPr>
            </w:pPr>
            <w:r>
              <w:rPr>
                <w:sz w:val="4"/>
                <w:szCs w:val="4"/>
              </w:rPr>
            </w:r>
          </w:p>
        </w:tc>
      </w:tr>
      <w:tr>
        <w:trPr/>
        <w:tc>
          <w:tcPr>
            <w:tcW w:w="8086" w:type="dxa"/>
            <w:tcBorders/>
            <w:shd w:fill="CCEEFF" w:val="clear"/>
            <w:vAlign w:val="bottom"/>
          </w:tcPr>
          <w:p>
            <w:pPr>
              <w:pStyle w:val="TableContents"/>
              <w:spacing w:before="0" w:after="0"/>
              <w:ind w:left="200" w:right="0" w:hanging="200"/>
              <w:jc w:val="left"/>
              <w:rPr>
                <w:sz w:val="17"/>
              </w:rPr>
            </w:pPr>
            <w:r>
              <w:rPr>
                <w:sz w:val="17"/>
              </w:rPr>
              <w:t xml:space="preserve">Audit fees(1) </w:t>
            </w:r>
          </w:p>
        </w:tc>
        <w:tc>
          <w:tcPr>
            <w:tcW w:w="201"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29" w:type="dxa"/>
            <w:tcBorders/>
            <w:shd w:fill="CCEEFF" w:val="clear"/>
            <w:vAlign w:val="bottom"/>
          </w:tcPr>
          <w:p>
            <w:pPr>
              <w:pStyle w:val="TableContents"/>
              <w:spacing w:before="0" w:after="283"/>
              <w:jc w:val="right"/>
              <w:rPr/>
            </w:pPr>
            <w:r>
              <w:rPr/>
              <w:t xml:space="preserve">2.4 </w:t>
            </w:r>
          </w:p>
        </w:tc>
        <w:tc>
          <w:tcPr>
            <w:tcW w:w="165"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30" w:type="dxa"/>
            <w:tcBorders/>
            <w:shd w:fill="CCEEFF" w:val="clear"/>
            <w:vAlign w:val="bottom"/>
          </w:tcPr>
          <w:p>
            <w:pPr>
              <w:pStyle w:val="TableContents"/>
              <w:spacing w:before="0" w:after="283"/>
              <w:jc w:val="right"/>
              <w:rPr/>
            </w:pPr>
            <w:r>
              <w:rPr/>
              <w:t xml:space="preserve">2.2 </w:t>
            </w:r>
          </w:p>
        </w:tc>
        <w:tc>
          <w:tcPr>
            <w:tcW w:w="165" w:type="dxa"/>
            <w:tcBorders/>
            <w:shd w:fill="CCEEFF" w:val="clear"/>
            <w:vAlign w:val="bottom"/>
          </w:tcPr>
          <w:p>
            <w:pPr>
              <w:pStyle w:val="TableContents"/>
              <w:spacing w:before="0" w:after="283"/>
              <w:jc w:val="left"/>
              <w:rPr/>
            </w:pPr>
            <w:r>
              <w:rPr/>
              <w:t xml:space="preserve">  </w:t>
            </w:r>
          </w:p>
        </w:tc>
      </w:tr>
      <w:tr>
        <w:trPr/>
        <w:tc>
          <w:tcPr>
            <w:tcW w:w="8086" w:type="dxa"/>
            <w:tcBorders/>
            <w:shd w:fill="FFFFFF" w:val="clear"/>
            <w:vAlign w:val="bottom"/>
          </w:tcPr>
          <w:p>
            <w:pPr>
              <w:pStyle w:val="TableContents"/>
              <w:spacing w:before="0" w:after="0"/>
              <w:ind w:left="200" w:right="0" w:hanging="200"/>
              <w:jc w:val="left"/>
              <w:rPr>
                <w:sz w:val="17"/>
              </w:rPr>
            </w:pPr>
            <w:r>
              <w:rPr>
                <w:sz w:val="17"/>
              </w:rPr>
              <w:t xml:space="preserve">Audit-related fees(2) </w:t>
            </w:r>
          </w:p>
        </w:tc>
        <w:tc>
          <w:tcPr>
            <w:tcW w:w="201"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429" w:type="dxa"/>
            <w:tcBorders/>
            <w:shd w:fill="FFFFFF" w:val="clear"/>
            <w:vAlign w:val="bottom"/>
          </w:tcPr>
          <w:p>
            <w:pPr>
              <w:pStyle w:val="TableContents"/>
              <w:spacing w:before="0" w:after="283"/>
              <w:jc w:val="right"/>
              <w:rPr/>
            </w:pPr>
            <w:r>
              <w:rPr/>
              <w:t xml:space="preserve">0.3 </w:t>
            </w:r>
          </w:p>
        </w:tc>
        <w:tc>
          <w:tcPr>
            <w:tcW w:w="165" w:type="dxa"/>
            <w:tcBorders/>
            <w:shd w:fill="FFFFFF" w:val="clear"/>
            <w:vAlign w:val="bottom"/>
          </w:tcPr>
          <w:p>
            <w:pPr>
              <w:pStyle w:val="TableContents"/>
              <w:spacing w:before="0" w:after="283"/>
              <w:jc w:val="left"/>
              <w:rPr/>
            </w:pPr>
            <w:r>
              <w:rPr/>
              <w:t xml:space="preserve">  </w:t>
            </w:r>
          </w:p>
        </w:tc>
        <w:tc>
          <w:tcPr>
            <w:tcW w:w="287"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430" w:type="dxa"/>
            <w:tcBorders/>
            <w:shd w:fill="FFFFFF" w:val="clear"/>
            <w:vAlign w:val="bottom"/>
          </w:tcPr>
          <w:p>
            <w:pPr>
              <w:pStyle w:val="TableContents"/>
              <w:spacing w:before="0" w:after="283"/>
              <w:jc w:val="right"/>
              <w:rPr/>
            </w:pPr>
            <w:r>
              <w:rPr/>
              <w:t xml:space="preserve">0.1 </w:t>
            </w:r>
          </w:p>
        </w:tc>
        <w:tc>
          <w:tcPr>
            <w:tcW w:w="165" w:type="dxa"/>
            <w:tcBorders/>
            <w:shd w:fill="FFFFFF" w:val="clear"/>
            <w:vAlign w:val="bottom"/>
          </w:tcPr>
          <w:p>
            <w:pPr>
              <w:pStyle w:val="TableContents"/>
              <w:spacing w:before="0" w:after="283"/>
              <w:jc w:val="left"/>
              <w:rPr/>
            </w:pPr>
            <w:r>
              <w:rPr/>
              <w:t xml:space="preserve">  </w:t>
            </w:r>
          </w:p>
        </w:tc>
      </w:tr>
      <w:tr>
        <w:trPr/>
        <w:tc>
          <w:tcPr>
            <w:tcW w:w="8086" w:type="dxa"/>
            <w:tcBorders/>
            <w:shd w:fill="CCEEFF" w:val="clear"/>
            <w:vAlign w:val="bottom"/>
          </w:tcPr>
          <w:p>
            <w:pPr>
              <w:pStyle w:val="TableContents"/>
              <w:spacing w:before="0" w:after="0"/>
              <w:ind w:left="200" w:right="0" w:hanging="200"/>
              <w:jc w:val="left"/>
              <w:rPr>
                <w:sz w:val="17"/>
              </w:rPr>
            </w:pPr>
            <w:r>
              <w:rPr>
                <w:sz w:val="17"/>
              </w:rPr>
              <w:t xml:space="preserve">Tax fees(3) </w:t>
            </w:r>
          </w:p>
        </w:tc>
        <w:tc>
          <w:tcPr>
            <w:tcW w:w="201"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29" w:type="dxa"/>
            <w:tcBorders/>
            <w:shd w:fill="CCEEFF" w:val="clear"/>
            <w:vAlign w:val="bottom"/>
          </w:tcPr>
          <w:p>
            <w:pPr>
              <w:pStyle w:val="TableContents"/>
              <w:spacing w:before="0" w:after="283"/>
              <w:jc w:val="right"/>
              <w:rPr/>
            </w:pPr>
            <w:r>
              <w:rPr/>
              <w:t xml:space="preserve">1.6 </w:t>
            </w:r>
          </w:p>
        </w:tc>
        <w:tc>
          <w:tcPr>
            <w:tcW w:w="165"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30" w:type="dxa"/>
            <w:tcBorders/>
            <w:shd w:fill="CCEEFF" w:val="clear"/>
            <w:vAlign w:val="bottom"/>
          </w:tcPr>
          <w:p>
            <w:pPr>
              <w:pStyle w:val="TableContents"/>
              <w:spacing w:before="0" w:after="283"/>
              <w:jc w:val="right"/>
              <w:rPr/>
            </w:pPr>
            <w:r>
              <w:rPr/>
              <w:t xml:space="preserve">0.5 </w:t>
            </w:r>
          </w:p>
        </w:tc>
        <w:tc>
          <w:tcPr>
            <w:tcW w:w="165" w:type="dxa"/>
            <w:tcBorders/>
            <w:shd w:fill="CCEEFF" w:val="clear"/>
            <w:vAlign w:val="bottom"/>
          </w:tcPr>
          <w:p>
            <w:pPr>
              <w:pStyle w:val="TableContents"/>
              <w:spacing w:before="0" w:after="283"/>
              <w:jc w:val="left"/>
              <w:rPr/>
            </w:pPr>
            <w:r>
              <w:rPr/>
              <w:t xml:space="preserve">  </w:t>
            </w:r>
          </w:p>
        </w:tc>
      </w:tr>
      <w:tr>
        <w:trPr/>
        <w:tc>
          <w:tcPr>
            <w:tcW w:w="8086" w:type="dxa"/>
            <w:tcBorders/>
            <w:shd w:fill="FFFFFF" w:val="clear"/>
            <w:vAlign w:val="bottom"/>
          </w:tcPr>
          <w:p>
            <w:pPr>
              <w:pStyle w:val="TableContents"/>
              <w:spacing w:before="0" w:after="0"/>
              <w:ind w:left="200" w:right="0" w:hanging="200"/>
              <w:jc w:val="left"/>
              <w:rPr>
                <w:sz w:val="17"/>
              </w:rPr>
            </w:pPr>
            <w:r>
              <w:rPr>
                <w:sz w:val="17"/>
              </w:rPr>
              <w:t xml:space="preserve">All other fees(4) </w:t>
            </w:r>
          </w:p>
        </w:tc>
        <w:tc>
          <w:tcPr>
            <w:tcW w:w="201"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429" w:type="dxa"/>
            <w:tcBorders/>
            <w:shd w:fill="FFFFFF" w:val="clear"/>
            <w:vAlign w:val="bottom"/>
          </w:tcPr>
          <w:p>
            <w:pPr>
              <w:pStyle w:val="TableContents"/>
              <w:spacing w:before="0" w:after="283"/>
              <w:jc w:val="right"/>
              <w:rPr/>
            </w:pPr>
            <w:r>
              <w:rPr/>
              <w:t xml:space="preserve">0.9 </w:t>
            </w:r>
          </w:p>
        </w:tc>
        <w:tc>
          <w:tcPr>
            <w:tcW w:w="165" w:type="dxa"/>
            <w:tcBorders/>
            <w:shd w:fill="FFFFFF" w:val="clear"/>
            <w:vAlign w:val="bottom"/>
          </w:tcPr>
          <w:p>
            <w:pPr>
              <w:pStyle w:val="TableContents"/>
              <w:spacing w:before="0" w:after="283"/>
              <w:jc w:val="left"/>
              <w:rPr/>
            </w:pPr>
            <w:r>
              <w:rPr/>
              <w:t xml:space="preserve">  </w:t>
            </w:r>
          </w:p>
        </w:tc>
        <w:tc>
          <w:tcPr>
            <w:tcW w:w="287"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430" w:type="dxa"/>
            <w:tcBorders/>
            <w:shd w:fill="FFFFFF" w:val="clear"/>
            <w:vAlign w:val="bottom"/>
          </w:tcPr>
          <w:p>
            <w:pPr>
              <w:pStyle w:val="TableContents"/>
              <w:spacing w:before="0" w:after="283"/>
              <w:jc w:val="right"/>
              <w:rPr/>
            </w:pPr>
            <w:r>
              <w:rPr/>
              <w:t xml:space="preserve">0.3 </w:t>
            </w:r>
          </w:p>
        </w:tc>
        <w:tc>
          <w:tcPr>
            <w:tcW w:w="165" w:type="dxa"/>
            <w:tcBorders/>
            <w:shd w:fill="FFFFFF" w:val="clear"/>
            <w:vAlign w:val="bottom"/>
          </w:tcPr>
          <w:p>
            <w:pPr>
              <w:pStyle w:val="TableContents"/>
              <w:spacing w:before="0" w:after="283"/>
              <w:jc w:val="left"/>
              <w:rPr/>
            </w:pPr>
            <w:r>
              <w:rPr/>
              <w:t xml:space="preserve">  </w:t>
            </w:r>
          </w:p>
        </w:tc>
      </w:tr>
      <w:tr>
        <w:trPr/>
        <w:tc>
          <w:tcPr>
            <w:tcW w:w="8086"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3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r>
        <w:trPr/>
        <w:tc>
          <w:tcPr>
            <w:tcW w:w="8086"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201"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29" w:type="dxa"/>
            <w:tcBorders/>
            <w:shd w:fill="CCEEFF" w:val="clear"/>
            <w:vAlign w:val="bottom"/>
          </w:tcPr>
          <w:p>
            <w:pPr>
              <w:pStyle w:val="TableContents"/>
              <w:spacing w:before="0" w:after="283"/>
              <w:jc w:val="right"/>
              <w:rPr/>
            </w:pPr>
            <w:r>
              <w:rPr/>
              <w:t xml:space="preserve">5.2 </w:t>
            </w:r>
          </w:p>
        </w:tc>
        <w:tc>
          <w:tcPr>
            <w:tcW w:w="165" w:type="dxa"/>
            <w:tcBorders/>
            <w:shd w:fill="CCEEFF" w:val="clear"/>
            <w:vAlign w:val="bottom"/>
          </w:tcPr>
          <w:p>
            <w:pPr>
              <w:pStyle w:val="TableContents"/>
              <w:spacing w:before="0" w:after="283"/>
              <w:jc w:val="left"/>
              <w:rPr/>
            </w:pPr>
            <w:r>
              <w:rPr/>
              <w:t xml:space="preserve">  </w:t>
            </w:r>
          </w:p>
        </w:tc>
        <w:tc>
          <w:tcPr>
            <w:tcW w:w="287"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430" w:type="dxa"/>
            <w:tcBorders/>
            <w:shd w:fill="CCEEFF" w:val="clear"/>
            <w:vAlign w:val="bottom"/>
          </w:tcPr>
          <w:p>
            <w:pPr>
              <w:pStyle w:val="TableContents"/>
              <w:spacing w:before="0" w:after="283"/>
              <w:jc w:val="right"/>
              <w:rPr/>
            </w:pPr>
            <w:r>
              <w:rPr/>
              <w:t xml:space="preserve">3.1 </w:t>
            </w:r>
          </w:p>
        </w:tc>
        <w:tc>
          <w:tcPr>
            <w:tcW w:w="165" w:type="dxa"/>
            <w:tcBorders/>
            <w:shd w:fill="CCEEFF" w:val="clear"/>
            <w:vAlign w:val="bottom"/>
          </w:tcPr>
          <w:p>
            <w:pPr>
              <w:pStyle w:val="TableContents"/>
              <w:spacing w:before="0" w:after="283"/>
              <w:jc w:val="left"/>
              <w:rPr/>
            </w:pPr>
            <w:r>
              <w:rPr/>
              <w:t xml:space="preserve">  </w:t>
            </w:r>
          </w:p>
        </w:tc>
      </w:tr>
      <w:tr>
        <w:trPr/>
        <w:tc>
          <w:tcPr>
            <w:tcW w:w="8086"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87"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3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Audit fees include those related to our annual audit (including internal control evaluation and reporting), audits of our general partner and certain joint ventures of which we are the operator, and work performed on our registration of publicly-held debt and equity.</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Audit-related fees primarily relate to audits of our benefit plans and carve-out audits of acquired companies.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Tax fees are related to tax processing as well as the preparation of Forms K-1 for our unitholders and includes incremental activity assumed with the issuance of Forms K-1 for former Pacific unitholders.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(4)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All other fees primarily consist of those associated with due diligence performed on our behalf and evaluating potential acquisitions.</w:t>
            </w:r>
          </w:p>
        </w:tc>
      </w:tr>
    </w:tbl>
    <w:p>
      <w:pPr>
        <w:pStyle w:val="TextBody"/>
        <w:spacing w:before="240" w:after="283"/>
        <w:rPr/>
      </w:pPr>
      <w:r>
        <w:rPr/>
        <w:t> </w:t>
      </w:r>
    </w:p>
    <w:p>
      <w:pPr>
        <w:pStyle w:val="TextBody"/>
        <w:spacing w:before="0" w:after="0"/>
        <w:jc w:val="center"/>
        <w:rPr>
          <w:rFonts w:ascii="Arial;Helvetica" w:hAnsi="Arial;Helvetica"/>
          <w:color w:val="000000"/>
          <w:sz w:val="17"/>
          <w:highlight w:val="white"/>
        </w:rPr>
      </w:pPr>
      <w:bookmarkStart w:id="24" w:name="122"/>
      <w:bookmarkEnd w:id="24"/>
      <w:r>
        <w:rPr>
          <w:rFonts w:ascii="Times New Roman;Times" w:hAnsi="Times New Roman;Times"/>
          <w:b/>
          <w:color w:val="000000"/>
          <w:sz w:val="17"/>
          <w:highlight w:val="white"/>
        </w:rPr>
        <w:t>PART IV</w:t>
      </w:r>
      <w:r>
        <w:rPr>
          <w:rFonts w:ascii="Arial;Helvetica" w:hAnsi="Arial;Helvetica"/>
          <w:color w:val="000000"/>
          <w:sz w:val="17"/>
          <w:highlight w:val="white"/>
        </w:rPr>
        <w:t xml:space="preserve"> </w:t>
      </w:r>
    </w:p>
    <w:p>
      <w:pPr>
        <w:pStyle w:val="TextBody"/>
        <w:spacing w:before="240" w:after="283"/>
        <w:rPr/>
      </w:pPr>
      <w:bookmarkStart w:id="25" w:name="123"/>
      <w:bookmarkEnd w:id="25"/>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Item 15.  </w:t>
      </w:r>
      <w:r>
        <w:rPr>
          <w:rFonts w:ascii="Times New Roman;Times" w:hAnsi="Times New Roman;Times"/>
          <w:b/>
          <w:i/>
          <w:color w:val="000000"/>
          <w:sz w:val="17"/>
          <w:highlight w:val="white"/>
        </w:rPr>
        <w:t>Exhibits and Financial Statement Schedules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9391"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b/>
              </w:rPr>
              <w:t>(a) </w:t>
            </w:r>
            <w:r>
              <w:rPr/>
              <w:t xml:space="preserve"> </w:t>
            </w:r>
          </w:p>
        </w:tc>
        <w:tc>
          <w:tcPr>
            <w:tcW w:w="9391" w:type="dxa"/>
            <w:tcBorders/>
            <w:shd w:fill="FFFFFF" w:val="clear"/>
          </w:tcPr>
          <w:p>
            <w:pPr>
              <w:pStyle w:val="TableContents"/>
              <w:spacing w:before="0" w:after="283"/>
              <w:jc w:val="left"/>
              <w:rPr/>
            </w:pPr>
            <w:r>
              <w:rPr>
                <w:b/>
              </w:rPr>
              <w:t>(1) Financial Statements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See Index to the Consolidated Financial Statements set forth on Page F-1.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(2) Financial Statement Schedules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schedules are omitted because they are not applicable, or the required information is shown in the consolidated financial statements or notes thereto.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(3) Exhibits</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32"/>
        <w:gridCol w:w="203"/>
        <w:gridCol w:w="511"/>
        <w:gridCol w:w="124"/>
        <w:gridCol w:w="295"/>
        <w:gridCol w:w="124"/>
        <w:gridCol w:w="8516"/>
      </w:tblGrid>
      <w:tr>
        <w:trPr/>
        <w:tc>
          <w:tcPr>
            <w:tcW w:w="432"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right"/>
              <w:rPr/>
            </w:pPr>
            <w:r>
              <w:rPr/>
              <w:t> </w:t>
            </w:r>
          </w:p>
        </w:tc>
        <w:tc>
          <w:tcPr>
            <w:tcW w:w="511"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516" w:type="dxa"/>
            <w:tcBorders/>
            <w:shd w:fill="FFFFFF" w:val="clear"/>
            <w:vAlign w:val="bottom"/>
          </w:tcPr>
          <w:p>
            <w:pPr>
              <w:pStyle w:val="TableContents"/>
              <w:spacing w:before="0" w:after="283"/>
              <w:rPr/>
            </w:pPr>
            <w:r>
              <w:rPr/>
              <w:t> </w:t>
            </w:r>
          </w:p>
        </w:tc>
      </w:tr>
      <w:tr>
        <w:trPr/>
        <w:tc>
          <w:tcPr>
            <w:tcW w:w="432"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3 </w:t>
            </w:r>
          </w:p>
        </w:tc>
        <w:tc>
          <w:tcPr>
            <w:tcW w:w="511" w:type="dxa"/>
            <w:tcBorders/>
            <w:shd w:fill="FFFFFF" w:val="clear"/>
          </w:tcPr>
          <w:p>
            <w:pPr>
              <w:pStyle w:val="TableContents"/>
              <w:spacing w:before="0" w:after="283"/>
              <w:jc w:val="left"/>
              <w:rPr/>
            </w:pPr>
            <w:r>
              <w:rPr/>
              <w:t xml:space="preserve">.1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516" w:type="dxa"/>
            <w:tcBorders/>
            <w:shd w:fill="FFFFFF" w:val="clear"/>
          </w:tcPr>
          <w:p>
            <w:pPr>
              <w:pStyle w:val="TableContents"/>
              <w:spacing w:before="0" w:after="283"/>
              <w:jc w:val="left"/>
              <w:rPr>
                <w:sz w:val="17"/>
              </w:rPr>
            </w:pPr>
            <w:r>
              <w:rPr>
                <w:sz w:val="17"/>
              </w:rPr>
              <w:t xml:space="preserve">Third Amended and Restated Agreement of Limited Partnership of Plains All American Pipeline, L.P., dated as of June 27, 2001 (incorporated by reference to Exhibit 3.1 to Form 8-K filed August 27, 2001). </w:t>
            </w:r>
          </w:p>
        </w:tc>
      </w:tr>
      <w:tr>
        <w:trPr/>
        <w:tc>
          <w:tcPr>
            <w:tcW w:w="432"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3 </w:t>
            </w:r>
          </w:p>
        </w:tc>
        <w:tc>
          <w:tcPr>
            <w:tcW w:w="511" w:type="dxa"/>
            <w:tcBorders/>
            <w:shd w:fill="FFFFFF" w:val="clear"/>
          </w:tcPr>
          <w:p>
            <w:pPr>
              <w:pStyle w:val="TableContents"/>
              <w:spacing w:before="0" w:after="283"/>
              <w:jc w:val="left"/>
              <w:rPr/>
            </w:pPr>
            <w:r>
              <w:rPr/>
              <w:t xml:space="preserve">.2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516" w:type="dxa"/>
            <w:tcBorders/>
            <w:shd w:fill="FFFFFF" w:val="clear"/>
          </w:tcPr>
          <w:p>
            <w:pPr>
              <w:pStyle w:val="TableContents"/>
              <w:spacing w:before="0" w:after="283"/>
              <w:jc w:val="left"/>
              <w:rPr>
                <w:sz w:val="17"/>
              </w:rPr>
            </w:pPr>
            <w:r>
              <w:rPr>
                <w:sz w:val="17"/>
              </w:rPr>
              <w:t xml:space="preserve">Amendment No. 1 dated April 15, 2004 to the Third Amended and Restated Agreement of Limited Partnership of Plains All American Pipeline, L.P. (incorporated by reference to Exhibit 3.1 to the Quarterly Report on Form 10-Q for the quarter ended March 31, 2004). </w:t>
            </w:r>
          </w:p>
        </w:tc>
      </w:tr>
      <w:tr>
        <w:trPr/>
        <w:tc>
          <w:tcPr>
            <w:tcW w:w="432"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3 </w:t>
            </w:r>
          </w:p>
        </w:tc>
        <w:tc>
          <w:tcPr>
            <w:tcW w:w="511" w:type="dxa"/>
            <w:tcBorders/>
            <w:shd w:fill="FFFFFF" w:val="clear"/>
          </w:tcPr>
          <w:p>
            <w:pPr>
              <w:pStyle w:val="TableContents"/>
              <w:spacing w:before="0" w:after="283"/>
              <w:jc w:val="left"/>
              <w:rPr/>
            </w:pPr>
            <w:r>
              <w:rPr/>
              <w:t xml:space="preserve">.3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516" w:type="dxa"/>
            <w:tcBorders/>
            <w:shd w:fill="FFFFFF" w:val="clear"/>
          </w:tcPr>
          <w:p>
            <w:pPr>
              <w:pStyle w:val="TableContents"/>
              <w:spacing w:before="0" w:after="283"/>
              <w:jc w:val="left"/>
              <w:rPr>
                <w:sz w:val="17"/>
              </w:rPr>
            </w:pPr>
            <w:r>
              <w:rPr>
                <w:sz w:val="17"/>
              </w:rPr>
              <w:t xml:space="preserve">Third Amended and Restated Agreement of Limited Partnership of Plains Marketing, L.P. dated as of April 1, 2004 (incorporated by reference to Exhibit 3.2 to the Quarterly Report on Form 10-Q for the quarter ended March 31, 2004). </w:t>
            </w:r>
          </w:p>
        </w:tc>
      </w:tr>
      <w:tr>
        <w:trPr/>
        <w:tc>
          <w:tcPr>
            <w:tcW w:w="432"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3 </w:t>
            </w:r>
          </w:p>
        </w:tc>
        <w:tc>
          <w:tcPr>
            <w:tcW w:w="511" w:type="dxa"/>
            <w:tcBorders/>
            <w:shd w:fill="FFFFFF" w:val="clear"/>
          </w:tcPr>
          <w:p>
            <w:pPr>
              <w:pStyle w:val="TableContents"/>
              <w:spacing w:before="0" w:after="283"/>
              <w:jc w:val="left"/>
              <w:rPr/>
            </w:pPr>
            <w:r>
              <w:rPr/>
              <w:t xml:space="preserve">.4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516" w:type="dxa"/>
            <w:tcBorders/>
            <w:shd w:fill="FFFFFF" w:val="clear"/>
          </w:tcPr>
          <w:p>
            <w:pPr>
              <w:pStyle w:val="TableContents"/>
              <w:spacing w:before="0" w:after="283"/>
              <w:jc w:val="left"/>
              <w:rPr>
                <w:sz w:val="17"/>
              </w:rPr>
            </w:pPr>
            <w:r>
              <w:rPr>
                <w:sz w:val="17"/>
              </w:rPr>
              <w:t xml:space="preserve">Third Amended and Restated Agreement of Limited Partnership of Plains Pipeline, L.P. dated as of April 1, 2004 (incorporated by reference to Exhibit 3.3 to the Quarterly Report on Form 10-Q for the quarter ended March 31, 2004). </w:t>
            </w:r>
          </w:p>
        </w:tc>
      </w:tr>
      <w:tr>
        <w:trPr/>
        <w:tc>
          <w:tcPr>
            <w:tcW w:w="432"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3 </w:t>
            </w:r>
          </w:p>
        </w:tc>
        <w:tc>
          <w:tcPr>
            <w:tcW w:w="511" w:type="dxa"/>
            <w:tcBorders/>
            <w:shd w:fill="FFFFFF" w:val="clear"/>
          </w:tcPr>
          <w:p>
            <w:pPr>
              <w:pStyle w:val="TableContents"/>
              <w:spacing w:before="0" w:after="283"/>
              <w:jc w:val="left"/>
              <w:rPr/>
            </w:pPr>
            <w:r>
              <w:rPr/>
              <w:t xml:space="preserve">.5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516" w:type="dxa"/>
            <w:tcBorders/>
            <w:shd w:fill="FFFFFF" w:val="clear"/>
          </w:tcPr>
          <w:p>
            <w:pPr>
              <w:pStyle w:val="TableContents"/>
              <w:spacing w:before="0" w:after="283"/>
              <w:jc w:val="left"/>
              <w:rPr>
                <w:sz w:val="17"/>
              </w:rPr>
            </w:pPr>
            <w:r>
              <w:rPr>
                <w:sz w:val="17"/>
              </w:rPr>
              <w:t xml:space="preserve">Certificate of Incorporation of PAA Finance Corp. (incorporated by reference to Exhibit 3.6 to the Registration Statement on Form S-3 filed August 27, 2001).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24"/>
        <w:gridCol w:w="202"/>
        <w:gridCol w:w="673"/>
        <w:gridCol w:w="123"/>
        <w:gridCol w:w="291"/>
        <w:gridCol w:w="123"/>
        <w:gridCol w:w="8369"/>
      </w:tblGrid>
      <w:tr>
        <w:trPr/>
        <w:tc>
          <w:tcPr>
            <w:tcW w:w="424"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67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pPr>
            <w:r>
              <w:rPr/>
              <w:t>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Bylaws of PAA Finance Corp. (incorporated by reference to Exhibit 3.7 to the Registration Statement on Form S-3 filed August 27, 2001).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Amended and Restated Limited Liability Company Agreement of Plains All American GP LLC, dated September 12, 2005 (incorporated by reference to Exhibit 3.1 to the Current Report on Form 8-K filed September 16,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.8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Amended and Restated Limited Partnership Agreement of Plains AAP, L.P., dated September 12, 2005 (incorporated by reference to Exhibit 3.2 to the Current Report on Form 8-K filed September 16,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.9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Amendment No. 2 dated November 15, 2006 to Third Amended and Restated Agreement of Limited Partnership of Plains All American Pipeline, L.P. (incorporated by reference to Exhibit 3.1 to the Current Report on Form 8-K filed November 21,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.10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Certificate of Incorporation of Pacific Energy Finance Corporation.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.11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Bylaws of Pacific Energy Finance Corporation.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the Quarterly Report on Form 10-Q for the quarter ended September 30, 2002).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.2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.3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.4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.5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Class C Common Unit Purchase Agreement by and among Plains All American Pipeline, L.P., Kayne Anderson Energy Fund II, L.P., KAFU Holdings, L.P., Kayne Anderson Capital Income Partners, L.P., Kayne Anderson MLP Fund, L.L.P., Tortoise Energy Infrastructure Corporation and Vulcan Energy II Inc. dated March 31, 2004 (incorporated by reference to Exhibit 4.2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4.1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.8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.9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as of May 12, 2006, to Indenture, dated as of September 25, 2002, among Plains All American Pipeline, L.P., PAA Finance Corp. and subsidiary guarantors signatory thereto and Wachovia Bank, National Association, as trustee (incorporated by reference to Exhibit 4.1 to the Current Report on Form 8-K filed May 12,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24"/>
        <w:gridCol w:w="202"/>
        <w:gridCol w:w="673"/>
        <w:gridCol w:w="123"/>
        <w:gridCol w:w="291"/>
        <w:gridCol w:w="123"/>
        <w:gridCol w:w="8369"/>
      </w:tblGrid>
      <w:tr>
        <w:trPr/>
        <w:tc>
          <w:tcPr>
            <w:tcW w:w="424"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67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pPr>
            <w:r>
              <w:rPr/>
              <w:t>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.10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as trustee (incorporated by reference to Exhibit 4.3 to the Current Report on Form 8-K filed May 12,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as trustee (incorporated by reference to Exhibit 4.1 to the Current Report on Form 8-K filed August 25,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.12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.18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28"/>
        <w:gridCol w:w="202"/>
        <w:gridCol w:w="575"/>
        <w:gridCol w:w="124"/>
        <w:gridCol w:w="293"/>
        <w:gridCol w:w="124"/>
        <w:gridCol w:w="8459"/>
      </w:tblGrid>
      <w:tr>
        <w:trPr/>
        <w:tc>
          <w:tcPr>
            <w:tcW w:w="42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57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29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459" w:type="dxa"/>
            <w:tcBorders/>
            <w:shd w:fill="FFFFFF" w:val="clear"/>
            <w:vAlign w:val="bottom"/>
          </w:tcPr>
          <w:p>
            <w:pPr>
              <w:pStyle w:val="TableContents"/>
              <w:spacing w:before="0" w:after="283"/>
              <w:rPr/>
            </w:pPr>
            <w:r>
              <w:rPr/>
              <w:t>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.19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.20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.21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Registration Rights Agreement dated as of July 26, 2006 among Plains All American Pipeline, L.P., Vulcan Capital Private Equity I LLC, Kayne Anderson MLP Investment Company and Kayne Anderson Energy Total Return Fund, Inc. (incorporated by reference to Exhibit 4.13 to the Quarterly Report on Form 10-Q for the quarter ended September 30,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.22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Registration Rights Agreement dated as of December 19, 2006 among Plains All American Pipeline, L.P., E-Holdings III, L.P., E-Holdings V, L.P., Kayne Anderson MLP Investment Company and Kayne Anderson Energy Development Company (incorporated by reference to Exhibit 4.6 to the Registration Statement on Form S-3/A, File No, 333-138888).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.23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.24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15"/>
        <w:gridCol w:w="324"/>
        <w:gridCol w:w="797"/>
        <w:gridCol w:w="127"/>
        <w:gridCol w:w="314"/>
        <w:gridCol w:w="127"/>
        <w:gridCol w:w="8101"/>
      </w:tblGrid>
      <w:tr>
        <w:trPr/>
        <w:tc>
          <w:tcPr>
            <w:tcW w:w="415" w:type="dxa"/>
            <w:tcBorders/>
            <w:shd w:fill="FFFFFF" w:val="clear"/>
            <w:vAlign w:val="bottom"/>
          </w:tcPr>
          <w:p>
            <w:pPr>
              <w:pStyle w:val="TableContents"/>
              <w:spacing w:before="0" w:after="283"/>
              <w:jc w:val="right"/>
              <w:rPr/>
            </w:pPr>
            <w:r>
              <w:rPr/>
              <w:t> </w:t>
            </w:r>
          </w:p>
        </w:tc>
        <w:tc>
          <w:tcPr>
            <w:tcW w:w="324" w:type="dxa"/>
            <w:tcBorders/>
            <w:shd w:fill="FFFFFF" w:val="clear"/>
            <w:vAlign w:val="bottom"/>
          </w:tcPr>
          <w:p>
            <w:pPr>
              <w:pStyle w:val="TableContents"/>
              <w:spacing w:before="0" w:after="283"/>
              <w:jc w:val="right"/>
              <w:rPr/>
            </w:pPr>
            <w:r>
              <w:rPr/>
              <w:t> </w:t>
            </w:r>
          </w:p>
        </w:tc>
        <w:tc>
          <w:tcPr>
            <w:tcW w:w="79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8101" w:type="dxa"/>
            <w:tcBorders/>
            <w:shd w:fill="FFFFFF" w:val="clear"/>
            <w:vAlign w:val="bottom"/>
          </w:tcPr>
          <w:p>
            <w:pPr>
              <w:pStyle w:val="TableContents"/>
              <w:spacing w:before="0" w:after="283"/>
              <w:rPr/>
            </w:pPr>
            <w:r>
              <w:rPr/>
              <w:t>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 , as Joint Lead Arrangers and Joint Book Managers (incorporated by reference to Exhibit 10.1 to the Current Report on Form 8-K filed August 4, 2006).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Restated Credit Facility (Uncommitted Senior Secured Discretionary Contango Facility) dated November 19, 2004 among Plains Marketing, L.P., Bank of America, N.A., as Administrative Agent, and the Lenders party thereto (incorporated by reference to Exhibit 10.1 to the Current Report on Form 8-K filed November 24,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Crude Oil Marketing Agreement, dated as of July 23, 2004, among Plains Resources Inc., Calumet Florida Inc. and Plains Marketing, L.P. (incorporated by reference to Exhibit 10.2 to the Quarterly Report on Form 10-Q for the quarter ended June 30,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Contribution, Assignment and Amendment Agreement, dated as of June 8, 2001, among Plains All American Inc., Plains AAP, L.P. and Plains All American GP LLC (incorporated by reference to Exhibit 10.1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Separation Agreement, dated as of June 8, 2001 among Plains Resources Inc., Plains All American Inc., Plains All American GP LLC, Plains AAP, L.P. and Plains All American Pipeline, L.P. (incorporated by reference to Exhibit 10.2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Pension and Employee Benefits Assumption and Transition Agreement, dated as of June 8, 2001 among Plains Resources Inc., Plains All American Inc. and Plains All American GP LLC (incorporated by reference to Exhibit 10.3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GP LLC 2005 Long-Term Incentive Plan (incorporated by reference to Exhibit 10.1 to the Current Report on Form 8-K filed January 26, 2005).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2001 Performance Option Plan (incorporated by reference to Exhibit 99.2 to the Registration Statement on Form S-8, File No. 333-74920).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Employment Agreement between Plains All American GP LLC and Greg L. Armstrong dated as of June 30, 2001 (incorporated by reference to Exhibit 10.1 to the Quarterly Report on Form 10-Q for the quarter ended September 30,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Employment Agreement between Plains All American GP LLC and Harry N. Pefanis dated as of June 30, 2001 (incorporated by reference to Exhibit 10.2 to the Quarterly Report on Form 10-Q for the quarter ended September 30,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Asset Purchase and Sale Agreement dated February 28, 2001 between Murphy Oil Company Ltd. and Plains Marketing Canada, L.P. (incorporated by reference to Exhibit 99.1 to the Current Report on Form 8-K filed May 10,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Transportation Agreement dated July 30, 1993, between All American Pipeline Company and Exxon Company, U.S.A. (incorporated by reference to Exhibit 10.9 to the Registration Statement on Form S-1, File No. 333-64107).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19"/>
        <w:gridCol w:w="321"/>
        <w:gridCol w:w="927"/>
        <w:gridCol w:w="127"/>
        <w:gridCol w:w="314"/>
        <w:gridCol w:w="127"/>
        <w:gridCol w:w="7970"/>
      </w:tblGrid>
      <w:tr>
        <w:trPr/>
        <w:tc>
          <w:tcPr>
            <w:tcW w:w="419" w:type="dxa"/>
            <w:tcBorders/>
            <w:shd w:fill="FFFFFF" w:val="clear"/>
            <w:vAlign w:val="bottom"/>
          </w:tcPr>
          <w:p>
            <w:pPr>
              <w:pStyle w:val="TableContents"/>
              <w:spacing w:before="0" w:after="283"/>
              <w:jc w:val="right"/>
              <w:rPr/>
            </w:pPr>
            <w:r>
              <w:rPr/>
              <w:t> </w:t>
            </w:r>
          </w:p>
        </w:tc>
        <w:tc>
          <w:tcPr>
            <w:tcW w:w="321" w:type="dxa"/>
            <w:tcBorders/>
            <w:shd w:fill="FFFFFF" w:val="clear"/>
            <w:vAlign w:val="bottom"/>
          </w:tcPr>
          <w:p>
            <w:pPr>
              <w:pStyle w:val="TableContents"/>
              <w:spacing w:before="0" w:after="283"/>
              <w:jc w:val="right"/>
              <w:rPr/>
            </w:pPr>
            <w:r>
              <w:rPr/>
              <w:t> </w:t>
            </w:r>
          </w:p>
        </w:tc>
        <w:tc>
          <w:tcPr>
            <w:tcW w:w="92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7970" w:type="dxa"/>
            <w:tcBorders/>
            <w:shd w:fill="FFFFFF" w:val="clear"/>
            <w:vAlign w:val="bottom"/>
          </w:tcPr>
          <w:p>
            <w:pPr>
              <w:pStyle w:val="TableContents"/>
              <w:spacing w:before="0" w:after="283"/>
              <w:rPr/>
            </w:pPr>
            <w:r>
              <w:rPr/>
              <w:t>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Transportation Agreement dated August 2, 1993, among All American Pipeline Company, Texaco Trading and Transportation Inc., Chevron U.S.A. and Sun Operating Limited Partnership (incorporated by reference to Exhibit 10.10 to the Registration Statement on Form S-1, File No. 333-64107).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First Amendment to Contribution, Conveyance and Assumption Agreement dated as of December 15, 1998 (incorporated by reference to Exhibit 10.13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Agreement for Purchase and Sale of Membership Interest in Scurlock Permian LLC between Marathon Ashland LLC and Plains Marketing, L.P. dated as of March 17, 1999 (incorporated by reference to Exhibit 10.16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Plains All American Inc. 1998 Management Incentive Plan (incorporated by reference to Exhibit 10.5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PMC (Nova Scotia) Company Bonus Program (incorporated by reference to Exhibit 10.20 to the Annual Report on Form 10-K for the year ended December 31, 2004).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Quarterly Bonus Summary (incorporated by reference to Exhibit 10.21 to the Annual Report on Form 10-K for the year ended December 31,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Directors Compensation Summary.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Master Railcar Leasing Agreement dated as of May 25, 1998 (effective June 1, 1998), between Pivotal Enterprises Corporation and CANPET Energy Group, Inc., (incorporated by reference to Exhibit 10.16 to the Annual Report on Form 10-K for the year ended December 31, 2001).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(Armstrong/Pefanis) (incorporated by reference to Exhibit 10.24 to the Annual Report on Form 10-K for the year ended December 31,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(executive officers) (incorporated by reference to Exhibit 10.3 to the Current Report on Form 8-K filed April 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(independent directors) (incorporated by reference to Exhibit 10.3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(designated directors) (incorporated by reference to Exhibit 10.4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(payment to entity) (incorporated by reference to Exhibit 10.5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Option Grant Letter (incorporated by reference to Exhibit 10.1 to the Current Report on Form 8-K filed April 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Administrative Services Agreement between Plains All American Pipeline Company and Vulcan Energy Corporation, dated October 14, 2005 (incorporated by reference to Exhibit 1.1 to the Current Report on Form 8-K filed October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Amended and Restated Limited Liability Company Agreement of PAA/Vulcan Gas Storage, LLC, dated September 13, 2005 (incorporated by reference to Exhibit 1.1 to the Current Report on Form 8-K filed September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Membership Interest Purchase Agreement by and between Sempra Energy Trading Corp. and PAA/Vulcan Gas Storage, LLC, dated August 19, 2005 (incorporated by reference to Exhibit 1.2 to the Current Report on Form 8-K filed September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Waiver Agreement dated as of August 12, 2005 between Plains All American GP LLC and Greg L. Armstrong (incorporated by reference to Exhibit 10.1 to the Current Report on Form 8-K filed August 16,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Waiver Agreement dated as of August 12, 2005 between Plains All American GP LLC and Harry N. Pefanis (incorporated by reference to Exhibit 10.2 to the Current Report on Form 8-K filed August 16,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Excess Voting Rights Agreement dated as of August 12, 2005 between Vulcan Energy GP Holdings Inc. and Plains All American GP LLC (incorporated by reference to Exhibit 10.3 to the Current Report on Form 8-K filed August 16, 2005).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180"/>
        <w:gridCol w:w="797"/>
        <w:gridCol w:w="801"/>
        <w:gridCol w:w="126"/>
        <w:gridCol w:w="326"/>
        <w:gridCol w:w="126"/>
        <w:gridCol w:w="7849"/>
      </w:tblGrid>
      <w:tr>
        <w:trPr/>
        <w:tc>
          <w:tcPr>
            <w:tcW w:w="180" w:type="dxa"/>
            <w:tcBorders/>
            <w:shd w:fill="FFFFFF" w:val="clear"/>
            <w:vAlign w:val="bottom"/>
          </w:tcPr>
          <w:p>
            <w:pPr>
              <w:pStyle w:val="TableContents"/>
              <w:spacing w:before="0" w:after="283"/>
              <w:jc w:val="right"/>
              <w:rPr/>
            </w:pPr>
            <w:r>
              <w:rPr/>
              <w:t> </w:t>
            </w:r>
          </w:p>
        </w:tc>
        <w:tc>
          <w:tcPr>
            <w:tcW w:w="797" w:type="dxa"/>
            <w:tcBorders/>
            <w:shd w:fill="FFFFFF" w:val="clear"/>
            <w:vAlign w:val="bottom"/>
          </w:tcPr>
          <w:p>
            <w:pPr>
              <w:pStyle w:val="TableContents"/>
              <w:spacing w:before="0" w:after="283"/>
              <w:jc w:val="right"/>
              <w:rPr/>
            </w:pPr>
            <w:r>
              <w:rPr/>
              <w:t> </w:t>
            </w:r>
          </w:p>
        </w:tc>
        <w:tc>
          <w:tcPr>
            <w:tcW w:w="801"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2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7849" w:type="dxa"/>
            <w:tcBorders/>
            <w:shd w:fill="FFFFFF" w:val="clear"/>
            <w:vAlign w:val="bottom"/>
          </w:tcPr>
          <w:p>
            <w:pPr>
              <w:pStyle w:val="TableContents"/>
              <w:spacing w:before="0" w:after="283"/>
              <w:rPr/>
            </w:pPr>
            <w:r>
              <w:rPr/>
              <w:t>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.36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Excess Voting Rights Agreement dated as of August 12, 2005 between Lynx Holdings I, LLC and Plains All American GP LLC (incorporated by reference to Exhibit 10.4 to the Current Report on Form 8-K filed August 16,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.37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First Amendment dated as of April 20, 2005 to Restated Credit Agreement, by and among Plains Marketing, L.P., Bank of America, N.A., as Administrative Agent, and the Lenders party thereto (incorporated by reference to Exhibit 10.1 to the Current Report on Form 8-K filed April 21,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.38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Second Amendment dated as of May 20, 2005 to Restated Credit Agreement, by and among Plains Marketing, L.P., Bank of America, N.A., as Administrative Agent, and the Lenders party thereto (incorporated by reference to Exhibit 10.1 to the Current Report on Form 8-K filed May 12,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.39**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Form of LTIP Grant Letter (executive officers) (incorporated by reference to Exhibit 10.39 to the Annual Report on Form 10-K for the year ended December 31,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.40**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Employment Agreement between Plains All American GP LLC and John vonBerg dated December 18, 2001 (incorporated by reference to Exhibit 10.40 to the Annual Report on Form 10-K for the year ended December 31,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.41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Third Amendment dated as of November 4, 2005 to Restated Credit Agreement, by and among Plains Marketing, L.P., Bank of America, N.A., as Administrative Agent, and the Lenders party thereto (incorporated by reference to Exhibit 10.41 to the Annual Report on Form 10-K for the year ended December 31,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.42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Fourth Amendment dated as of November 16, 2006 to Restated Credit Agreement, by and among Plains Marketing, L.P., Bank of America, N.A., as Administrative Agent, and the Lenders party thereto.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.43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First Amendment dated May 9, 2006 to the Amended and Restated Limited Liability Company Agreement of PAA/Vulcan Gas Storage, LLC dated September 13, 2005 (incorporated by reference to Exhibit 10.1 to the Current Report on Form 8-K filed May 15, 2006).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.44**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Form of LTIP Grant Letter (audit committee members) (incorporated by reference to Exhibit 10.1 to the Current Report on Form 8-K filed August 23, 2006).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.45**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Plains All American PPX Successor Long-Term Incentive Plan.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.46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Interim 364-Day Credit Agreement dated as of July 31, 2006 by and among Plains All American Pipeline, L.P.,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 as Joint Bookrunners and Co-Lead Arrangers (incorporated by reference to Exhibit 10.2 to the Current Report on Form 8-K filed August 4, 2006).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.47**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Forms of LTIP Grant Letters (executive officers) - February 2007 awards (incorporated by reference to Exhibit 10.1 to the Current Report on Form 8-K filed February 28, 2007).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21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List of Subsidiaries of Plains All American Pipeline, L.P.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23 </w:t>
            </w:r>
          </w:p>
        </w:tc>
        <w:tc>
          <w:tcPr>
            <w:tcW w:w="801"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31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Certification of Principal Executive Officer pursuant to Exchange Act Rules 13a-14(a) and 15d-14(a).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31 </w:t>
            </w:r>
          </w:p>
        </w:tc>
        <w:tc>
          <w:tcPr>
            <w:tcW w:w="801"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Certification of Principal Financial Officer pursuant to Exchange Act Rules 13a-14(a) and 15d-14(a).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32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Certification of Principal Executive Officer pursuant to 18 USC 1350.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32 </w:t>
            </w:r>
          </w:p>
        </w:tc>
        <w:tc>
          <w:tcPr>
            <w:tcW w:w="801"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Certification of Principal Financial Officer pursuant to 18 USC 1350.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Filed herewith</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Management compensatory plan or arrangement</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smallCaps/>
          <w:color w:val="000000"/>
          <w:sz w:val="17"/>
          <w:highlight w:val="white"/>
        </w:rPr>
        <w:t>Plains All American Pipeline</w:t>
      </w:r>
      <w:r>
        <w:rPr>
          <w:rFonts w:ascii="Times New Roman;Times" w:hAnsi="Times New Roman;Times"/>
          <w:color w:val="000000"/>
          <w:sz w:val="17"/>
          <w:highlight w:val="white"/>
        </w:rPr>
        <w:t xml:space="preserve">, L.P.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612"/>
        <w:gridCol w:w="4593"/>
      </w:tblGrid>
      <w:tr>
        <w:trPr/>
        <w:tc>
          <w:tcPr>
            <w:tcW w:w="500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4593"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612" w:type="dxa"/>
            <w:tcBorders/>
            <w:shd w:fill="FFFFFF" w:val="clear"/>
          </w:tcPr>
          <w:p>
            <w:pPr>
              <w:pStyle w:val="TableContents"/>
              <w:spacing w:before="0" w:after="283"/>
              <w:rPr/>
            </w:pPr>
            <w:r>
              <w:rPr/>
              <w:t xml:space="preserve">By:   </w:t>
            </w:r>
          </w:p>
        </w:tc>
        <w:tc>
          <w:tcPr>
            <w:tcW w:w="4593" w:type="dxa"/>
            <w:tcBorders/>
            <w:shd w:fill="FFFFFF" w:val="clear"/>
          </w:tcPr>
          <w:p>
            <w:pPr>
              <w:pStyle w:val="TableContents"/>
              <w:spacing w:before="0" w:after="283"/>
              <w:jc w:val="left"/>
              <w:rPr/>
            </w:pPr>
            <w:r>
              <w:rPr>
                <w:smallCaps/>
              </w:rPr>
              <w:t>Plains</w:t>
            </w:r>
            <w:r>
              <w:rPr/>
              <w:t xml:space="preserve"> AAP, L.P., </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its general partner</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611"/>
        <w:gridCol w:w="4594"/>
      </w:tblGrid>
      <w:tr>
        <w:trPr/>
        <w:tc>
          <w:tcPr>
            <w:tcW w:w="500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594"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By:   </w:t>
            </w:r>
          </w:p>
        </w:tc>
        <w:tc>
          <w:tcPr>
            <w:tcW w:w="4594" w:type="dxa"/>
            <w:tcBorders/>
            <w:shd w:fill="FFFFFF" w:val="clear"/>
          </w:tcPr>
          <w:p>
            <w:pPr>
              <w:pStyle w:val="TableContents"/>
              <w:spacing w:before="0" w:after="283"/>
              <w:jc w:val="left"/>
              <w:rPr/>
            </w:pPr>
            <w:r>
              <w:rPr>
                <w:smallCaps/>
              </w:rPr>
              <w:t>Plains All American</w:t>
            </w:r>
            <w:r>
              <w:rPr/>
              <w:t xml:space="preserve"> GP LLC, </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its general partner</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w:t>
            </w:r>
            <w:r>
              <w:rPr>
                <w:smallCaps/>
              </w:rPr>
              <w:t>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Greg L. Armstrong,</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i/>
          <w:color w:val="000000"/>
          <w:sz w:val="17"/>
          <w:highlight w:val="white"/>
        </w:rPr>
        <w:t>Chairman of the Board, Chief Executive Officer and Director of Plains All American GP LLC (Principal Executive Officer)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March 1, 2007 </w:t>
      </w:r>
    </w:p>
    <w:p>
      <w:pPr>
        <w:pStyle w:val="TextBody"/>
        <w:spacing w:before="48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w:t>
            </w:r>
            <w:r>
              <w:rPr>
                <w:smallCaps/>
              </w:rPr>
              <w:t>Phillip D.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Phillip D. Kramer,</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i/>
          <w:color w:val="000000"/>
          <w:sz w:val="17"/>
          <w:highlight w:val="white"/>
        </w:rPr>
        <w:t>Executive Vice President and Chief Financial Officer of Plains All American GP LLC</w:t>
        <w:br/>
        <w:t>(Principal Financial Officer)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March 1,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33"/>
        <w:gridCol w:w="286"/>
        <w:gridCol w:w="2955"/>
        <w:gridCol w:w="266"/>
        <w:gridCol w:w="4215"/>
        <w:gridCol w:w="266"/>
        <w:gridCol w:w="1784"/>
      </w:tblGrid>
      <w:tr>
        <w:trPr/>
        <w:tc>
          <w:tcPr>
            <w:tcW w:w="433"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rPr/>
            </w:pPr>
            <w:r>
              <w:rPr/>
              <w:t> </w:t>
            </w:r>
          </w:p>
        </w:tc>
        <w:tc>
          <w:tcPr>
            <w:tcW w:w="2955"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4215"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1784" w:type="dxa"/>
            <w:tcBorders/>
            <w:shd w:fill="FFFFFF" w:val="clear"/>
            <w:vAlign w:val="bottom"/>
          </w:tcPr>
          <w:p>
            <w:pPr>
              <w:pStyle w:val="TableContents"/>
              <w:spacing w:before="0" w:after="283"/>
              <w:rPr/>
            </w:pPr>
            <w:r>
              <w:rPr/>
              <w:t> </w:t>
            </w:r>
          </w:p>
        </w:tc>
      </w:tr>
      <w:tr>
        <w:trPr/>
        <w:tc>
          <w:tcPr>
            <w:tcW w:w="3674"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Name</w:t>
            </w:r>
            <w:r>
              <w:rPr>
                <w:bdr w:val="single" w:sz="2" w:space="1" w:color="000000"/>
              </w:rPr>
              <w:t xml:space="preserve"> </w:t>
            </w:r>
          </w:p>
        </w:tc>
        <w:tc>
          <w:tcPr>
            <w:tcW w:w="266" w:type="dxa"/>
            <w:tcBorders/>
            <w:shd w:fill="FFFFFF" w:val="clear"/>
            <w:vAlign w:val="bottom"/>
          </w:tcPr>
          <w:p>
            <w:pPr>
              <w:pStyle w:val="TableContents"/>
              <w:spacing w:before="0" w:after="283"/>
              <w:jc w:val="center"/>
              <w:rPr/>
            </w:pPr>
            <w:r>
              <w:rPr/>
              <w:t xml:space="preserve">  </w:t>
            </w:r>
          </w:p>
        </w:tc>
        <w:tc>
          <w:tcPr>
            <w:tcW w:w="4215"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66" w:type="dxa"/>
            <w:tcBorders/>
            <w:shd w:fill="FFFFFF" w:val="clear"/>
            <w:vAlign w:val="bottom"/>
          </w:tcPr>
          <w:p>
            <w:pPr>
              <w:pStyle w:val="TableContents"/>
              <w:spacing w:before="0" w:after="283"/>
              <w:jc w:val="center"/>
              <w:rPr/>
            </w:pPr>
            <w:r>
              <w:rPr/>
              <w:t xml:space="preserve">  </w:t>
            </w:r>
          </w:p>
        </w:tc>
        <w:tc>
          <w:tcPr>
            <w:tcW w:w="1784"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3674" w:type="dxa"/>
            <w:gridSpan w:val="3"/>
            <w:tcBorders/>
            <w:shd w:fill="FFFFFF" w:val="clear"/>
          </w:tcPr>
          <w:p>
            <w:pPr>
              <w:pStyle w:val="TableContents"/>
              <w:spacing w:before="0" w:after="0"/>
              <w:jc w:val="center"/>
              <w:rPr>
                <w:sz w:val="17"/>
              </w:rPr>
            </w:pPr>
            <w:r>
              <w:rPr>
                <w:sz w:val="17"/>
              </w:rPr>
              <w:t>/s/  </w:t>
            </w:r>
            <w:r>
              <w:rPr>
                <w:smallCaps/>
                <w:sz w:val="17"/>
              </w:rPr>
              <w:t>Greg L. Armstrong</w:t>
            </w:r>
          </w:p>
          <w:p>
            <w:pPr>
              <w:pStyle w:val="TableContents"/>
              <w:spacing w:before="0" w:after="0"/>
              <w:rPr/>
            </w:pPr>
            <w:r>
              <w:rPr/>
            </w:r>
          </w:p>
          <w:p>
            <w:pPr>
              <w:pStyle w:val="TableContents"/>
              <w:spacing w:before="0" w:after="0"/>
              <w:rPr>
                <w:sz w:val="17"/>
              </w:rPr>
            </w:pPr>
            <w:r>
              <w:rPr>
                <w:b/>
                <w:sz w:val="17"/>
              </w:rPr>
              <w:t>Greg L. Armstrong</w:t>
            </w:r>
            <w:r>
              <w:rPr>
                <w:sz w:val="17"/>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tcPr>
          <w:p>
            <w:pPr>
              <w:pStyle w:val="TableContents"/>
              <w:spacing w:before="0" w:after="283"/>
              <w:jc w:val="center"/>
              <w:rPr>
                <w:sz w:val="17"/>
              </w:rPr>
            </w:pPr>
            <w:r>
              <w:rPr>
                <w:sz w:val="17"/>
              </w:rPr>
              <w:t>Chairman of the Board, Chief Executive Officer and Director of</w:t>
              <w:br/>
              <w:t>Plains All American GP LLC</w:t>
              <w:br/>
              <w:t xml:space="preserve">(Principal Executive Officer)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tcPr>
          <w:p>
            <w:pPr>
              <w:pStyle w:val="TableContents"/>
              <w:spacing w:before="0" w:after="283"/>
              <w:jc w:val="right"/>
              <w:rPr>
                <w:sz w:val="17"/>
              </w:rPr>
            </w:pPr>
            <w:r>
              <w:rPr>
                <w:sz w:val="17"/>
              </w:rPr>
              <w:t xml:space="preserve">March 1, 2007 </w:t>
            </w:r>
          </w:p>
        </w:tc>
      </w:tr>
      <w:tr>
        <w:trPr/>
        <w:tc>
          <w:tcPr>
            <w:tcW w:w="3674"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vAlign w:val="bottom"/>
          </w:tcPr>
          <w:p>
            <w:pPr>
              <w:pStyle w:val="TableContents"/>
              <w:spacing w:before="0" w:after="283"/>
              <w:rPr/>
            </w:pPr>
            <w:r>
              <w:rPr/>
              <w:t xml:space="preserve">  </w:t>
            </w:r>
          </w:p>
        </w:tc>
      </w:tr>
      <w:tr>
        <w:trPr/>
        <w:tc>
          <w:tcPr>
            <w:tcW w:w="3674" w:type="dxa"/>
            <w:gridSpan w:val="3"/>
            <w:tcBorders/>
            <w:shd w:fill="FFFFFF" w:val="clear"/>
          </w:tcPr>
          <w:p>
            <w:pPr>
              <w:pStyle w:val="TableContents"/>
              <w:spacing w:before="0" w:after="0"/>
              <w:jc w:val="center"/>
              <w:rPr>
                <w:sz w:val="17"/>
              </w:rPr>
            </w:pPr>
            <w:r>
              <w:rPr>
                <w:sz w:val="17"/>
              </w:rPr>
              <w:t>/s/  </w:t>
            </w:r>
            <w:r>
              <w:rPr>
                <w:smallCaps/>
                <w:sz w:val="17"/>
              </w:rPr>
              <w:t>Harry N. Pefanis</w:t>
            </w:r>
          </w:p>
          <w:p>
            <w:pPr>
              <w:pStyle w:val="TableContents"/>
              <w:spacing w:before="0" w:after="0"/>
              <w:rPr/>
            </w:pPr>
            <w:r>
              <w:rPr/>
            </w:r>
          </w:p>
          <w:p>
            <w:pPr>
              <w:pStyle w:val="TableContents"/>
              <w:spacing w:before="0" w:after="0"/>
              <w:rPr>
                <w:sz w:val="17"/>
              </w:rPr>
            </w:pPr>
            <w:r>
              <w:rPr>
                <w:b/>
                <w:sz w:val="17"/>
              </w:rPr>
              <w:t>Harry N. Pefanis</w:t>
            </w:r>
            <w:r>
              <w:rPr>
                <w:sz w:val="17"/>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tcPr>
          <w:p>
            <w:pPr>
              <w:pStyle w:val="TableContents"/>
              <w:spacing w:before="0" w:after="283"/>
              <w:jc w:val="center"/>
              <w:rPr>
                <w:sz w:val="17"/>
              </w:rPr>
            </w:pPr>
            <w:r>
              <w:rPr>
                <w:sz w:val="17"/>
              </w:rPr>
              <w:t xml:space="preserve">President and Chief Operating Officer of Plains All American GP LLC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tcPr>
          <w:p>
            <w:pPr>
              <w:pStyle w:val="TableContents"/>
              <w:spacing w:before="0" w:after="283"/>
              <w:jc w:val="right"/>
              <w:rPr>
                <w:sz w:val="17"/>
              </w:rPr>
            </w:pPr>
            <w:r>
              <w:rPr>
                <w:sz w:val="17"/>
              </w:rPr>
              <w:t xml:space="preserve">March 1, 2007 </w:t>
            </w:r>
          </w:p>
        </w:tc>
      </w:tr>
      <w:tr>
        <w:trPr/>
        <w:tc>
          <w:tcPr>
            <w:tcW w:w="3674"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vAlign w:val="bottom"/>
          </w:tcPr>
          <w:p>
            <w:pPr>
              <w:pStyle w:val="TableContents"/>
              <w:spacing w:before="0" w:after="283"/>
              <w:rPr/>
            </w:pPr>
            <w:r>
              <w:rPr/>
              <w:t xml:space="preserve">  </w:t>
            </w:r>
          </w:p>
        </w:tc>
      </w:tr>
      <w:tr>
        <w:trPr/>
        <w:tc>
          <w:tcPr>
            <w:tcW w:w="3674" w:type="dxa"/>
            <w:gridSpan w:val="3"/>
            <w:tcBorders/>
            <w:shd w:fill="FFFFFF" w:val="clear"/>
          </w:tcPr>
          <w:p>
            <w:pPr>
              <w:pStyle w:val="TableContents"/>
              <w:spacing w:before="0" w:after="0"/>
              <w:jc w:val="center"/>
              <w:rPr>
                <w:sz w:val="17"/>
              </w:rPr>
            </w:pPr>
            <w:r>
              <w:rPr>
                <w:sz w:val="17"/>
              </w:rPr>
              <w:t>/s/  </w:t>
            </w:r>
            <w:r>
              <w:rPr>
                <w:smallCaps/>
                <w:sz w:val="17"/>
              </w:rPr>
              <w:t>Phillip D. Kramer</w:t>
            </w:r>
          </w:p>
          <w:p>
            <w:pPr>
              <w:pStyle w:val="TableContents"/>
              <w:spacing w:before="0" w:after="0"/>
              <w:rPr/>
            </w:pPr>
            <w:r>
              <w:rPr/>
            </w:r>
          </w:p>
          <w:p>
            <w:pPr>
              <w:pStyle w:val="TableContents"/>
              <w:spacing w:before="0" w:after="0"/>
              <w:rPr>
                <w:sz w:val="17"/>
              </w:rPr>
            </w:pPr>
            <w:r>
              <w:rPr>
                <w:b/>
                <w:sz w:val="17"/>
              </w:rPr>
              <w:t>Phillip D. Kramer</w:t>
            </w:r>
            <w:r>
              <w:rPr>
                <w:sz w:val="17"/>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tcPr>
          <w:p>
            <w:pPr>
              <w:pStyle w:val="TableContents"/>
              <w:spacing w:before="0" w:after="283"/>
              <w:jc w:val="center"/>
              <w:rPr>
                <w:sz w:val="17"/>
              </w:rPr>
            </w:pPr>
            <w:r>
              <w:rPr>
                <w:sz w:val="17"/>
              </w:rPr>
              <w:t>Executive Vice President and Chief Financial Officer of</w:t>
              <w:br/>
              <w:t>Plains All American GP LLC</w:t>
              <w:br/>
              <w:t xml:space="preserve">(Principal Financial Officer)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tcPr>
          <w:p>
            <w:pPr>
              <w:pStyle w:val="TableContents"/>
              <w:spacing w:before="0" w:after="283"/>
              <w:jc w:val="right"/>
              <w:rPr>
                <w:sz w:val="17"/>
              </w:rPr>
            </w:pPr>
            <w:r>
              <w:rPr>
                <w:sz w:val="17"/>
              </w:rPr>
              <w:t xml:space="preserve">March 1, 2007 </w:t>
            </w:r>
          </w:p>
        </w:tc>
      </w:tr>
      <w:tr>
        <w:trPr/>
        <w:tc>
          <w:tcPr>
            <w:tcW w:w="3674"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vAlign w:val="bottom"/>
          </w:tcPr>
          <w:p>
            <w:pPr>
              <w:pStyle w:val="TableContents"/>
              <w:spacing w:before="0" w:after="283"/>
              <w:rPr/>
            </w:pPr>
            <w:r>
              <w:rPr/>
              <w:t xml:space="preserve">  </w:t>
            </w:r>
          </w:p>
        </w:tc>
      </w:tr>
      <w:tr>
        <w:trPr/>
        <w:tc>
          <w:tcPr>
            <w:tcW w:w="3674" w:type="dxa"/>
            <w:gridSpan w:val="3"/>
            <w:tcBorders/>
            <w:shd w:fill="FFFFFF" w:val="clear"/>
          </w:tcPr>
          <w:p>
            <w:pPr>
              <w:pStyle w:val="TableContents"/>
              <w:spacing w:before="0" w:after="0"/>
              <w:jc w:val="center"/>
              <w:rPr>
                <w:sz w:val="17"/>
              </w:rPr>
            </w:pPr>
            <w:r>
              <w:rPr>
                <w:sz w:val="17"/>
              </w:rPr>
              <w:t>/s/  </w:t>
            </w:r>
            <w:r>
              <w:rPr>
                <w:smallCaps/>
                <w:sz w:val="17"/>
              </w:rPr>
              <w:t>Tina L. Val</w:t>
            </w:r>
          </w:p>
          <w:p>
            <w:pPr>
              <w:pStyle w:val="TableContents"/>
              <w:spacing w:before="0" w:after="0"/>
              <w:rPr/>
            </w:pPr>
            <w:r>
              <w:rPr/>
            </w:r>
          </w:p>
          <w:p>
            <w:pPr>
              <w:pStyle w:val="TableContents"/>
              <w:spacing w:before="0" w:after="0"/>
              <w:rPr>
                <w:sz w:val="17"/>
              </w:rPr>
            </w:pPr>
            <w:r>
              <w:rPr>
                <w:b/>
                <w:sz w:val="17"/>
              </w:rPr>
              <w:t>Tina L. Val</w:t>
            </w:r>
            <w:r>
              <w:rPr>
                <w:sz w:val="17"/>
              </w:rPr>
              <w:t xml:space="preserve"> </w:t>
            </w:r>
          </w:p>
        </w:tc>
        <w:tc>
          <w:tcPr>
            <w:tcW w:w="266" w:type="dxa"/>
            <w:tcBorders/>
            <w:shd w:fill="FFFFFF" w:val="clear"/>
            <w:vAlign w:val="bottom"/>
          </w:tcPr>
          <w:p>
            <w:pPr>
              <w:pStyle w:val="TableContents"/>
              <w:spacing w:before="0" w:after="283"/>
              <w:rPr/>
            </w:pPr>
            <w:r>
              <w:rPr/>
              <w:t xml:space="preserve">  </w:t>
            </w:r>
          </w:p>
        </w:tc>
        <w:tc>
          <w:tcPr>
            <w:tcW w:w="4215" w:type="dxa"/>
            <w:tcBorders/>
            <w:shd w:fill="FFFFFF" w:val="clear"/>
          </w:tcPr>
          <w:p>
            <w:pPr>
              <w:pStyle w:val="TableContents"/>
              <w:spacing w:before="0" w:after="283"/>
              <w:jc w:val="center"/>
              <w:rPr>
                <w:sz w:val="17"/>
              </w:rPr>
            </w:pPr>
            <w:r>
              <w:rPr>
                <w:sz w:val="17"/>
              </w:rPr>
              <w:t>Vice President  Accounting and Chief Accounting Officer of</w:t>
              <w:br/>
              <w:t>Plains All American GP LLC</w:t>
              <w:br/>
              <w:t xml:space="preserve">(Principal Accounting Officer) </w:t>
            </w:r>
          </w:p>
        </w:tc>
        <w:tc>
          <w:tcPr>
            <w:tcW w:w="266" w:type="dxa"/>
            <w:tcBorders/>
            <w:shd w:fill="FFFFFF" w:val="clear"/>
            <w:vAlign w:val="bottom"/>
          </w:tcPr>
          <w:p>
            <w:pPr>
              <w:pStyle w:val="TableContents"/>
              <w:spacing w:before="0" w:after="283"/>
              <w:rPr/>
            </w:pPr>
            <w:r>
              <w:rPr/>
              <w:t xml:space="preserve">  </w:t>
            </w:r>
          </w:p>
        </w:tc>
        <w:tc>
          <w:tcPr>
            <w:tcW w:w="1784" w:type="dxa"/>
            <w:tcBorders/>
            <w:shd w:fill="FFFFFF" w:val="clear"/>
          </w:tcPr>
          <w:p>
            <w:pPr>
              <w:pStyle w:val="TableContents"/>
              <w:spacing w:before="0" w:after="283"/>
              <w:jc w:val="right"/>
              <w:rPr>
                <w:sz w:val="17"/>
              </w:rPr>
            </w:pPr>
            <w:r>
              <w:rPr>
                <w:sz w:val="17"/>
              </w:rPr>
              <w:t xml:space="preserve">March 1,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528"/>
        <w:gridCol w:w="301"/>
        <w:gridCol w:w="3197"/>
        <w:gridCol w:w="286"/>
        <w:gridCol w:w="3734"/>
        <w:gridCol w:w="286"/>
        <w:gridCol w:w="1873"/>
      </w:tblGrid>
      <w:tr>
        <w:trPr/>
        <w:tc>
          <w:tcPr>
            <w:tcW w:w="528" w:type="dxa"/>
            <w:tcBorders/>
            <w:shd w:fill="FFFFFF" w:val="clear"/>
            <w:vAlign w:val="bottom"/>
          </w:tcPr>
          <w:p>
            <w:pPr>
              <w:pStyle w:val="TableContents"/>
              <w:spacing w:before="0" w:after="283"/>
              <w:rPr/>
            </w:pPr>
            <w:r>
              <w:rPr/>
              <w:t> </w:t>
            </w:r>
          </w:p>
        </w:tc>
        <w:tc>
          <w:tcPr>
            <w:tcW w:w="301" w:type="dxa"/>
            <w:tcBorders/>
            <w:shd w:fill="FFFFFF" w:val="clear"/>
            <w:vAlign w:val="bottom"/>
          </w:tcPr>
          <w:p>
            <w:pPr>
              <w:pStyle w:val="TableContents"/>
              <w:spacing w:before="0" w:after="283"/>
              <w:rPr/>
            </w:pPr>
            <w:r>
              <w:rPr/>
              <w:t> </w:t>
            </w:r>
          </w:p>
        </w:tc>
        <w:tc>
          <w:tcPr>
            <w:tcW w:w="3197"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rPr/>
            </w:pPr>
            <w:r>
              <w:rPr/>
              <w:t> </w:t>
            </w:r>
          </w:p>
        </w:tc>
        <w:tc>
          <w:tcPr>
            <w:tcW w:w="3734"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rPr/>
            </w:pPr>
            <w:r>
              <w:rPr/>
              <w:t> </w:t>
            </w:r>
          </w:p>
        </w:tc>
        <w:tc>
          <w:tcPr>
            <w:tcW w:w="1873" w:type="dxa"/>
            <w:tcBorders/>
            <w:shd w:fill="FFFFFF" w:val="clear"/>
            <w:vAlign w:val="bottom"/>
          </w:tcPr>
          <w:p>
            <w:pPr>
              <w:pStyle w:val="TableContents"/>
              <w:spacing w:before="0" w:after="283"/>
              <w:rPr/>
            </w:pPr>
            <w:r>
              <w:rPr/>
              <w:t> </w:t>
            </w:r>
          </w:p>
        </w:tc>
      </w:tr>
      <w:tr>
        <w:trPr/>
        <w:tc>
          <w:tcPr>
            <w:tcW w:w="4026"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Name</w:t>
            </w:r>
            <w:r>
              <w:rPr>
                <w:bdr w:val="single" w:sz="2" w:space="1" w:color="000000"/>
              </w:rPr>
              <w:t xml:space="preserve"> </w:t>
            </w:r>
          </w:p>
        </w:tc>
        <w:tc>
          <w:tcPr>
            <w:tcW w:w="286" w:type="dxa"/>
            <w:tcBorders/>
            <w:shd w:fill="FFFFFF" w:val="clear"/>
            <w:vAlign w:val="bottom"/>
          </w:tcPr>
          <w:p>
            <w:pPr>
              <w:pStyle w:val="TableContents"/>
              <w:spacing w:before="0" w:after="283"/>
              <w:jc w:val="center"/>
              <w:rPr/>
            </w:pPr>
            <w:r>
              <w:rPr/>
              <w:t xml:space="preserve">  </w:t>
            </w:r>
          </w:p>
        </w:tc>
        <w:tc>
          <w:tcPr>
            <w:tcW w:w="3734"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86" w:type="dxa"/>
            <w:tcBorders/>
            <w:shd w:fill="FFFFFF" w:val="clear"/>
            <w:vAlign w:val="bottom"/>
          </w:tcPr>
          <w:p>
            <w:pPr>
              <w:pStyle w:val="TableContents"/>
              <w:spacing w:before="0" w:after="283"/>
              <w:jc w:val="center"/>
              <w:rPr/>
            </w:pPr>
            <w:r>
              <w:rPr/>
              <w:t xml:space="preserve">  </w:t>
            </w:r>
          </w:p>
        </w:tc>
        <w:tc>
          <w:tcPr>
            <w:tcW w:w="1873"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David N. Capobianco</w:t>
            </w:r>
          </w:p>
          <w:p>
            <w:pPr>
              <w:pStyle w:val="TableContents"/>
              <w:spacing w:before="0" w:after="0"/>
              <w:rPr/>
            </w:pPr>
            <w:r>
              <w:rPr/>
            </w:r>
          </w:p>
          <w:p>
            <w:pPr>
              <w:pStyle w:val="TableContents"/>
              <w:spacing w:before="0" w:after="0"/>
              <w:rPr>
                <w:sz w:val="17"/>
              </w:rPr>
            </w:pPr>
            <w:r>
              <w:rPr>
                <w:b/>
                <w:sz w:val="17"/>
              </w:rPr>
              <w:t>David N. Capobianco</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r>
        <w:trPr/>
        <w:tc>
          <w:tcPr>
            <w:tcW w:w="4026" w:type="dxa"/>
            <w:gridSpan w:val="3"/>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rPr/>
            </w:pPr>
            <w:r>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Everardo Goyanes</w:t>
            </w:r>
          </w:p>
          <w:p>
            <w:pPr>
              <w:pStyle w:val="TableContents"/>
              <w:spacing w:before="0" w:after="0"/>
              <w:rPr/>
            </w:pPr>
            <w:r>
              <w:rPr/>
            </w:r>
          </w:p>
          <w:p>
            <w:pPr>
              <w:pStyle w:val="TableContents"/>
              <w:spacing w:before="0" w:after="0"/>
              <w:rPr>
                <w:sz w:val="17"/>
              </w:rPr>
            </w:pPr>
            <w:r>
              <w:rPr>
                <w:b/>
                <w:sz w:val="17"/>
              </w:rPr>
              <w:t>Everardo Goyanes</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r>
        <w:trPr/>
        <w:tc>
          <w:tcPr>
            <w:tcW w:w="4026" w:type="dxa"/>
            <w:gridSpan w:val="3"/>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rPr/>
            </w:pPr>
            <w:r>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Gary R. Petersen</w:t>
            </w:r>
          </w:p>
          <w:p>
            <w:pPr>
              <w:pStyle w:val="TableContents"/>
              <w:spacing w:before="0" w:after="0"/>
              <w:rPr/>
            </w:pPr>
            <w:r>
              <w:rPr/>
            </w:r>
          </w:p>
          <w:p>
            <w:pPr>
              <w:pStyle w:val="TableContents"/>
              <w:spacing w:before="0" w:after="0"/>
              <w:rPr>
                <w:sz w:val="17"/>
              </w:rPr>
            </w:pPr>
            <w:r>
              <w:rPr>
                <w:b/>
                <w:sz w:val="17"/>
              </w:rPr>
              <w:t>Gary R. Petersen</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r>
        <w:trPr/>
        <w:tc>
          <w:tcPr>
            <w:tcW w:w="4026" w:type="dxa"/>
            <w:gridSpan w:val="3"/>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rPr/>
            </w:pPr>
            <w:r>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Robert V. Sinnott</w:t>
            </w:r>
          </w:p>
          <w:p>
            <w:pPr>
              <w:pStyle w:val="TableContents"/>
              <w:spacing w:before="0" w:after="0"/>
              <w:rPr/>
            </w:pPr>
            <w:r>
              <w:rPr/>
            </w:r>
          </w:p>
          <w:p>
            <w:pPr>
              <w:pStyle w:val="TableContents"/>
              <w:spacing w:before="0" w:after="0"/>
              <w:rPr>
                <w:sz w:val="17"/>
              </w:rPr>
            </w:pPr>
            <w:r>
              <w:rPr>
                <w:b/>
                <w:sz w:val="17"/>
              </w:rPr>
              <w:t>Robert V. Sinnott</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r>
        <w:trPr/>
        <w:tc>
          <w:tcPr>
            <w:tcW w:w="4026" w:type="dxa"/>
            <w:gridSpan w:val="3"/>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rPr/>
            </w:pPr>
            <w:r>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Arthur L. Smith</w:t>
            </w:r>
          </w:p>
          <w:p>
            <w:pPr>
              <w:pStyle w:val="TableContents"/>
              <w:spacing w:before="0" w:after="0"/>
              <w:rPr/>
            </w:pPr>
            <w:r>
              <w:rPr/>
            </w:r>
          </w:p>
          <w:p>
            <w:pPr>
              <w:pStyle w:val="TableContents"/>
              <w:spacing w:before="0" w:after="0"/>
              <w:rPr>
                <w:sz w:val="17"/>
              </w:rPr>
            </w:pPr>
            <w:r>
              <w:rPr>
                <w:b/>
                <w:sz w:val="17"/>
              </w:rPr>
              <w:t>Arthur L. Smith</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r>
        <w:trPr/>
        <w:tc>
          <w:tcPr>
            <w:tcW w:w="4026" w:type="dxa"/>
            <w:gridSpan w:val="3"/>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rPr/>
            </w:pPr>
            <w:r>
              <w:rPr/>
              <w:t xml:space="preserve">  </w:t>
            </w:r>
          </w:p>
        </w:tc>
      </w:tr>
      <w:tr>
        <w:trPr/>
        <w:tc>
          <w:tcPr>
            <w:tcW w:w="4026" w:type="dxa"/>
            <w:gridSpan w:val="3"/>
            <w:tcBorders/>
            <w:shd w:fill="FFFFFF" w:val="clear"/>
          </w:tcPr>
          <w:p>
            <w:pPr>
              <w:pStyle w:val="TableContents"/>
              <w:spacing w:before="0" w:after="0"/>
              <w:jc w:val="center"/>
              <w:rPr>
                <w:sz w:val="17"/>
              </w:rPr>
            </w:pPr>
            <w:r>
              <w:rPr>
                <w:sz w:val="17"/>
              </w:rPr>
              <w:t>/s/  </w:t>
            </w:r>
            <w:r>
              <w:rPr>
                <w:smallCaps/>
                <w:sz w:val="17"/>
              </w:rPr>
              <w:t>J. Taft Symonds</w:t>
            </w:r>
          </w:p>
          <w:p>
            <w:pPr>
              <w:pStyle w:val="TableContents"/>
              <w:spacing w:before="0" w:after="0"/>
              <w:rPr/>
            </w:pPr>
            <w:r>
              <w:rPr/>
            </w:r>
          </w:p>
          <w:p>
            <w:pPr>
              <w:pStyle w:val="TableContents"/>
              <w:spacing w:before="0" w:after="0"/>
              <w:rPr>
                <w:sz w:val="17"/>
              </w:rPr>
            </w:pPr>
            <w:r>
              <w:rPr>
                <w:b/>
                <w:sz w:val="17"/>
              </w:rPr>
              <w:t>J. Taft Symonds</w:t>
            </w:r>
            <w:r>
              <w:rPr>
                <w:sz w:val="17"/>
              </w:rPr>
              <w:t xml:space="preserve"> </w:t>
            </w:r>
          </w:p>
        </w:tc>
        <w:tc>
          <w:tcPr>
            <w:tcW w:w="286" w:type="dxa"/>
            <w:tcBorders/>
            <w:shd w:fill="FFFFFF" w:val="clear"/>
            <w:vAlign w:val="bottom"/>
          </w:tcPr>
          <w:p>
            <w:pPr>
              <w:pStyle w:val="TableContents"/>
              <w:spacing w:before="0" w:after="283"/>
              <w:rPr/>
            </w:pPr>
            <w:r>
              <w:rPr/>
              <w:t xml:space="preserve">  </w:t>
            </w:r>
          </w:p>
        </w:tc>
        <w:tc>
          <w:tcPr>
            <w:tcW w:w="3734" w:type="dxa"/>
            <w:tcBorders/>
            <w:shd w:fill="FFFFFF" w:val="clear"/>
          </w:tcPr>
          <w:p>
            <w:pPr>
              <w:pStyle w:val="TableContents"/>
              <w:spacing w:before="0" w:after="283"/>
              <w:jc w:val="center"/>
              <w:rPr>
                <w:sz w:val="17"/>
              </w:rPr>
            </w:pPr>
            <w:r>
              <w:rPr>
                <w:sz w:val="17"/>
              </w:rPr>
              <w:t>Director of</w:t>
              <w:br/>
              <w:t>Plains All American</w:t>
              <w:br/>
              <w:t xml:space="preserve">GP LLC </w:t>
            </w:r>
          </w:p>
        </w:tc>
        <w:tc>
          <w:tcPr>
            <w:tcW w:w="286" w:type="dxa"/>
            <w:tcBorders/>
            <w:shd w:fill="FFFFFF" w:val="clear"/>
            <w:vAlign w:val="bottom"/>
          </w:tcPr>
          <w:p>
            <w:pPr>
              <w:pStyle w:val="TableContents"/>
              <w:spacing w:before="0" w:after="283"/>
              <w:rPr/>
            </w:pPr>
            <w:r>
              <w:rPr/>
              <w:t xml:space="preserve">  </w:t>
            </w:r>
          </w:p>
        </w:tc>
        <w:tc>
          <w:tcPr>
            <w:tcW w:w="1873" w:type="dxa"/>
            <w:tcBorders/>
            <w:shd w:fill="FFFFFF" w:val="clear"/>
          </w:tcPr>
          <w:p>
            <w:pPr>
              <w:pStyle w:val="TableContents"/>
              <w:spacing w:before="0" w:after="283"/>
              <w:jc w:val="right"/>
              <w:rPr>
                <w:sz w:val="17"/>
              </w:rPr>
            </w:pPr>
            <w:r>
              <w:rPr>
                <w:sz w:val="17"/>
              </w:rPr>
              <w:t xml:space="preserve">March 1,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INDEX TO THE CONSOLIDATED FINANCIAL STATEMENTS</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9410"/>
        <w:gridCol w:w="218"/>
        <w:gridCol w:w="577"/>
      </w:tblGrid>
      <w:tr>
        <w:trPr/>
        <w:tc>
          <w:tcPr>
            <w:tcW w:w="9410"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c>
          <w:tcPr>
            <w:tcW w:w="577" w:type="dxa"/>
            <w:tcBorders/>
            <w:shd w:fill="FFFFFF" w:val="clear"/>
            <w:vAlign w:val="bottom"/>
          </w:tcPr>
          <w:p>
            <w:pPr>
              <w:pStyle w:val="TableContents"/>
              <w:spacing w:before="0" w:after="283"/>
              <w:rPr/>
            </w:pPr>
            <w:r>
              <w:rPr/>
              <w:t> </w:t>
            </w:r>
          </w:p>
        </w:tc>
      </w:tr>
      <w:tr>
        <w:trPr/>
        <w:tc>
          <w:tcPr>
            <w:tcW w:w="9410"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577" w:type="dxa"/>
            <w:tcBorders>
              <w:bottom w:val="single" w:sz="2" w:space="0" w:color="000000"/>
            </w:tcBorders>
            <w:shd w:fill="FFFFFF" w:val="clear"/>
            <w:tcMar>
              <w:bottom w:w="28" w:type="dxa"/>
            </w:tcMar>
            <w:vAlign w:val="bottom"/>
          </w:tcPr>
          <w:p>
            <w:pPr>
              <w:pStyle w:val="TableContents"/>
              <w:spacing w:before="0" w:after="283"/>
              <w:jc w:val="center"/>
              <w:rPr/>
            </w:pPr>
            <w:r>
              <w:rPr>
                <w:b/>
              </w:rPr>
              <w:t>Page</w:t>
            </w:r>
            <w:r>
              <w:rPr/>
              <w:t xml:space="preserve"> </w:t>
            </w:r>
          </w:p>
        </w:tc>
      </w:tr>
      <w:tr>
        <w:trPr/>
        <w:tc>
          <w:tcPr>
            <w:tcW w:w="9410" w:type="dxa"/>
            <w:tcBorders/>
            <w:shd w:fill="FFFFFF" w:val="clear"/>
            <w:vAlign w:val="center"/>
          </w:tcPr>
          <w:p>
            <w:pPr>
              <w:pStyle w:val="TableContents"/>
              <w:spacing w:before="0" w:after="283"/>
              <w:rPr/>
            </w:pPr>
            <w:r>
              <w:rPr/>
              <w:t xml:space="preserve">  </w:t>
            </w:r>
          </w:p>
        </w:tc>
        <w:tc>
          <w:tcPr>
            <w:tcW w:w="795" w:type="dxa"/>
            <w:gridSpan w:val="2"/>
            <w:tcBorders/>
            <w:shd w:fill="FFFFFF" w:val="clear"/>
          </w:tcPr>
          <w:p>
            <w:pPr>
              <w:pStyle w:val="TableContents"/>
              <w:spacing w:before="0" w:after="283"/>
              <w:rPr>
                <w:sz w:val="4"/>
                <w:szCs w:val="4"/>
              </w:rPr>
            </w:pPr>
            <w:r>
              <w:rPr>
                <w:sz w:val="4"/>
                <w:szCs w:val="4"/>
              </w:rPr>
            </w:r>
          </w:p>
        </w:tc>
      </w:tr>
      <w:tr>
        <w:trPr/>
        <w:tc>
          <w:tcPr>
            <w:tcW w:w="9410" w:type="dxa"/>
            <w:tcBorders/>
            <w:shd w:fill="FFFFFF" w:val="clear"/>
          </w:tcPr>
          <w:p>
            <w:pPr>
              <w:pStyle w:val="TableContents"/>
              <w:spacing w:before="0" w:after="0"/>
              <w:ind w:left="200" w:right="0" w:hanging="200"/>
              <w:jc w:val="left"/>
              <w:rPr>
                <w:sz w:val="17"/>
              </w:rPr>
            </w:pPr>
            <w:r>
              <w:rPr>
                <w:sz w:val="17"/>
              </w:rPr>
              <w:t xml:space="preserve">Consolidated Financial Statements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pPr>
            <w:r>
              <w:rPr/>
              <w:t xml:space="preserve">  </w:t>
            </w:r>
          </w:p>
        </w:tc>
      </w:tr>
      <w:tr>
        <w:trPr/>
        <w:tc>
          <w:tcPr>
            <w:tcW w:w="9410" w:type="dxa"/>
            <w:tcBorders/>
            <w:shd w:fill="FFFFFF" w:val="clear"/>
          </w:tcPr>
          <w:p>
            <w:pPr>
              <w:pStyle w:val="TableContents"/>
              <w:spacing w:before="0" w:after="0"/>
              <w:ind w:left="400" w:right="0" w:hanging="200"/>
              <w:jc w:val="left"/>
              <w:rPr/>
            </w:pPr>
            <w:hyperlink w:anchor="300">
              <w:r>
                <w:rPr>
                  <w:rStyle w:val="InternetLink"/>
                  <w:sz w:val="17"/>
                </w:rPr>
                <w:t>Managements Report on Internal Control Over Financial Reporting</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F-2 </w:t>
            </w:r>
          </w:p>
        </w:tc>
      </w:tr>
      <w:tr>
        <w:trPr/>
        <w:tc>
          <w:tcPr>
            <w:tcW w:w="9410" w:type="dxa"/>
            <w:tcBorders/>
            <w:shd w:fill="FFFFFF" w:val="clear"/>
          </w:tcPr>
          <w:p>
            <w:pPr>
              <w:pStyle w:val="TableContents"/>
              <w:spacing w:before="0" w:after="0"/>
              <w:ind w:left="400" w:right="0" w:hanging="200"/>
              <w:jc w:val="left"/>
              <w:rPr/>
            </w:pPr>
            <w:hyperlink w:anchor="301">
              <w:r>
                <w:rPr>
                  <w:rStyle w:val="InternetLink"/>
                  <w:sz w:val="17"/>
                </w:rPr>
                <w:t>Report of Independent Registered Public Accounting Firm</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F-3 </w:t>
            </w:r>
          </w:p>
        </w:tc>
      </w:tr>
      <w:tr>
        <w:trPr/>
        <w:tc>
          <w:tcPr>
            <w:tcW w:w="9410" w:type="dxa"/>
            <w:tcBorders/>
            <w:shd w:fill="FFFFFF" w:val="clear"/>
          </w:tcPr>
          <w:p>
            <w:pPr>
              <w:pStyle w:val="TableContents"/>
              <w:spacing w:before="0" w:after="0"/>
              <w:ind w:left="400" w:right="0" w:hanging="200"/>
              <w:jc w:val="left"/>
              <w:rPr/>
            </w:pPr>
            <w:hyperlink w:anchor="302">
              <w:r>
                <w:rPr>
                  <w:rStyle w:val="InternetLink"/>
                  <w:sz w:val="17"/>
                </w:rPr>
                <w:t>Consolidated Balance Sheets as of December 31, 2006 and 2005</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F-5 </w:t>
            </w:r>
          </w:p>
        </w:tc>
      </w:tr>
      <w:tr>
        <w:trPr/>
        <w:tc>
          <w:tcPr>
            <w:tcW w:w="9410" w:type="dxa"/>
            <w:tcBorders/>
            <w:shd w:fill="FFFFFF" w:val="clear"/>
          </w:tcPr>
          <w:p>
            <w:pPr>
              <w:pStyle w:val="TableContents"/>
              <w:spacing w:before="0" w:after="0"/>
              <w:ind w:left="400" w:right="0" w:hanging="200"/>
              <w:jc w:val="left"/>
              <w:rPr/>
            </w:pPr>
            <w:hyperlink w:anchor="303">
              <w:r>
                <w:rPr>
                  <w:rStyle w:val="InternetLink"/>
                  <w:sz w:val="17"/>
                </w:rPr>
                <w:t>Consolidated Statements of Operations for the years ended December 31, 2006, 2005 and 2004</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F-6 </w:t>
            </w:r>
          </w:p>
        </w:tc>
      </w:tr>
      <w:tr>
        <w:trPr/>
        <w:tc>
          <w:tcPr>
            <w:tcW w:w="9410" w:type="dxa"/>
            <w:tcBorders/>
            <w:shd w:fill="FFFFFF" w:val="clear"/>
          </w:tcPr>
          <w:p>
            <w:pPr>
              <w:pStyle w:val="TableContents"/>
              <w:spacing w:before="0" w:after="0"/>
              <w:ind w:left="400" w:right="0" w:hanging="200"/>
              <w:jc w:val="left"/>
              <w:rPr/>
            </w:pPr>
            <w:hyperlink w:anchor="304">
              <w:r>
                <w:rPr>
                  <w:rStyle w:val="InternetLink"/>
                  <w:sz w:val="17"/>
                </w:rPr>
                <w:t>Consolidated Statements of Cash Flows for the years ended December 31, 2006, 2005 and 2004</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F-7 </w:t>
            </w:r>
          </w:p>
        </w:tc>
      </w:tr>
      <w:tr>
        <w:trPr/>
        <w:tc>
          <w:tcPr>
            <w:tcW w:w="9410" w:type="dxa"/>
            <w:tcBorders/>
            <w:shd w:fill="FFFFFF" w:val="clear"/>
          </w:tcPr>
          <w:p>
            <w:pPr>
              <w:pStyle w:val="TableContents"/>
              <w:spacing w:before="0" w:after="0"/>
              <w:ind w:left="400" w:right="0" w:hanging="200"/>
              <w:jc w:val="left"/>
              <w:rPr/>
            </w:pPr>
            <w:hyperlink w:anchor="305">
              <w:r>
                <w:rPr>
                  <w:rStyle w:val="InternetLink"/>
                  <w:sz w:val="17"/>
                </w:rPr>
                <w:t>Consolidated Statements of Changes in Partners Capital for the years ended December 31, 2006, 2005 and 2004</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F-8 </w:t>
            </w:r>
          </w:p>
        </w:tc>
      </w:tr>
      <w:tr>
        <w:trPr/>
        <w:tc>
          <w:tcPr>
            <w:tcW w:w="9410" w:type="dxa"/>
            <w:tcBorders/>
            <w:shd w:fill="FFFFFF" w:val="clear"/>
          </w:tcPr>
          <w:p>
            <w:pPr>
              <w:pStyle w:val="TableContents"/>
              <w:spacing w:before="0" w:after="0"/>
              <w:ind w:left="400" w:right="0" w:hanging="200"/>
              <w:jc w:val="left"/>
              <w:rPr/>
            </w:pPr>
            <w:hyperlink w:anchor="306">
              <w:r>
                <w:rPr>
                  <w:rStyle w:val="InternetLink"/>
                  <w:sz w:val="17"/>
                </w:rPr>
                <w:t>Consolidated Statements of Comprehensive Income for the years ended December 31, 2006, 2005 and 2004</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F-9 </w:t>
            </w:r>
          </w:p>
        </w:tc>
      </w:tr>
      <w:tr>
        <w:trPr/>
        <w:tc>
          <w:tcPr>
            <w:tcW w:w="9410" w:type="dxa"/>
            <w:tcBorders/>
            <w:shd w:fill="FFFFFF" w:val="clear"/>
          </w:tcPr>
          <w:p>
            <w:pPr>
              <w:pStyle w:val="TableContents"/>
              <w:spacing w:before="0" w:after="0"/>
              <w:ind w:left="400" w:right="0" w:hanging="200"/>
              <w:jc w:val="left"/>
              <w:rPr/>
            </w:pPr>
            <w:hyperlink w:anchor="307">
              <w:r>
                <w:rPr>
                  <w:rStyle w:val="InternetLink"/>
                  <w:sz w:val="17"/>
                </w:rPr>
                <w:t>Consolidated Statements of Changes in Accumulated Other Comprehensive Income for the years ended December 31, 2006, 2005 and 2004</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F-10 </w:t>
            </w:r>
          </w:p>
        </w:tc>
      </w:tr>
      <w:tr>
        <w:trPr/>
        <w:tc>
          <w:tcPr>
            <w:tcW w:w="9410" w:type="dxa"/>
            <w:tcBorders/>
            <w:shd w:fill="FFFFFF" w:val="clear"/>
          </w:tcPr>
          <w:p>
            <w:pPr>
              <w:pStyle w:val="TableContents"/>
              <w:spacing w:before="0" w:after="0"/>
              <w:ind w:left="400" w:right="0" w:hanging="200"/>
              <w:jc w:val="left"/>
              <w:rPr/>
            </w:pPr>
            <w:hyperlink w:anchor="308">
              <w:r>
                <w:rPr>
                  <w:rStyle w:val="InternetLink"/>
                  <w:sz w:val="17"/>
                </w:rPr>
                <w:t>Notes to the Consolidated Financial Statements</w:t>
              </w:r>
            </w:hyperlink>
            <w:r>
              <w:rPr/>
              <w:t xml:space="preserve"> </w:t>
            </w:r>
          </w:p>
        </w:tc>
        <w:tc>
          <w:tcPr>
            <w:tcW w:w="218" w:type="dxa"/>
            <w:tcBorders/>
            <w:shd w:fill="FFFFFF" w:val="clear"/>
            <w:vAlign w:val="bottom"/>
          </w:tcPr>
          <w:p>
            <w:pPr>
              <w:pStyle w:val="TableContents"/>
              <w:spacing w:before="0" w:after="283"/>
              <w:rPr/>
            </w:pPr>
            <w:r>
              <w:rPr/>
              <w:t xml:space="preserve">  </w:t>
            </w:r>
          </w:p>
        </w:tc>
        <w:tc>
          <w:tcPr>
            <w:tcW w:w="577" w:type="dxa"/>
            <w:tcBorders/>
            <w:shd w:fill="FFFFFF" w:val="clear"/>
            <w:vAlign w:val="bottom"/>
          </w:tcPr>
          <w:p>
            <w:pPr>
              <w:pStyle w:val="TableContents"/>
              <w:spacing w:before="0" w:after="283"/>
              <w:jc w:val="right"/>
              <w:rPr>
                <w:sz w:val="17"/>
              </w:rPr>
            </w:pPr>
            <w:r>
              <w:rPr>
                <w:sz w:val="17"/>
              </w:rPr>
              <w:t xml:space="preserve">F-11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6" w:name="300"/>
      <w:bookmarkEnd w:id="2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MANAGEMENTS REPORT ON INTERNAL CONTROL OVER FINANCIAL REPORTING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Management has used the framework set forth in the report entitled Internal Control  Integrated Framework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2006. This evaluation did not include the internal control over financial reporting related to the purchase business combination of the operations acquired in conjunction with the Pacific merger on November 15, 2006 (the Pacific Acquisition). The revenues for the year ended December 31, 2006 and the total assets as of December 31, 2006 recorded for the Pacific Acquisition operations as a percentage of the Partnerships revenues and total assets represent approximately 1% and 29%, respectively. Managements assessment of the effectiveness of the Partnerships internal control over financial reporting as of December 31, 2006 has been audited by PricewaterhouseCoopers LLP, an independent registered public accounting firm, as stated in their report which appears herein.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/s/  Greg L. Armstrong</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Greg L. Armstrong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Chairman of the Board, Chief Executive Officer and Director of Plains All American GP LLC</w:t>
        <w:br/>
        <w:t>(Principal Executive Officer)</w:t>
      </w:r>
      <w:r>
        <w:rPr>
          <w:rFonts w:ascii="Times New Roman;Times" w:hAnsi="Times New Roman;Times"/>
          <w:color w:val="000000"/>
          <w:sz w:val="17"/>
          <w:highlight w:val="white"/>
        </w:rPr>
        <w:t xml:space="preserve">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/s/  Phillip D. Kramer</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Phillip D. Kramer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Executive Vice President and Chief Financial Officer of Plains All American GP LLC</w:t>
        <w:br/>
        <w:t>(Principal Financial Officer)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March 1, 2007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7" w:name="301"/>
      <w:bookmarkEnd w:id="27"/>
      <w:r>
        <w:rPr/>
        <w:t> </w:t>
      </w:r>
    </w:p>
    <w:p>
      <w:pPr>
        <w:pStyle w:val="TextBody"/>
        <w:spacing w:before="0" w:after="0"/>
        <w:jc w:val="center"/>
        <w:rPr>
          <w:rFonts w:ascii="Arial;Helvetica" w:hAnsi="Arial;Helvetica"/>
          <w:color w:val="000000"/>
          <w:sz w:val="17"/>
          <w:highlight w:val="white"/>
        </w:rPr>
      </w:pPr>
      <w:r>
        <w:rPr>
          <w:rFonts w:ascii="Arial;Helvetica" w:hAnsi="Arial;Helvetica"/>
          <w:color w:val="000000"/>
          <w:sz w:val="17"/>
          <w:highlight w:val="white"/>
        </w:rPr>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Report of Independent Registered Public Accounting Firm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To the Board of Directors of the General Partner and Unitholders of</w:t>
        <w:br/>
        <w:t xml:space="preserve">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completed integrated audits of Plains All American Pipeline, L.P.s consolidated financial statements and of its internal control over financial reporting as of December 31, 2006, in accordance with the standards of the Public Accounting Oversight Board (United States). Our opinions, based on our audits, are presented below.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Consolidated financial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2006 and 2005, and the results of their operations and their cash flows for each of the three years in the period ended December 31, 2006 in conformity with accounting principles generally accepted in the United States of America. These financial statements are the responsibility of the Partnerships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discussed in Notes 1 and 2 to the consolidated financial statements, the Partnership changed the manner in which it accounts for pipeline linefill in 2004 and the manner in which it accounts for equity-based compensation and purchases and sales with the same counterparty in 2006.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Internal control over financial reporting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in our opinion, managements assessment, included in the accompanying Managements Report on Internal Control Over Financial Reporting, that the Partnership maintained effective internal control over financial reporting as of December 31, 2006 based on criteria established in </w:t>
      </w:r>
      <w:r>
        <w:rPr>
          <w:rFonts w:ascii="Times New Roman;Times" w:hAnsi="Times New Roman;Times"/>
          <w:i/>
          <w:color w:val="000000"/>
          <w:sz w:val="17"/>
          <w:highlight w:val="white"/>
        </w:rPr>
        <w:t xml:space="preserve">Internal Control  Integrated Framework </w:t>
      </w:r>
      <w:r>
        <w:rPr>
          <w:rFonts w:ascii="Times New Roman;Times" w:hAnsi="Times New Roman;Times"/>
          <w:color w:val="000000"/>
          <w:sz w:val="17"/>
          <w:highlight w:val="white"/>
        </w:rPr>
        <w:t xml:space="preserve">issued by the Committee of Sponsoring Organizations of the Treadway Commission (COSO), is fairly stated, in all material respects, based on those criteria. Furthermore, in our opinion, the Partnership maintained, in all material respects, effective internal control over financial reporting as of December 31, 2006, based on criteria established in </w:t>
      </w:r>
      <w:r>
        <w:rPr>
          <w:rFonts w:ascii="Times New Roman;Times" w:hAnsi="Times New Roman;Times"/>
          <w:i/>
          <w:color w:val="000000"/>
          <w:sz w:val="17"/>
          <w:highlight w:val="white"/>
        </w:rPr>
        <w:t xml:space="preserve">Internal Control  Integrated Framework </w:t>
      </w:r>
      <w:r>
        <w:rPr>
          <w:rFonts w:ascii="Times New Roman;Times" w:hAnsi="Times New Roman;Times"/>
          <w:color w:val="000000"/>
          <w:sz w:val="17"/>
          <w:highlight w:val="white"/>
        </w:rPr>
        <w:t xml:space="preserve">issued by the COSO. The Partnerships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Partnerships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described in Managements Report on Internal Control Over Financial Reporting, management has excluded the businesses acquired in the acquisition of Pacific Energy Partners, L.P. (the Pacific Acquisition) from its assessment of internal control over financial reporting as of December 31, 2006 because these businesses were acquired by the Partnership in a purchase business combination during 2006. We have also excluded the Pacific Acquisition from our audit of internal control over financial reporting. Pacific Acquisition are wholly-owned businesses whose total assets and total revenues represent 29% and 1%, respectively, of the related consolidated financial statement amounts as of and for the year ended December 31, 2006.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PricewaterhouseCoopers LLP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March 1, 2007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bookmarkStart w:id="28" w:name="302"/>
      <w:bookmarkEnd w:id="2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CONSOLIDATED BALANCE SHEETS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6142"/>
        <w:gridCol w:w="166"/>
        <w:gridCol w:w="283"/>
        <w:gridCol w:w="1370"/>
        <w:gridCol w:w="181"/>
        <w:gridCol w:w="225"/>
        <w:gridCol w:w="283"/>
        <w:gridCol w:w="1370"/>
        <w:gridCol w:w="185"/>
      </w:tblGrid>
      <w:tr>
        <w:trPr/>
        <w:tc>
          <w:tcPr>
            <w:tcW w:w="6142"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283" w:type="dxa"/>
            <w:tcBorders/>
            <w:shd w:fill="FFFFFF" w:val="clear"/>
            <w:vAlign w:val="bottom"/>
          </w:tcPr>
          <w:p>
            <w:pPr>
              <w:pStyle w:val="TableContents"/>
              <w:spacing w:before="0" w:after="283"/>
              <w:jc w:val="right"/>
              <w:rPr/>
            </w:pPr>
            <w:r>
              <w:rPr/>
              <w:t> </w:t>
            </w:r>
          </w:p>
        </w:tc>
        <w:tc>
          <w:tcPr>
            <w:tcW w:w="137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225" w:type="dxa"/>
            <w:tcBorders/>
            <w:shd w:fill="FFFFFF" w:val="clear"/>
            <w:vAlign w:val="bottom"/>
          </w:tcPr>
          <w:p>
            <w:pPr>
              <w:pStyle w:val="TableContents"/>
              <w:spacing w:before="0" w:after="283"/>
              <w:rPr/>
            </w:pPr>
            <w:r>
              <w:rPr/>
              <w:t> </w:t>
            </w:r>
          </w:p>
        </w:tc>
        <w:tc>
          <w:tcPr>
            <w:tcW w:w="283" w:type="dxa"/>
            <w:tcBorders/>
            <w:shd w:fill="FFFFFF" w:val="clear"/>
            <w:vAlign w:val="bottom"/>
          </w:tcPr>
          <w:p>
            <w:pPr>
              <w:pStyle w:val="TableContents"/>
              <w:spacing w:before="0" w:after="283"/>
              <w:jc w:val="right"/>
              <w:rPr/>
            </w:pPr>
            <w:r>
              <w:rPr/>
              <w:t> </w:t>
            </w:r>
          </w:p>
        </w:tc>
        <w:tc>
          <w:tcPr>
            <w:tcW w:w="1370"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1653" w:type="dxa"/>
            <w:gridSpan w:val="2"/>
            <w:tcBorders/>
            <w:shd w:fill="FFFFFF" w:val="clear"/>
            <w:vAlign w:val="bottom"/>
          </w:tcPr>
          <w:p>
            <w:pPr>
              <w:pStyle w:val="TableContents"/>
              <w:spacing w:before="0" w:after="283"/>
              <w:jc w:val="center"/>
              <w:rPr>
                <w:b/>
              </w:rPr>
            </w:pPr>
            <w:r>
              <w:rPr>
                <w:b/>
              </w:rPr>
              <w:t>December 31,</w:t>
            </w:r>
          </w:p>
        </w:tc>
        <w:tc>
          <w:tcPr>
            <w:tcW w:w="181" w:type="dxa"/>
            <w:tcBorders/>
            <w:shd w:fill="FFFFFF" w:val="clear"/>
            <w:vAlign w:val="bottom"/>
          </w:tcPr>
          <w:p>
            <w:pPr>
              <w:pStyle w:val="TableContents"/>
              <w:spacing w:before="0" w:after="283"/>
              <w:jc w:val="center"/>
              <w:rPr/>
            </w:pPr>
            <w:r>
              <w:rPr/>
              <w:t xml:space="preserve">  </w:t>
            </w:r>
          </w:p>
        </w:tc>
        <w:tc>
          <w:tcPr>
            <w:tcW w:w="225" w:type="dxa"/>
            <w:tcBorders/>
            <w:shd w:fill="FFFFFF" w:val="clear"/>
            <w:vAlign w:val="bottom"/>
          </w:tcPr>
          <w:p>
            <w:pPr>
              <w:pStyle w:val="TableContents"/>
              <w:spacing w:before="0" w:after="283"/>
              <w:jc w:val="center"/>
              <w:rPr/>
            </w:pPr>
            <w:r>
              <w:rPr/>
              <w:t xml:space="preserve">  </w:t>
            </w:r>
          </w:p>
        </w:tc>
        <w:tc>
          <w:tcPr>
            <w:tcW w:w="1653" w:type="dxa"/>
            <w:gridSpan w:val="2"/>
            <w:tcBorders/>
            <w:shd w:fill="FFFFFF" w:val="clear"/>
            <w:vAlign w:val="bottom"/>
          </w:tcPr>
          <w:p>
            <w:pPr>
              <w:pStyle w:val="TableContents"/>
              <w:spacing w:before="0" w:after="283"/>
              <w:jc w:val="center"/>
              <w:rPr>
                <w:b/>
              </w:rPr>
            </w:pPr>
            <w:r>
              <w:rPr>
                <w:b/>
              </w:rPr>
              <w:t>December 31,</w:t>
            </w:r>
          </w:p>
        </w:tc>
        <w:tc>
          <w:tcPr>
            <w:tcW w:w="185" w:type="dxa"/>
            <w:tcBorders/>
            <w:shd w:fill="FFFFFF" w:val="clear"/>
            <w:vAlign w:val="bottom"/>
          </w:tcPr>
          <w:p>
            <w:pPr>
              <w:pStyle w:val="TableContents"/>
              <w:spacing w:before="0" w:after="283"/>
              <w:jc w:val="center"/>
              <w:rPr/>
            </w:pPr>
            <w:r>
              <w:rPr/>
              <w:t xml:space="preserve">  </w:t>
            </w:r>
          </w:p>
        </w:tc>
      </w:tr>
      <w:tr>
        <w:trPr/>
        <w:tc>
          <w:tcPr>
            <w:tcW w:w="6142"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1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225" w:type="dxa"/>
            <w:tcBorders/>
            <w:shd w:fill="FFFFFF" w:val="clear"/>
            <w:vAlign w:val="bottom"/>
          </w:tcPr>
          <w:p>
            <w:pPr>
              <w:pStyle w:val="TableContents"/>
              <w:spacing w:before="0" w:after="283"/>
              <w:jc w:val="center"/>
              <w:rPr/>
            </w:pPr>
            <w:r>
              <w:rPr/>
              <w:t xml:space="preserve">  </w:t>
            </w:r>
          </w:p>
        </w:tc>
        <w:tc>
          <w:tcPr>
            <w:tcW w:w="1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6142" w:type="dxa"/>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c>
          <w:tcPr>
            <w:tcW w:w="3712" w:type="dxa"/>
            <w:gridSpan w:val="6"/>
            <w:tcBorders/>
            <w:shd w:fill="FFFFFF" w:val="clear"/>
            <w:vAlign w:val="bottom"/>
          </w:tcPr>
          <w:p>
            <w:pPr>
              <w:pStyle w:val="TableContents"/>
              <w:spacing w:before="0" w:after="283"/>
              <w:jc w:val="center"/>
              <w:rPr/>
            </w:pPr>
            <w:r>
              <w:rPr>
                <w:b/>
              </w:rPr>
              <w:t>(In millions, except units)</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6142" w:type="dxa"/>
            <w:tcBorders/>
            <w:shd w:fill="FFFFFF" w:val="clear"/>
            <w:vAlign w:val="center"/>
          </w:tcPr>
          <w:p>
            <w:pPr>
              <w:pStyle w:val="TableContents"/>
              <w:spacing w:before="0" w:after="283"/>
              <w:rPr/>
            </w:pPr>
            <w:r>
              <w:rPr/>
              <w:t xml:space="preserve">  </w:t>
            </w:r>
          </w:p>
        </w:tc>
        <w:tc>
          <w:tcPr>
            <w:tcW w:w="4063" w:type="dxa"/>
            <w:gridSpan w:val="8"/>
            <w:tcBorders/>
            <w:shd w:fill="FFFFFF" w:val="clear"/>
          </w:tcPr>
          <w:p>
            <w:pPr>
              <w:pStyle w:val="TableContents"/>
              <w:spacing w:before="0" w:after="283"/>
              <w:rPr>
                <w:sz w:val="4"/>
                <w:szCs w:val="4"/>
              </w:rPr>
            </w:pPr>
            <w:r>
              <w:rPr>
                <w:sz w:val="4"/>
                <w:szCs w:val="4"/>
              </w:rPr>
            </w:r>
          </w:p>
        </w:tc>
      </w:tr>
      <w:tr>
        <w:trPr/>
        <w:tc>
          <w:tcPr>
            <w:tcW w:w="10205" w:type="dxa"/>
            <w:gridSpan w:val="9"/>
            <w:tcBorders/>
            <w:shd w:fill="CCEEFF" w:val="clear"/>
            <w:vAlign w:val="bottom"/>
          </w:tcPr>
          <w:p>
            <w:pPr>
              <w:pStyle w:val="TableContents"/>
              <w:spacing w:before="0" w:after="0"/>
              <w:ind w:left="200" w:right="0" w:hanging="200"/>
              <w:jc w:val="center"/>
              <w:rPr/>
            </w:pPr>
            <w:r>
              <w:rPr>
                <w:b/>
                <w:sz w:val="17"/>
              </w:rPr>
              <w:t>ASSETS</w:t>
            </w:r>
            <w:r>
              <w:rPr/>
              <w:t xml:space="preserve"> </w:t>
            </w:r>
          </w:p>
        </w:tc>
      </w:tr>
      <w:tr>
        <w:trPr/>
        <w:tc>
          <w:tcPr>
            <w:tcW w:w="6142" w:type="dxa"/>
            <w:tcBorders/>
            <w:shd w:fill="FFFFFF" w:val="clear"/>
            <w:vAlign w:val="bottom"/>
          </w:tcPr>
          <w:p>
            <w:pPr>
              <w:pStyle w:val="TableContents"/>
              <w:spacing w:before="0" w:after="0"/>
              <w:ind w:left="200" w:right="0" w:hanging="200"/>
              <w:jc w:val="left"/>
              <w:rPr/>
            </w:pPr>
            <w:r>
              <w:rPr>
                <w:b/>
                <w:sz w:val="17"/>
              </w:rPr>
              <w:t>CURRENT ASSETS</w:t>
            </w: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Cash and cash equivalents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11.3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9.6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Trade accounts receivable and other receivables, net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1,725.4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781.0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Inventory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1,290.0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910.3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Other current assets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130.9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104.3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400" w:right="0" w:hanging="200"/>
              <w:jc w:val="left"/>
              <w:rPr>
                <w:sz w:val="17"/>
              </w:rPr>
            </w:pPr>
            <w:r>
              <w:rPr>
                <w:sz w:val="17"/>
              </w:rPr>
              <w:t xml:space="preserve">Total current assets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3,157.6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1,805.2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FFFFFF" w:val="clear"/>
            <w:vAlign w:val="bottom"/>
          </w:tcPr>
          <w:p>
            <w:pPr>
              <w:pStyle w:val="TableContents"/>
              <w:spacing w:before="0" w:after="0"/>
              <w:ind w:left="200" w:right="0" w:hanging="200"/>
              <w:jc w:val="left"/>
              <w:rPr/>
            </w:pPr>
            <w:r>
              <w:rPr>
                <w:b/>
                <w:sz w:val="17"/>
              </w:rPr>
              <w:t>PROPERTY AND EQUIPMENT</w:t>
            </w: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4,190.1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2,116.1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Accumulated depreciation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(348.1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(258.9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FFFFFF" w:val="clear"/>
            <w:vAlign w:val="bottom"/>
          </w:tcPr>
          <w:p>
            <w:pPr>
              <w:pStyle w:val="TableContents"/>
              <w:spacing w:before="0" w:after="283"/>
              <w:jc w:val="left"/>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3,842.0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1,857.2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200" w:right="0" w:hanging="200"/>
              <w:jc w:val="left"/>
              <w:rPr/>
            </w:pPr>
            <w:r>
              <w:rPr>
                <w:b/>
                <w:sz w:val="17"/>
              </w:rPr>
              <w:t>OTHER ASSETS</w:t>
            </w:r>
            <w:r>
              <w:rPr/>
              <w:t xml:space="preserve">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Pipeline linefill in owned assets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265.5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180.2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Inventory in third-party assets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75.7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71.5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Investment in unconsolidated entities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183.0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121.7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Goodwill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1,026.2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47.4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Other, net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164.9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37.1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400" w:right="0" w:hanging="200"/>
              <w:jc w:val="left"/>
              <w:rPr>
                <w:sz w:val="17"/>
              </w:rPr>
            </w:pPr>
            <w:r>
              <w:rPr>
                <w:sz w:val="17"/>
              </w:rPr>
              <w:t xml:space="preserve">Total assets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8,714.9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4,120.3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0"/>
              <w:ind w:left="200" w:right="0" w:hanging="200"/>
              <w:jc w:val="center"/>
              <w:rPr/>
            </w:pPr>
            <w:r>
              <w:rPr>
                <w:b/>
                <w:sz w:val="17"/>
              </w:rPr>
              <w:t>LIABILITIES AND PARTNERS CAPITAL</w:t>
            </w:r>
            <w:r>
              <w:rPr/>
              <w:t xml:space="preserve"> </w:t>
            </w:r>
          </w:p>
        </w:tc>
      </w:tr>
      <w:tr>
        <w:trPr/>
        <w:tc>
          <w:tcPr>
            <w:tcW w:w="6142" w:type="dxa"/>
            <w:tcBorders/>
            <w:shd w:fill="CCEEFF" w:val="clear"/>
            <w:vAlign w:val="bottom"/>
          </w:tcPr>
          <w:p>
            <w:pPr>
              <w:pStyle w:val="TableContents"/>
              <w:spacing w:before="0" w:after="0"/>
              <w:ind w:left="200" w:right="0" w:hanging="200"/>
              <w:jc w:val="left"/>
              <w:rPr/>
            </w:pPr>
            <w:r>
              <w:rPr>
                <w:b/>
                <w:sz w:val="17"/>
              </w:rPr>
              <w:t>CURRENT LIABILITIES</w:t>
            </w:r>
            <w:r>
              <w:rPr/>
              <w:t xml:space="preserve">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Accounts payable and accrued liabilities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1,846.6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1,300.4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Short-term debt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1,001.2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378.4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Other current liabilities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176.9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114.5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400" w:right="0" w:hanging="200"/>
              <w:jc w:val="left"/>
              <w:rPr>
                <w:sz w:val="17"/>
              </w:rPr>
            </w:pPr>
            <w:r>
              <w:rPr>
                <w:sz w:val="17"/>
              </w:rPr>
              <w:t xml:space="preserve">Total current liabilities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3,024.7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1,793.3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FFFFFF" w:val="clear"/>
            <w:vAlign w:val="bottom"/>
          </w:tcPr>
          <w:p>
            <w:pPr>
              <w:pStyle w:val="TableContents"/>
              <w:spacing w:before="0" w:after="0"/>
              <w:ind w:left="200" w:right="0" w:hanging="200"/>
              <w:jc w:val="left"/>
              <w:rPr/>
            </w:pPr>
            <w:r>
              <w:rPr>
                <w:b/>
                <w:sz w:val="17"/>
              </w:rPr>
              <w:t>LONG-TERM LIABILITIES</w:t>
            </w: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Long-term debt under credit facilities and other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3.1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4.7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Senior notes, net of unamortized net discount of $1.8 and $3.0, respectively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2,623.2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947.0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Other long-term liabilities and deferred credits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87.1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44.6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FFFFFF" w:val="clear"/>
            <w:vAlign w:val="bottom"/>
          </w:tcPr>
          <w:p>
            <w:pPr>
              <w:pStyle w:val="TableContents"/>
              <w:spacing w:before="0" w:after="0"/>
              <w:ind w:left="400" w:right="0" w:hanging="200"/>
              <w:jc w:val="left"/>
              <w:rPr>
                <w:sz w:val="17"/>
              </w:rPr>
            </w:pPr>
            <w:r>
              <w:rPr>
                <w:sz w:val="17"/>
              </w:rPr>
              <w:t xml:space="preserve">Total liabilities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5,738.1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2,789.6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200" w:right="0" w:hanging="200"/>
              <w:jc w:val="left"/>
              <w:rPr/>
            </w:pPr>
            <w:r>
              <w:rPr>
                <w:b/>
                <w:sz w:val="17"/>
              </w:rPr>
              <w:t>COMMITMENTS AND CONTINGENCIES (NOTE 11)</w:t>
            </w:r>
            <w:r>
              <w:rPr/>
              <w:t xml:space="preserve">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pPr>
            <w:r>
              <w:rPr>
                <w:b/>
                <w:sz w:val="17"/>
              </w:rPr>
              <w:t>PARTNERS CAPITAL</w:t>
            </w: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CCEEFF" w:val="clear"/>
            <w:vAlign w:val="bottom"/>
          </w:tcPr>
          <w:p>
            <w:pPr>
              <w:pStyle w:val="TableContents"/>
              <w:spacing w:before="0" w:after="0"/>
              <w:ind w:left="200" w:right="0" w:hanging="200"/>
              <w:jc w:val="left"/>
              <w:rPr>
                <w:sz w:val="17"/>
              </w:rPr>
            </w:pPr>
            <w:r>
              <w:rPr>
                <w:sz w:val="17"/>
              </w:rPr>
              <w:t xml:space="preserve">Common unitholders (109,405,178 and 73,768,576 units outstanding at December 31, 2006 and 2005, respectively)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2,906.1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1,294.1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0"/>
              <w:ind w:left="200" w:right="0" w:hanging="200"/>
              <w:jc w:val="left"/>
              <w:rPr>
                <w:sz w:val="17"/>
              </w:rPr>
            </w:pPr>
            <w:r>
              <w:rPr>
                <w:sz w:val="17"/>
              </w:rPr>
              <w:t xml:space="preserve">General partner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70.7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36.6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CCEEFF" w:val="clear"/>
            <w:vAlign w:val="bottom"/>
          </w:tcPr>
          <w:p>
            <w:pPr>
              <w:pStyle w:val="TableContents"/>
              <w:spacing w:before="0" w:after="0"/>
              <w:ind w:left="400" w:right="0" w:hanging="200"/>
              <w:jc w:val="left"/>
              <w:rPr>
                <w:sz w:val="17"/>
              </w:rPr>
            </w:pPr>
            <w:r>
              <w:rPr>
                <w:sz w:val="17"/>
              </w:rPr>
              <w:t xml:space="preserve">Total partners capital </w:t>
            </w:r>
          </w:p>
        </w:tc>
        <w:tc>
          <w:tcPr>
            <w:tcW w:w="166"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2,976.8 </w:t>
            </w:r>
          </w:p>
        </w:tc>
        <w:tc>
          <w:tcPr>
            <w:tcW w:w="181" w:type="dxa"/>
            <w:tcBorders/>
            <w:shd w:fill="CCEEFF" w:val="clear"/>
            <w:vAlign w:val="bottom"/>
          </w:tcPr>
          <w:p>
            <w:pPr>
              <w:pStyle w:val="TableContents"/>
              <w:spacing w:before="0" w:after="283"/>
              <w:jc w:val="left"/>
              <w:rPr/>
            </w:pPr>
            <w:r>
              <w:rPr/>
              <w:t xml:space="preserve">  </w:t>
            </w:r>
          </w:p>
        </w:tc>
        <w:tc>
          <w:tcPr>
            <w:tcW w:w="225" w:type="dxa"/>
            <w:tcBorders/>
            <w:shd w:fill="CCEEFF" w:val="clear"/>
            <w:vAlign w:val="bottom"/>
          </w:tcPr>
          <w:p>
            <w:pPr>
              <w:pStyle w:val="TableContents"/>
              <w:spacing w:before="0" w:after="283"/>
              <w:rPr/>
            </w:pPr>
            <w:r>
              <w:rPr/>
              <w:t xml:space="preserve">  </w:t>
            </w:r>
          </w:p>
        </w:tc>
        <w:tc>
          <w:tcPr>
            <w:tcW w:w="283" w:type="dxa"/>
            <w:tcBorders/>
            <w:shd w:fill="CCEEFF" w:val="clear"/>
            <w:vAlign w:val="bottom"/>
          </w:tcPr>
          <w:p>
            <w:pPr>
              <w:pStyle w:val="TableContents"/>
              <w:spacing w:before="0" w:after="283"/>
              <w:jc w:val="left"/>
              <w:rPr/>
            </w:pPr>
            <w:r>
              <w:rPr/>
              <w:t xml:space="preserve">  </w:t>
            </w:r>
          </w:p>
        </w:tc>
        <w:tc>
          <w:tcPr>
            <w:tcW w:w="1370" w:type="dxa"/>
            <w:tcBorders/>
            <w:shd w:fill="CCEEFF" w:val="clear"/>
            <w:vAlign w:val="bottom"/>
          </w:tcPr>
          <w:p>
            <w:pPr>
              <w:pStyle w:val="TableContents"/>
              <w:spacing w:before="0" w:after="283"/>
              <w:jc w:val="right"/>
              <w:rPr/>
            </w:pPr>
            <w:r>
              <w:rPr/>
              <w:t xml:space="preserve">1,330.7 </w:t>
            </w:r>
          </w:p>
        </w:tc>
        <w:tc>
          <w:tcPr>
            <w:tcW w:w="185" w:type="dxa"/>
            <w:tcBorders/>
            <w:shd w:fill="CCEE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6142" w:type="dxa"/>
            <w:tcBorders/>
            <w:shd w:fill="FFFFFF" w:val="clear"/>
            <w:vAlign w:val="bottom"/>
          </w:tcPr>
          <w:p>
            <w:pPr>
              <w:pStyle w:val="TableContents"/>
              <w:spacing w:before="0" w:after="283"/>
              <w:jc w:val="left"/>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8,714.9 </w:t>
            </w:r>
          </w:p>
        </w:tc>
        <w:tc>
          <w:tcPr>
            <w:tcW w:w="181" w:type="dxa"/>
            <w:tcBorders/>
            <w:shd w:fill="FFFFFF" w:val="clear"/>
            <w:vAlign w:val="bottom"/>
          </w:tcPr>
          <w:p>
            <w:pPr>
              <w:pStyle w:val="TableContents"/>
              <w:spacing w:before="0" w:after="283"/>
              <w:jc w:val="left"/>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shd w:fill="FFFFFF" w:val="clear"/>
            <w:vAlign w:val="bottom"/>
          </w:tcPr>
          <w:p>
            <w:pPr>
              <w:pStyle w:val="TableContents"/>
              <w:spacing w:before="0" w:after="283"/>
              <w:jc w:val="left"/>
              <w:rPr/>
            </w:pPr>
            <w:r>
              <w:rPr/>
              <w:t xml:space="preserve">$ </w:t>
            </w:r>
          </w:p>
        </w:tc>
        <w:tc>
          <w:tcPr>
            <w:tcW w:w="1370" w:type="dxa"/>
            <w:tcBorders/>
            <w:shd w:fill="FFFFFF" w:val="clear"/>
            <w:vAlign w:val="bottom"/>
          </w:tcPr>
          <w:p>
            <w:pPr>
              <w:pStyle w:val="TableContents"/>
              <w:spacing w:before="0" w:after="283"/>
              <w:jc w:val="right"/>
              <w:rPr/>
            </w:pPr>
            <w:r>
              <w:rPr/>
              <w:t xml:space="preserve">4,120.3 </w:t>
            </w:r>
          </w:p>
        </w:tc>
        <w:tc>
          <w:tcPr>
            <w:tcW w:w="185" w:type="dxa"/>
            <w:tcBorders/>
            <w:shd w:fill="FFFFFF" w:val="clear"/>
            <w:vAlign w:val="bottom"/>
          </w:tcPr>
          <w:p>
            <w:pPr>
              <w:pStyle w:val="TableContents"/>
              <w:spacing w:before="0" w:after="283"/>
              <w:jc w:val="left"/>
              <w:rPr/>
            </w:pPr>
            <w:r>
              <w:rPr/>
              <w:t xml:space="preserve">  </w:t>
            </w:r>
          </w:p>
        </w:tc>
      </w:tr>
      <w:tr>
        <w:trPr/>
        <w:tc>
          <w:tcPr>
            <w:tcW w:w="6142" w:type="dxa"/>
            <w:tcBorders/>
            <w:shd w:fill="FFFFFF" w:val="cle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rPr/>
            </w:pPr>
            <w:r>
              <w:rPr/>
              <w:t xml:space="preserve">  </w:t>
            </w:r>
          </w:p>
        </w:tc>
        <w:tc>
          <w:tcPr>
            <w:tcW w:w="2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29" w:name="303"/>
      <w:bookmarkEnd w:id="29"/>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PLAINS ALL AMERICAN PIPELINE, L.P. AND SUBSIDIARIES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CONSOLIDATED STATEMENTS OF OPERATIONS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5504"/>
        <w:gridCol w:w="155"/>
        <w:gridCol w:w="201"/>
        <w:gridCol w:w="1004"/>
        <w:gridCol w:w="168"/>
        <w:gridCol w:w="211"/>
        <w:gridCol w:w="201"/>
        <w:gridCol w:w="1004"/>
        <w:gridCol w:w="168"/>
        <w:gridCol w:w="211"/>
        <w:gridCol w:w="201"/>
        <w:gridCol w:w="1003"/>
        <w:gridCol w:w="174"/>
      </w:tblGrid>
      <w:tr>
        <w:trPr/>
        <w:tc>
          <w:tcPr>
            <w:tcW w:w="550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1004"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1004"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1003"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r>
      <w:tr>
        <w:trPr/>
        <w:tc>
          <w:tcPr>
            <w:tcW w:w="550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4372"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Twelve Months Ended December 31,</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550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211" w:type="dxa"/>
            <w:tcBorders/>
            <w:shd w:fill="FFFFFF" w:val="clear"/>
            <w:vAlign w:val="bottom"/>
          </w:tcPr>
          <w:p>
            <w:pPr>
              <w:pStyle w:val="TableContents"/>
              <w:spacing w:before="0" w:after="283"/>
              <w:jc w:val="center"/>
              <w:rPr/>
            </w:pPr>
            <w:r>
              <w:rPr/>
              <w:t xml:space="preserve">  </w:t>
            </w:r>
          </w:p>
        </w:tc>
        <w:tc>
          <w:tcPr>
            <w:tcW w:w="12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211" w:type="dxa"/>
            <w:tcBorders/>
            <w:shd w:fill="FFFFFF" w:val="clear"/>
            <w:vAlign w:val="bottom"/>
          </w:tcPr>
          <w:p>
            <w:pPr>
              <w:pStyle w:val="TableContents"/>
              <w:spacing w:before="0" w:after="283"/>
              <w:jc w:val="center"/>
              <w:rPr/>
            </w:pPr>
            <w:r>
              <w:rPr/>
              <w:t xml:space="preserve">  </w:t>
            </w:r>
          </w:p>
        </w:tc>
        <w:tc>
          <w:tcPr>
            <w:tcW w:w="120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5504" w:type="dxa"/>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4372" w:type="dxa"/>
            <w:gridSpan w:val="10"/>
            <w:tcBorders/>
            <w:shd w:fill="FFFFFF" w:val="clear"/>
            <w:vAlign w:val="bottom"/>
          </w:tcPr>
          <w:p>
            <w:pPr>
              <w:pStyle w:val="TableContents"/>
              <w:spacing w:before="0" w:after="283"/>
              <w:jc w:val="center"/>
              <w:rPr/>
            </w:pPr>
            <w:r>
              <w:rPr>
                <w:b/>
              </w:rPr>
              <w:t>(In millions, except per unit data)</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5504" w:type="dxa"/>
            <w:tcBorders/>
            <w:shd w:fill="FFFFFF" w:val="clear"/>
            <w:vAlign w:val="center"/>
          </w:tcPr>
          <w:p>
            <w:pPr>
              <w:pStyle w:val="TableContents"/>
              <w:spacing w:before="0" w:after="283"/>
              <w:rPr/>
            </w:pPr>
            <w:r>
              <w:rPr/>
              <w:t xml:space="preserve">  </w:t>
            </w:r>
          </w:p>
        </w:tc>
        <w:tc>
          <w:tcPr>
            <w:tcW w:w="4701" w:type="dxa"/>
            <w:gridSpan w:val="12"/>
            <w:tcBorders/>
            <w:shd w:fill="FFFFFF" w:val="clear"/>
          </w:tcPr>
          <w:p>
            <w:pPr>
              <w:pStyle w:val="TableContents"/>
              <w:spacing w:before="0" w:after="283"/>
              <w:rPr>
                <w:sz w:val="4"/>
                <w:szCs w:val="4"/>
              </w:rPr>
            </w:pPr>
            <w:r>
              <w:rPr>
                <w:sz w:val="4"/>
                <w:szCs w:val="4"/>
              </w:rPr>
            </w:r>
          </w:p>
        </w:tc>
      </w:tr>
      <w:tr>
        <w:trPr/>
        <w:tc>
          <w:tcPr>
            <w:tcW w:w="5504" w:type="dxa"/>
            <w:tcBorders/>
            <w:shd w:fill="CCEEFF" w:val="clear"/>
            <w:vAlign w:val="bottom"/>
          </w:tcPr>
          <w:p>
            <w:pPr>
              <w:pStyle w:val="TableContents"/>
              <w:spacing w:before="0" w:after="0"/>
              <w:ind w:left="200" w:right="0" w:hanging="200"/>
              <w:jc w:val="left"/>
              <w:rPr/>
            </w:pPr>
            <w:r>
              <w:rPr>
                <w:b/>
                <w:sz w:val="17"/>
              </w:rPr>
              <w:t>REVENUES</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Crude oil and LPG sales (includes buy/sell transactions of $4,717.7, $16,077.8, and $11,247.0, respectively)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21,406.9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30,139.7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20,184.3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Pipeline margin activities revenues (includes buy/sell transactions of $44.2, $197.1, and $149.8, respectively)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694.3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772.7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575.2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Pipeline tariff activities revenues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263.3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218.1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177.6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Other revenues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79.9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46.0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37.9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400" w:right="0" w:hanging="200"/>
              <w:jc w:val="left"/>
              <w:rPr>
                <w:sz w:val="17"/>
              </w:rPr>
            </w:pPr>
            <w:r>
              <w:rPr>
                <w:sz w:val="17"/>
              </w:rPr>
              <w:t xml:space="preserve">Total revenues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22,444.4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31,176.5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20,975.0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COSTS AND EXPENSES</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Crude oil and LPG purchases and related costs (includes buy/sell transactions of $4,749.4, $15,910.3, and $11,137.7, respectively)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20,819.7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29,691.9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19,870.9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Pipeline margin activities purchases (includes buy/sell transactions of $45.7, $196.2, and $142.5, respectively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665.9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750.6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553.7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Field operating costs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369.8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272.5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219.5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General and administrative expenses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133.9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103.2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82.7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100.4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83.5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68.7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400" w:right="0" w:hanging="200"/>
              <w:jc w:val="left"/>
              <w:rPr>
                <w:sz w:val="17"/>
              </w:rPr>
            </w:pPr>
            <w:r>
              <w:rPr>
                <w:sz w:val="17"/>
              </w:rPr>
              <w:t xml:space="preserve">Total costs and expenses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22,089.7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30,901.7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20,795.5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pPr>
            <w:r>
              <w:rPr>
                <w:b/>
                <w:sz w:val="17"/>
              </w:rPr>
              <w:t>OPERATING INCOME</w:t>
            </w: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354.7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274.8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179.5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OTHER INCOME/(EXPENSE)</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7.7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0.5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Interest expense (net of capitalized interest of $6.0, $1.8, and $0.5)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(85.6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(59.4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(46.7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Interest income and other income (expense), net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2.3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0.6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(0.2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(0.3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278.8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217.8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133.1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6.3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(3.1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pPr>
            <w:r>
              <w:rPr>
                <w:b/>
                <w:sz w:val="17"/>
              </w:rPr>
              <w:t>NET INCOME</w:t>
            </w: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285.1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217.8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130.0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NET INCOME-LIMITED PARTNERS</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246.9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198.8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119.3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pPr>
            <w:r>
              <w:rPr>
                <w:b/>
                <w:sz w:val="17"/>
              </w:rPr>
              <w:t>NET INCOME-GENERAL PARTNER</w:t>
            </w: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38.2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19.0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10.7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BASIC NET INCOME PER LIMITED PARTNER UNIT</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2.84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1.94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0.07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(0.05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2.91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2.77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1.89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DILUTED NET INCOME PER LIMITED PARTNER UNIT</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2.81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2.72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1.94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0.07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(0.05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2.88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2.72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1.89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CCEEFF" w:val="clear"/>
            <w:vAlign w:val="bottom"/>
          </w:tcPr>
          <w:p>
            <w:pPr>
              <w:pStyle w:val="TableContents"/>
              <w:spacing w:before="0" w:after="0"/>
              <w:ind w:left="200" w:right="0" w:hanging="200"/>
              <w:jc w:val="left"/>
              <w:rPr/>
            </w:pPr>
            <w:r>
              <w:rPr>
                <w:b/>
                <w:sz w:val="17"/>
              </w:rPr>
              <w:t>BASIC WEIGHTED AVERAGE UNITS OUTSTANDING</w:t>
            </w:r>
            <w:r>
              <w:rPr/>
              <w:t xml:space="preserve"> </w:t>
            </w:r>
          </w:p>
        </w:tc>
        <w:tc>
          <w:tcPr>
            <w:tcW w:w="155"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81.1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4" w:type="dxa"/>
            <w:tcBorders/>
            <w:shd w:fill="CCEEFF" w:val="clear"/>
            <w:vAlign w:val="bottom"/>
          </w:tcPr>
          <w:p>
            <w:pPr>
              <w:pStyle w:val="TableContents"/>
              <w:spacing w:before="0" w:after="283"/>
              <w:jc w:val="right"/>
              <w:rPr/>
            </w:pPr>
            <w:r>
              <w:rPr/>
              <w:t xml:space="preserve">69.3 </w:t>
            </w:r>
          </w:p>
        </w:tc>
        <w:tc>
          <w:tcPr>
            <w:tcW w:w="168"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1003" w:type="dxa"/>
            <w:tcBorders/>
            <w:shd w:fill="CCEEFF" w:val="clear"/>
            <w:vAlign w:val="bottom"/>
          </w:tcPr>
          <w:p>
            <w:pPr>
              <w:pStyle w:val="TableContents"/>
              <w:spacing w:before="0" w:after="283"/>
              <w:jc w:val="right"/>
              <w:rPr/>
            </w:pPr>
            <w:r>
              <w:rPr/>
              <w:t xml:space="preserve">63.3 </w:t>
            </w:r>
          </w:p>
        </w:tc>
        <w:tc>
          <w:tcPr>
            <w:tcW w:w="174" w:type="dxa"/>
            <w:tcBorders/>
            <w:shd w:fill="CCEE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r>
        <w:trPr/>
        <w:tc>
          <w:tcPr>
            <w:tcW w:w="5504" w:type="dxa"/>
            <w:tcBorders/>
            <w:shd w:fill="FFFFFF" w:val="clear"/>
            <w:vAlign w:val="bottom"/>
          </w:tcPr>
          <w:p>
            <w:pPr>
              <w:pStyle w:val="TableContents"/>
              <w:spacing w:before="0" w:after="0"/>
              <w:ind w:left="200" w:right="0" w:hanging="200"/>
              <w:jc w:val="left"/>
              <w:rPr/>
            </w:pPr>
            <w:r>
              <w:rPr>
                <w:b/>
                <w:sz w:val="17"/>
              </w:rPr>
              <w:t>DILUTED WEIGHTED AVERAGE UNITS OUTSTANDING</w:t>
            </w: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81.9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4" w:type="dxa"/>
            <w:tcBorders/>
            <w:shd w:fill="FFFFFF" w:val="clear"/>
            <w:vAlign w:val="bottom"/>
          </w:tcPr>
          <w:p>
            <w:pPr>
              <w:pStyle w:val="TableContents"/>
              <w:spacing w:before="0" w:after="283"/>
              <w:jc w:val="right"/>
              <w:rPr/>
            </w:pPr>
            <w:r>
              <w:rPr/>
              <w:t xml:space="preserve">70.5 </w:t>
            </w:r>
          </w:p>
        </w:tc>
        <w:tc>
          <w:tcPr>
            <w:tcW w:w="168"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1003" w:type="dxa"/>
            <w:tcBorders/>
            <w:shd w:fill="FFFFFF" w:val="clear"/>
            <w:vAlign w:val="bottom"/>
          </w:tcPr>
          <w:p>
            <w:pPr>
              <w:pStyle w:val="TableContents"/>
              <w:spacing w:before="0" w:after="283"/>
              <w:jc w:val="right"/>
              <w:rPr/>
            </w:pPr>
            <w:r>
              <w:rPr/>
              <w:t xml:space="preserve">63.3 </w:t>
            </w:r>
          </w:p>
        </w:tc>
        <w:tc>
          <w:tcPr>
            <w:tcW w:w="174" w:type="dxa"/>
            <w:tcBorders/>
            <w:shd w:fill="FFFFFF" w:val="clear"/>
            <w:vAlign w:val="bottom"/>
          </w:tcPr>
          <w:p>
            <w:pPr>
              <w:pStyle w:val="TableContents"/>
              <w:spacing w:before="0" w:after="283"/>
              <w:jc w:val="left"/>
              <w:rPr/>
            </w:pPr>
            <w:r>
              <w:rPr/>
              <w:t xml:space="preserve">  </w:t>
            </w:r>
          </w:p>
        </w:tc>
      </w:tr>
      <w:tr>
        <w:trPr/>
        <w:tc>
          <w:tcPr>
            <w:tcW w:w="550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bookmarkStart w:id="30" w:name="304"/>
      <w:bookmarkEnd w:id="3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CONSOLIDATED STATEMENTS OF CASH FLOWS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6031"/>
        <w:gridCol w:w="113"/>
        <w:gridCol w:w="211"/>
        <w:gridCol w:w="969"/>
        <w:gridCol w:w="179"/>
        <w:gridCol w:w="258"/>
        <w:gridCol w:w="211"/>
        <w:gridCol w:w="699"/>
        <w:gridCol w:w="179"/>
        <w:gridCol w:w="258"/>
        <w:gridCol w:w="211"/>
        <w:gridCol w:w="698"/>
        <w:gridCol w:w="188"/>
      </w:tblGrid>
      <w:tr>
        <w:trPr/>
        <w:tc>
          <w:tcPr>
            <w:tcW w:w="6031"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96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258"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69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258"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698"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r>
      <w:tr>
        <w:trPr/>
        <w:tc>
          <w:tcPr>
            <w:tcW w:w="6031"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3873"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6031"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11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91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9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6031" w:type="dxa"/>
            <w:tcBorders/>
            <w:shd w:fill="FFFFFF" w:val="clear"/>
            <w:vAlign w:val="bottom"/>
          </w:tcPr>
          <w:p>
            <w:pPr>
              <w:pStyle w:val="TableContents"/>
              <w:spacing w:before="0" w:after="283"/>
              <w:jc w:val="center"/>
              <w:rPr/>
            </w:pPr>
            <w:r>
              <w:rPr/>
              <w:t xml:space="preserve">  </w:t>
            </w:r>
          </w:p>
        </w:tc>
        <w:tc>
          <w:tcPr>
            <w:tcW w:w="113" w:type="dxa"/>
            <w:tcBorders/>
            <w:shd w:fill="FFFFFF" w:val="clear"/>
            <w:vAlign w:val="bottom"/>
          </w:tcPr>
          <w:p>
            <w:pPr>
              <w:pStyle w:val="TableContents"/>
              <w:spacing w:before="0" w:after="283"/>
              <w:jc w:val="center"/>
              <w:rPr/>
            </w:pPr>
            <w:r>
              <w:rPr/>
              <w:t xml:space="preserve">  </w:t>
            </w:r>
          </w:p>
        </w:tc>
        <w:tc>
          <w:tcPr>
            <w:tcW w:w="3873" w:type="dxa"/>
            <w:gridSpan w:val="10"/>
            <w:tcBorders/>
            <w:shd w:fill="FFFFFF" w:val="clear"/>
            <w:vAlign w:val="bottom"/>
          </w:tcPr>
          <w:p>
            <w:pPr>
              <w:pStyle w:val="TableContents"/>
              <w:spacing w:before="0" w:after="283"/>
              <w:jc w:val="center"/>
              <w:rPr/>
            </w:pPr>
            <w:r>
              <w:rPr>
                <w:b/>
              </w:rPr>
              <w:t>(In millions)</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6031" w:type="dxa"/>
            <w:tcBorders/>
            <w:shd w:fill="FFFFFF" w:val="clear"/>
            <w:vAlign w:val="center"/>
          </w:tcPr>
          <w:p>
            <w:pPr>
              <w:pStyle w:val="TableContents"/>
              <w:spacing w:before="0" w:after="283"/>
              <w:rPr/>
            </w:pPr>
            <w:r>
              <w:rPr/>
              <w:t xml:space="preserve">  </w:t>
            </w:r>
          </w:p>
        </w:tc>
        <w:tc>
          <w:tcPr>
            <w:tcW w:w="4174" w:type="dxa"/>
            <w:gridSpan w:val="12"/>
            <w:tcBorders/>
            <w:shd w:fill="FFFFFF" w:val="clear"/>
          </w:tcPr>
          <w:p>
            <w:pPr>
              <w:pStyle w:val="TableContents"/>
              <w:spacing w:before="0" w:after="283"/>
              <w:rPr>
                <w:sz w:val="4"/>
                <w:szCs w:val="4"/>
              </w:rPr>
            </w:pPr>
            <w:r>
              <w:rPr>
                <w:sz w:val="4"/>
                <w:szCs w:val="4"/>
              </w:rPr>
            </w:r>
          </w:p>
        </w:tc>
      </w:tr>
      <w:tr>
        <w:trPr/>
        <w:tc>
          <w:tcPr>
            <w:tcW w:w="6031" w:type="dxa"/>
            <w:tcBorders/>
            <w:shd w:fill="CCEEFF" w:val="clear"/>
            <w:vAlign w:val="bottom"/>
          </w:tcPr>
          <w:p>
            <w:pPr>
              <w:pStyle w:val="TableContents"/>
              <w:spacing w:before="0" w:after="0"/>
              <w:ind w:left="180" w:right="0" w:hanging="180"/>
              <w:jc w:val="left"/>
              <w:rPr/>
            </w:pPr>
            <w:r>
              <w:rPr>
                <w:b/>
                <w:sz w:val="15"/>
              </w:rPr>
              <w:t>CASH FLOWS FROM OPERATING ACTIVITIES</w:t>
            </w:r>
            <w:r>
              <w:rPr/>
              <w:t xml:space="preserve">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Net income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285.1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217.8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130.0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Adjustments to reconcile to cash flows from operating activities: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Depreciation and amortization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100.4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83.5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68.7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Cumulative effect of change in accounting principle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(6.3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3.1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Inventory valuation adjustment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5.9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2.0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SFAS 133 mark-to-market adjustment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4.4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18.9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(1.0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Long-Term Incentive Plan charge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42.7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26.1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7.9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Noncash amortization of terminated interest rate hedging instruments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1.5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1.6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1.5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(Gain)/loss on foreign currency revaluation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4.1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(5.0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Net cash paid for terminated interest rate hedging instruments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(2.4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(0.9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(1.5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Equity earnings in unconsolidated entities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(7.7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(1.8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(0.5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Changes in assets and liabilities, net of acquisitions: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Trade accounts receivable and other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(729.0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(298.4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(28.7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Inventory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(324.5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(425.1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(398.7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Accounts payable and other current liabilities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356.7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427.8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327.5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Inventory in third party assets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(0.2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(7.2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Due to related parties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(6.0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(27.5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5.9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CCEEFF" w:val="clear"/>
            <w:vAlign w:val="bottom"/>
          </w:tcPr>
          <w:p>
            <w:pPr>
              <w:pStyle w:val="TableContents"/>
              <w:spacing w:before="0" w:after="0"/>
              <w:ind w:left="540" w:right="0" w:hanging="180"/>
              <w:jc w:val="left"/>
              <w:rPr>
                <w:sz w:val="15"/>
              </w:rPr>
            </w:pPr>
            <w:r>
              <w:rPr>
                <w:sz w:val="15"/>
              </w:rPr>
              <w:t xml:space="preserve">Net cash provided by (used in) operating activities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(275.3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24.1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104.0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FFFFFF" w:val="clear"/>
            <w:vAlign w:val="bottom"/>
          </w:tcPr>
          <w:p>
            <w:pPr>
              <w:pStyle w:val="TableContents"/>
              <w:spacing w:before="0" w:after="0"/>
              <w:ind w:left="180" w:right="0" w:hanging="180"/>
              <w:jc w:val="left"/>
              <w:rPr/>
            </w:pPr>
            <w:r>
              <w:rPr>
                <w:b/>
                <w:sz w:val="15"/>
              </w:rPr>
              <w:t>CASH FLOWS FROM INVESTING ACTIVITIES</w:t>
            </w: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Cash paid in connection with acquisitions, net of $20.0 cash acquired from acquisitions (Note 3)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(1,263.9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(30.0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(535.3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Additions to property and equipment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(341.0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(164.1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(116.9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Investment in unconsolidated entities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(45.9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(112.5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Cash paid for linefill in assets owned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(4.6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(2.0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Proceeds from sales of assets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4.4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9.4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3.0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FFFFFF" w:val="clear"/>
            <w:vAlign w:val="bottom"/>
          </w:tcPr>
          <w:p>
            <w:pPr>
              <w:pStyle w:val="TableContents"/>
              <w:spacing w:before="0" w:after="0"/>
              <w:ind w:left="540" w:right="0" w:hanging="180"/>
              <w:jc w:val="left"/>
              <w:rPr>
                <w:sz w:val="15"/>
              </w:rPr>
            </w:pPr>
            <w:r>
              <w:rPr>
                <w:sz w:val="15"/>
              </w:rPr>
              <w:t xml:space="preserve">Net cash used in investing activities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(1,651.0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(297.2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(651.2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CCEEFF" w:val="clear"/>
            <w:vAlign w:val="bottom"/>
          </w:tcPr>
          <w:p>
            <w:pPr>
              <w:pStyle w:val="TableContents"/>
              <w:spacing w:before="0" w:after="0"/>
              <w:ind w:left="180" w:right="0" w:hanging="180"/>
              <w:jc w:val="left"/>
              <w:rPr/>
            </w:pPr>
            <w:r>
              <w:rPr>
                <w:b/>
                <w:sz w:val="15"/>
              </w:rPr>
              <w:t>CASH FLOWS FROM FINANCING ACTIVITIES</w:t>
            </w:r>
            <w:r>
              <w:rPr/>
              <w:t xml:space="preserve">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Net borrowings/(repayments) on long-term revolving credit facility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(298.5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(143.7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64.9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Net borrowings on working capital revolving credit facility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2.8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67.2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62.9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Net borrowings/(repayments) on short-term letter of credit and hedged inventory facility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616.0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138.9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(20.1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Proceeds from the issuance of senior notes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1,242.8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149.3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348.1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Net proceeds from the issuance of common units (Note 5)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642.8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264.2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262.1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Distributions paid to unitholders and general partner (Note 5)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(262.6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(197.0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(158.4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Other financing activities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(16.3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(8.3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(5.0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CCEEFF" w:val="clear"/>
            <w:vAlign w:val="bottom"/>
          </w:tcPr>
          <w:p>
            <w:pPr>
              <w:pStyle w:val="TableContents"/>
              <w:spacing w:before="0" w:after="0"/>
              <w:ind w:left="540" w:right="0" w:hanging="180"/>
              <w:jc w:val="left"/>
              <w:rPr>
                <w:sz w:val="15"/>
              </w:rPr>
            </w:pPr>
            <w:r>
              <w:rPr>
                <w:sz w:val="15"/>
              </w:rPr>
              <w:t xml:space="preserve">Net cash provided by financing activities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1,927.0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270.6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554.5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Effect of translation adjustment on cash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1.0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(0.9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1.6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Net increase (decrease) in cash and cash equivalents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1.7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(3.4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8.9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Cash and cash equivalents, beginning of period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9.6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13.0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4.1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Cash and cash equivalents, end of period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11.3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9.6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13.0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6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6031" w:type="dxa"/>
            <w:tcBorders/>
            <w:shd w:fill="FFFFFF" w:val="clear"/>
            <w:vAlign w:val="bottom"/>
          </w:tcPr>
          <w:p>
            <w:pPr>
              <w:pStyle w:val="TableContents"/>
              <w:spacing w:before="0" w:after="0"/>
              <w:ind w:left="180" w:right="0" w:hanging="180"/>
              <w:jc w:val="left"/>
              <w:rPr/>
            </w:pPr>
            <w:r>
              <w:rPr>
                <w:b/>
                <w:sz w:val="15"/>
              </w:rPr>
              <w:t>Supplemental Cash Flow Formation:</w:t>
            </w:r>
            <w:r>
              <w:rPr/>
              <w:t xml:space="preserve">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180" w:right="0" w:hanging="180"/>
              <w:jc w:val="left"/>
              <w:rPr>
                <w:sz w:val="15"/>
              </w:rPr>
            </w:pPr>
            <w:r>
              <w:rPr>
                <w:sz w:val="15"/>
              </w:rPr>
              <w:t xml:space="preserve">Cash paid for interest, net of amounts capitalized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122.3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80.4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40.8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180" w:right="0" w:hanging="180"/>
              <w:jc w:val="left"/>
              <w:rPr>
                <w:sz w:val="15"/>
              </w:rPr>
            </w:pPr>
            <w:r>
              <w:rPr>
                <w:sz w:val="15"/>
              </w:rPr>
              <w:t xml:space="preserve">Non-cash investing and financing transactions (all items are in connection with the Pacific acquisition):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Issuance of common units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1,001.6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Assumption of senior notes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433.1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6031" w:type="dxa"/>
            <w:tcBorders/>
            <w:shd w:fill="CCEEFF" w:val="clear"/>
            <w:vAlign w:val="bottom"/>
          </w:tcPr>
          <w:p>
            <w:pPr>
              <w:pStyle w:val="TableContents"/>
              <w:spacing w:before="0" w:after="0"/>
              <w:ind w:left="360" w:right="0" w:hanging="180"/>
              <w:jc w:val="left"/>
              <w:rPr>
                <w:sz w:val="15"/>
              </w:rPr>
            </w:pPr>
            <w:r>
              <w:rPr>
                <w:sz w:val="15"/>
              </w:rPr>
              <w:t xml:space="preserve">Assumption of property, plant and equipment </w:t>
            </w:r>
          </w:p>
        </w:tc>
        <w:tc>
          <w:tcPr>
            <w:tcW w:w="113"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9" w:type="dxa"/>
            <w:tcBorders/>
            <w:shd w:fill="CCEEFF" w:val="clear"/>
            <w:vAlign w:val="bottom"/>
          </w:tcPr>
          <w:p>
            <w:pPr>
              <w:pStyle w:val="TableContents"/>
              <w:spacing w:before="0" w:after="283"/>
              <w:jc w:val="right"/>
              <w:rPr/>
            </w:pPr>
            <w:r>
              <w:rPr/>
              <w:t xml:space="preserve">1,411.7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9"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698"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6031" w:type="dxa"/>
            <w:tcBorders/>
            <w:shd w:fill="FFFFFF" w:val="clear"/>
            <w:vAlign w:val="bottom"/>
          </w:tcPr>
          <w:p>
            <w:pPr>
              <w:pStyle w:val="TableContents"/>
              <w:spacing w:before="0" w:after="0"/>
              <w:ind w:left="360" w:right="0" w:hanging="180"/>
              <w:jc w:val="left"/>
              <w:rPr>
                <w:sz w:val="15"/>
              </w:rPr>
            </w:pPr>
            <w:r>
              <w:rPr>
                <w:sz w:val="15"/>
              </w:rPr>
              <w:t xml:space="preserve">Assumption of intangible assets </w:t>
            </w:r>
          </w:p>
        </w:tc>
        <w:tc>
          <w:tcPr>
            <w:tcW w:w="113"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9" w:type="dxa"/>
            <w:tcBorders/>
            <w:shd w:fill="FFFFFF" w:val="clear"/>
            <w:vAlign w:val="bottom"/>
          </w:tcPr>
          <w:p>
            <w:pPr>
              <w:pStyle w:val="TableContents"/>
              <w:spacing w:before="0" w:after="283"/>
              <w:jc w:val="right"/>
              <w:rPr/>
            </w:pPr>
            <w:r>
              <w:rPr/>
              <w:t xml:space="preserve">72.3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9"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698"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bookmarkStart w:id="31" w:name="305"/>
      <w:bookmarkEnd w:id="3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CONSOLIDATED STATEMENTS OF CHANGES IN PARTNERS CAPITAL</w:t>
      </w:r>
      <w:r>
        <w:rPr>
          <w:rFonts w:ascii="Arial;Helvetica" w:hAnsi="Arial;Helvetica"/>
          <w:color w:val="000000"/>
          <w:sz w:val="17"/>
          <w:highlight w:val="white"/>
        </w:rPr>
        <w:t xml:space="preserve"> </w:t>
      </w:r>
    </w:p>
    <w:p>
      <w:pPr>
        <w:pStyle w:val="TextBody"/>
        <w:spacing w:before="240" w:after="283"/>
        <w:rPr/>
      </w:pPr>
      <w:r>
        <w:rPr/>
        <w:t> </w:t>
      </w:r>
    </w:p>
    <w:tbl>
      <w:tblPr>
        <w:tblW w:w="12520" w:type="dxa"/>
        <w:jc w:val="center"/>
        <w:tblInd w:w="0" w:type="dxa"/>
        <w:shd w:fill="FFFFFF" w:val="clear"/>
        <w:tblCellMar>
          <w:top w:w="0" w:type="dxa"/>
          <w:left w:w="0" w:type="dxa"/>
          <w:bottom w:w="0" w:type="dxa"/>
          <w:right w:w="0" w:type="dxa"/>
        </w:tblCellMar>
      </w:tblPr>
      <w:tblGrid>
        <w:gridCol w:w="860"/>
        <w:gridCol w:w="60"/>
        <w:gridCol w:w="120"/>
        <w:gridCol w:w="620"/>
        <w:gridCol w:w="120"/>
        <w:gridCol w:w="60"/>
        <w:gridCol w:w="200"/>
        <w:gridCol w:w="800"/>
        <w:gridCol w:w="155"/>
        <w:gridCol w:w="60"/>
        <w:gridCol w:w="129"/>
        <w:gridCol w:w="491"/>
        <w:gridCol w:w="155"/>
        <w:gridCol w:w="60"/>
        <w:gridCol w:w="237"/>
        <w:gridCol w:w="683"/>
        <w:gridCol w:w="155"/>
        <w:gridCol w:w="60"/>
        <w:gridCol w:w="129"/>
        <w:gridCol w:w="491"/>
        <w:gridCol w:w="155"/>
        <w:gridCol w:w="60"/>
        <w:gridCol w:w="224"/>
        <w:gridCol w:w="696"/>
        <w:gridCol w:w="155"/>
        <w:gridCol w:w="60"/>
        <w:gridCol w:w="154"/>
        <w:gridCol w:w="585"/>
        <w:gridCol w:w="199"/>
        <w:gridCol w:w="77"/>
        <w:gridCol w:w="257"/>
        <w:gridCol w:w="743"/>
        <w:gridCol w:w="155"/>
        <w:gridCol w:w="60"/>
        <w:gridCol w:w="237"/>
        <w:gridCol w:w="683"/>
        <w:gridCol w:w="155"/>
        <w:gridCol w:w="60"/>
        <w:gridCol w:w="120"/>
        <w:gridCol w:w="620"/>
        <w:gridCol w:w="120"/>
        <w:gridCol w:w="60"/>
        <w:gridCol w:w="217"/>
        <w:gridCol w:w="868"/>
        <w:gridCol w:w="155"/>
      </w:tblGrid>
      <w:tr>
        <w:trPr/>
        <w:tc>
          <w:tcPr>
            <w:tcW w:w="8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0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right"/>
              <w:rPr/>
            </w:pPr>
            <w:r>
              <w:rPr/>
              <w:t> </w:t>
            </w:r>
          </w:p>
        </w:tc>
        <w:tc>
          <w:tcPr>
            <w:tcW w:w="491"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pPr>
            <w:r>
              <w:rPr/>
              <w:t> </w:t>
            </w:r>
          </w:p>
        </w:tc>
        <w:tc>
          <w:tcPr>
            <w:tcW w:w="68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right"/>
              <w:rPr/>
            </w:pPr>
            <w:r>
              <w:rPr/>
              <w:t> </w:t>
            </w:r>
          </w:p>
        </w:tc>
        <w:tc>
          <w:tcPr>
            <w:tcW w:w="491"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jc w:val="right"/>
              <w:rPr/>
            </w:pPr>
            <w:r>
              <w:rPr/>
              <w:t> </w:t>
            </w:r>
          </w:p>
        </w:tc>
        <w:tc>
          <w:tcPr>
            <w:tcW w:w="69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pPr>
            <w:r>
              <w:rPr/>
              <w:t> </w:t>
            </w:r>
          </w:p>
        </w:tc>
        <w:tc>
          <w:tcPr>
            <w:tcW w:w="585" w:type="dxa"/>
            <w:tcBorders/>
            <w:shd w:fill="FFFFFF" w:val="clear"/>
            <w:vAlign w:val="bottom"/>
          </w:tcPr>
          <w:p>
            <w:pPr>
              <w:pStyle w:val="TableContents"/>
              <w:spacing w:before="0" w:after="283"/>
              <w:jc w:val="right"/>
              <w:rPr/>
            </w:pPr>
            <w:r>
              <w:rPr/>
              <w:t> </w:t>
            </w:r>
          </w:p>
        </w:tc>
        <w:tc>
          <w:tcPr>
            <w:tcW w:w="199" w:type="dxa"/>
            <w:tcBorders/>
            <w:shd w:fill="FFFFFF" w:val="clear"/>
            <w:vAlign w:val="bottom"/>
          </w:tcPr>
          <w:p>
            <w:pPr>
              <w:pStyle w:val="TableContents"/>
              <w:spacing w:before="0" w:after="283"/>
              <w:jc w:val="left"/>
              <w:rPr/>
            </w:pPr>
            <w:r>
              <w:rPr/>
              <w:t> </w:t>
            </w:r>
          </w:p>
        </w:tc>
        <w:tc>
          <w:tcPr>
            <w:tcW w:w="77"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74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37" w:type="dxa"/>
            <w:tcBorders/>
            <w:shd w:fill="FFFFFF" w:val="clear"/>
            <w:vAlign w:val="bottom"/>
          </w:tcPr>
          <w:p>
            <w:pPr>
              <w:pStyle w:val="TableContents"/>
              <w:spacing w:before="0" w:after="283"/>
              <w:jc w:val="right"/>
              <w:rPr/>
            </w:pPr>
            <w:r>
              <w:rPr/>
              <w:t> </w:t>
            </w:r>
          </w:p>
        </w:tc>
        <w:tc>
          <w:tcPr>
            <w:tcW w:w="68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jc w:val="right"/>
              <w:rPr/>
            </w:pPr>
            <w:r>
              <w:rPr/>
              <w:t> </w:t>
            </w:r>
          </w:p>
        </w:tc>
        <w:tc>
          <w:tcPr>
            <w:tcW w:w="868"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86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00"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5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Class B</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5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Class C</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39" w:type="dxa"/>
            <w:gridSpan w:val="2"/>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77" w:type="dxa"/>
            <w:tcBorders/>
            <w:shd w:fill="FFFFFF" w:val="clear"/>
            <w:vAlign w:val="bottom"/>
          </w:tcPr>
          <w:p>
            <w:pPr>
              <w:pStyle w:val="TableContents"/>
              <w:spacing w:before="0" w:after="283"/>
              <w:jc w:val="center"/>
              <w:rPr/>
            </w:pPr>
            <w:r>
              <w:rPr/>
              <w:t xml:space="preserve">  </w:t>
            </w:r>
          </w:p>
        </w:tc>
        <w:tc>
          <w:tcPr>
            <w:tcW w:w="1000"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20" w:type="dxa"/>
            <w:gridSpan w:val="2"/>
            <w:tcBorders/>
            <w:shd w:fill="FFFFFF" w:val="clear"/>
            <w:vAlign w:val="bottom"/>
          </w:tcPr>
          <w:p>
            <w:pPr>
              <w:pStyle w:val="TableContents"/>
              <w:spacing w:before="0" w:after="283"/>
              <w:jc w:val="center"/>
              <w:rPr>
                <w:b/>
              </w:rPr>
            </w:pPr>
            <w:r>
              <w:rPr>
                <w:b/>
              </w:rPr>
              <w:t>General</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85" w:type="dxa"/>
            <w:gridSpan w:val="2"/>
            <w:tcBorders/>
            <w:shd w:fill="FFFFFF" w:val="clear"/>
            <w:vAlign w:val="bottom"/>
          </w:tcPr>
          <w:p>
            <w:pPr>
              <w:pStyle w:val="TableContents"/>
              <w:spacing w:before="0" w:after="283"/>
              <w:jc w:val="center"/>
              <w:rPr>
                <w:b/>
              </w:rPr>
            </w:pPr>
            <w:r>
              <w:rPr>
                <w:b/>
              </w:rPr>
              <w:t>Partners</w:t>
            </w:r>
          </w:p>
        </w:tc>
        <w:tc>
          <w:tcPr>
            <w:tcW w:w="155" w:type="dxa"/>
            <w:tcBorders/>
            <w:shd w:fill="FFFFFF" w:val="clear"/>
            <w:vAlign w:val="bottom"/>
          </w:tcPr>
          <w:p>
            <w:pPr>
              <w:pStyle w:val="TableContents"/>
              <w:spacing w:before="0" w:after="283"/>
              <w:jc w:val="center"/>
              <w:rPr/>
            </w:pPr>
            <w:r>
              <w:rPr/>
              <w:t xml:space="preserve">  </w:t>
            </w:r>
          </w:p>
        </w:tc>
      </w:tr>
      <w:tr>
        <w:trPr/>
        <w:tc>
          <w:tcPr>
            <w:tcW w:w="86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92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5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5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Common 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1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Subordinated 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20" w:type="dxa"/>
            <w:gridSpan w:val="2"/>
            <w:tcBorders/>
            <w:shd w:fill="FFFFFF" w:val="clear"/>
            <w:vAlign w:val="bottom"/>
          </w:tcPr>
          <w:p>
            <w:pPr>
              <w:pStyle w:val="TableContents"/>
              <w:spacing w:before="0" w:after="283"/>
              <w:jc w:val="center"/>
              <w:rPr>
                <w:b/>
              </w:rPr>
            </w:pPr>
            <w:r>
              <w:rPr>
                <w:b/>
              </w:rPr>
              <w:t>Partner</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40" w:type="dxa"/>
            <w:gridSpan w:val="2"/>
            <w:tcBorders/>
            <w:shd w:fill="FFFFFF" w:val="clear"/>
            <w:vAlign w:val="bottom"/>
          </w:tcPr>
          <w:p>
            <w:pPr>
              <w:pStyle w:val="TableContents"/>
              <w:spacing w:before="0" w:after="283"/>
              <w:jc w:val="center"/>
              <w:rPr>
                <w:b/>
              </w:rPr>
            </w:pPr>
            <w:r>
              <w:rPr>
                <w:b/>
              </w:rPr>
              <w:t>Total</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Capital</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86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6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6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77" w:type="dxa"/>
            <w:tcBorders/>
            <w:shd w:fill="FFFFFF" w:val="clear"/>
            <w:vAlign w:val="bottom"/>
          </w:tcPr>
          <w:p>
            <w:pPr>
              <w:pStyle w:val="TableContents"/>
              <w:spacing w:before="0" w:after="283"/>
              <w:jc w:val="center"/>
              <w:rPr/>
            </w:pPr>
            <w:r>
              <w:rPr/>
              <w:t xml:space="preserve">  </w:t>
            </w:r>
          </w:p>
        </w:tc>
        <w:tc>
          <w:tcPr>
            <w:tcW w:w="10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7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0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Amount</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86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445" w:type="dxa"/>
            <w:gridSpan w:val="42"/>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860" w:type="dxa"/>
            <w:tcBorders/>
            <w:shd w:fill="FFFFFF" w:val="clear"/>
            <w:vAlign w:val="center"/>
          </w:tcPr>
          <w:p>
            <w:pPr>
              <w:pStyle w:val="TableContents"/>
              <w:spacing w:before="0" w:after="283"/>
              <w:rPr/>
            </w:pPr>
            <w:r>
              <w:rPr/>
              <w:t xml:space="preserve">  </w:t>
            </w:r>
          </w:p>
        </w:tc>
        <w:tc>
          <w:tcPr>
            <w:tcW w:w="11660" w:type="dxa"/>
            <w:gridSpan w:val="44"/>
            <w:tcBorders/>
            <w:shd w:fill="FFFFFF" w:val="clear"/>
          </w:tcPr>
          <w:p>
            <w:pPr>
              <w:pStyle w:val="TableContents"/>
              <w:spacing w:before="0" w:after="283"/>
              <w:rPr>
                <w:sz w:val="4"/>
                <w:szCs w:val="4"/>
              </w:rPr>
            </w:pPr>
            <w:r>
              <w:rPr>
                <w:sz w:val="4"/>
                <w:szCs w:val="4"/>
              </w:rPr>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Balance at December 31, 2003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49.5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744.1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1.3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18.0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w:t>
            </w: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w:t>
            </w: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7.5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(39.9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24.5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58.3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746.7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Net income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111.1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2.5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4.2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1.5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10.7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130.0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Distributions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(134.2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(3.0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(5.7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(4.2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(11.3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(158.4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Issuance of common units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5.0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157.5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3.4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5.0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160.9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Issuance of common units under LTIP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0.4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11.8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0.2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0.4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12.0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Issuance of units for acquisition contingent consideration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0.4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13.1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0.4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13.4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Private placement of Class C common units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3.2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98.8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2.1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3.2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100.9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Other comprehensive income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59.9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3.1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(0.9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64.7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Conversion of subordinated units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(43.5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(7.5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43.5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Balance at December 31, 2004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62.8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919.8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1.3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18.8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3.2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100.4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w:t>
            </w: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31.2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67.3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1,070.2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Net income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196.9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0.5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1.4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19.0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217.8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Distributions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(175.6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(0.8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(2.0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(18.6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(197.0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Issuance of common units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6.5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258.7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5.5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6.5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264.2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Issuance of common units under LTIP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1.9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Conversion of Class B Units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1.3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18.3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(1.3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(18.3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Conversion of Class C Units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3.2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99.3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(3.2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(99.3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Other Comprehensive loss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(25.2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(0.2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(0.5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(0.5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(26.4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Balance at December 31, 2005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73.8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1,294.1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w:t>
            </w: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36.6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73.8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1,330.7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Net income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246.9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38.2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285.1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Distributions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(224.9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(37.7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(262.6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Issuance of common units in connection with Pacific acquisition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22.2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1,001.6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21.6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22.2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1,023.2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Issuance of common units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13.4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608.8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12.4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13.4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621.2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CCEEFF" w:val="clear"/>
            <w:vAlign w:val="bottom"/>
          </w:tcPr>
          <w:p>
            <w:pPr>
              <w:pStyle w:val="TableContents"/>
              <w:spacing w:before="0" w:after="0"/>
              <w:ind w:left="180" w:right="0" w:hanging="180"/>
              <w:jc w:val="left"/>
              <w:rPr>
                <w:sz w:val="15"/>
              </w:rPr>
            </w:pPr>
            <w:r>
              <w:rPr>
                <w:sz w:val="15"/>
              </w:rPr>
              <w:t xml:space="preserve">Other Comprehensive loss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00" w:type="dxa"/>
            <w:tcBorders/>
            <w:shd w:fill="CCEEFF" w:val="clear"/>
            <w:vAlign w:val="bottom"/>
          </w:tcPr>
          <w:p>
            <w:pPr>
              <w:pStyle w:val="TableContents"/>
              <w:spacing w:before="0" w:after="283"/>
              <w:jc w:val="right"/>
              <w:rPr/>
            </w:pPr>
            <w:r>
              <w:rPr/>
              <w:t xml:space="preserve">(20.4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4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24" w:type="dxa"/>
            <w:tcBorders/>
            <w:shd w:fill="CCEEFF" w:val="clear"/>
            <w:vAlign w:val="bottom"/>
          </w:tcPr>
          <w:p>
            <w:pPr>
              <w:pStyle w:val="TableContents"/>
              <w:spacing w:before="0" w:after="283"/>
              <w:jc w:val="left"/>
              <w:rPr/>
            </w:pPr>
            <w:r>
              <w:rPr/>
              <w:t xml:space="preserve">  </w:t>
            </w:r>
          </w:p>
        </w:tc>
        <w:tc>
          <w:tcPr>
            <w:tcW w:w="69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585" w:type="dxa"/>
            <w:tcBorders/>
            <w:shd w:fill="CCEEFF" w:val="clear"/>
            <w:vAlign w:val="bottom"/>
          </w:tcPr>
          <w:p>
            <w:pPr>
              <w:pStyle w:val="TableContents"/>
              <w:spacing w:before="0" w:after="283"/>
              <w:jc w:val="right"/>
              <w:rPr/>
            </w:pPr>
            <w:r>
              <w:rPr/>
              <w:t xml:space="preserve"> </w:t>
            </w:r>
          </w:p>
        </w:tc>
        <w:tc>
          <w:tcPr>
            <w:tcW w:w="199" w:type="dxa"/>
            <w:tcBorders/>
            <w:shd w:fill="CCEEFF" w:val="clear"/>
            <w:vAlign w:val="bottom"/>
          </w:tcPr>
          <w:p>
            <w:pPr>
              <w:pStyle w:val="TableContents"/>
              <w:spacing w:before="0" w:after="283"/>
              <w:jc w:val="left"/>
              <w:rPr/>
            </w:pPr>
            <w:r>
              <w:rPr/>
              <w:t xml:space="preserve">  </w:t>
            </w:r>
          </w:p>
        </w:tc>
        <w:tc>
          <w:tcPr>
            <w:tcW w:w="77"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743"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7" w:type="dxa"/>
            <w:tcBorders/>
            <w:shd w:fill="CCEEFF" w:val="clear"/>
            <w:vAlign w:val="bottom"/>
          </w:tcPr>
          <w:p>
            <w:pPr>
              <w:pStyle w:val="TableContents"/>
              <w:spacing w:before="0" w:after="283"/>
              <w:jc w:val="left"/>
              <w:rPr/>
            </w:pPr>
            <w:r>
              <w:rPr/>
              <w:t xml:space="preserve">  </w:t>
            </w:r>
          </w:p>
        </w:tc>
        <w:tc>
          <w:tcPr>
            <w:tcW w:w="683" w:type="dxa"/>
            <w:tcBorders/>
            <w:shd w:fill="CCEEFF" w:val="clear"/>
            <w:vAlign w:val="bottom"/>
          </w:tcPr>
          <w:p>
            <w:pPr>
              <w:pStyle w:val="TableContents"/>
              <w:spacing w:before="0" w:after="283"/>
              <w:jc w:val="right"/>
              <w:rPr/>
            </w:pPr>
            <w:r>
              <w:rPr/>
              <w:t xml:space="preserve">(0.4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868" w:type="dxa"/>
            <w:tcBorders/>
            <w:shd w:fill="CCEEFF" w:val="clear"/>
            <w:vAlign w:val="bottom"/>
          </w:tcPr>
          <w:p>
            <w:pPr>
              <w:pStyle w:val="TableContents"/>
              <w:spacing w:before="0" w:after="283"/>
              <w:jc w:val="right"/>
              <w:rPr/>
            </w:pPr>
            <w:r>
              <w:rPr/>
              <w:t xml:space="preserve">(20.8 </w:t>
            </w:r>
          </w:p>
        </w:tc>
        <w:tc>
          <w:tcPr>
            <w:tcW w:w="155" w:type="dxa"/>
            <w:tcBorders/>
            <w:shd w:fill="CCEE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860" w:type="dxa"/>
            <w:tcBorders/>
            <w:shd w:fill="FFFFFF" w:val="clear"/>
            <w:vAlign w:val="bottom"/>
          </w:tcPr>
          <w:p>
            <w:pPr>
              <w:pStyle w:val="TableContents"/>
              <w:spacing w:before="0" w:after="0"/>
              <w:ind w:left="180" w:right="0" w:hanging="180"/>
              <w:jc w:val="left"/>
              <w:rPr>
                <w:sz w:val="15"/>
              </w:rPr>
            </w:pPr>
            <w:r>
              <w:rPr>
                <w:sz w:val="15"/>
              </w:rPr>
              <w:t xml:space="preserve">Balance at December 31, 2006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109.4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00" w:type="dxa"/>
            <w:tcBorders/>
            <w:shd w:fill="FFFFFF" w:val="clear"/>
            <w:vAlign w:val="bottom"/>
          </w:tcPr>
          <w:p>
            <w:pPr>
              <w:pStyle w:val="TableContents"/>
              <w:spacing w:before="0" w:after="283"/>
              <w:jc w:val="right"/>
              <w:rPr/>
            </w:pPr>
            <w:r>
              <w:rPr/>
              <w:t xml:space="preserve">2,906.1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491"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jc w:val="left"/>
              <w:rPr/>
            </w:pPr>
            <w:r>
              <w:rPr/>
              <w:t xml:space="preserve">$ </w:t>
            </w:r>
          </w:p>
        </w:tc>
        <w:tc>
          <w:tcPr>
            <w:tcW w:w="696"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jc w:val="left"/>
              <w:rPr/>
            </w:pPr>
            <w:r>
              <w:rPr/>
              <w:t xml:space="preserve">  </w:t>
            </w:r>
          </w:p>
        </w:tc>
        <w:tc>
          <w:tcPr>
            <w:tcW w:w="585" w:type="dxa"/>
            <w:tcBorders/>
            <w:shd w:fill="FFFFFF" w:val="clear"/>
            <w:vAlign w:val="bottom"/>
          </w:tcPr>
          <w:p>
            <w:pPr>
              <w:pStyle w:val="TableContents"/>
              <w:spacing w:before="0" w:after="283"/>
              <w:jc w:val="right"/>
              <w:rPr/>
            </w:pPr>
            <w:r>
              <w:rPr/>
              <w:t> </w:t>
            </w:r>
            <w:r>
              <w:rPr/>
              <w:t xml:space="preserve"> </w:t>
            </w:r>
          </w:p>
        </w:tc>
        <w:tc>
          <w:tcPr>
            <w:tcW w:w="199" w:type="dxa"/>
            <w:tcBorders/>
            <w:shd w:fill="FFFFFF" w:val="clear"/>
            <w:vAlign w:val="bottom"/>
          </w:tcPr>
          <w:p>
            <w:pPr>
              <w:pStyle w:val="TableContents"/>
              <w:spacing w:before="0" w:after="283"/>
              <w:jc w:val="left"/>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743" w:type="dxa"/>
            <w:tcBorders/>
            <w:shd w:fill="FFFFFF" w:val="clear"/>
            <w:vAlign w:val="bottom"/>
          </w:tcPr>
          <w:p>
            <w:pPr>
              <w:pStyle w:val="TableContents"/>
              <w:spacing w:before="0" w:after="283"/>
              <w:jc w:val="right"/>
              <w:rPr/>
            </w:pPr>
            <w:r>
              <w:rPr/>
              <w:t> </w:t>
            </w: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shd w:fill="FFFFFF" w:val="clear"/>
            <w:vAlign w:val="bottom"/>
          </w:tcPr>
          <w:p>
            <w:pPr>
              <w:pStyle w:val="TableContents"/>
              <w:spacing w:before="0" w:after="283"/>
              <w:jc w:val="left"/>
              <w:rPr/>
            </w:pPr>
            <w:r>
              <w:rPr/>
              <w:t xml:space="preserve">$ </w:t>
            </w:r>
          </w:p>
        </w:tc>
        <w:tc>
          <w:tcPr>
            <w:tcW w:w="683" w:type="dxa"/>
            <w:tcBorders/>
            <w:shd w:fill="FFFFFF" w:val="clear"/>
            <w:vAlign w:val="bottom"/>
          </w:tcPr>
          <w:p>
            <w:pPr>
              <w:pStyle w:val="TableContents"/>
              <w:spacing w:before="0" w:after="283"/>
              <w:jc w:val="right"/>
              <w:rPr/>
            </w:pPr>
            <w:r>
              <w:rPr/>
              <w:t xml:space="preserve">70.7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109.4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868" w:type="dxa"/>
            <w:tcBorders/>
            <w:shd w:fill="FFFFFF" w:val="clear"/>
            <w:vAlign w:val="bottom"/>
          </w:tcPr>
          <w:p>
            <w:pPr>
              <w:pStyle w:val="TableContents"/>
              <w:spacing w:before="0" w:after="283"/>
              <w:jc w:val="right"/>
              <w:rPr/>
            </w:pPr>
            <w:r>
              <w:rPr/>
              <w:t xml:space="preserve">2,976.8 </w:t>
            </w:r>
          </w:p>
        </w:tc>
        <w:tc>
          <w:tcPr>
            <w:tcW w:w="155" w:type="dxa"/>
            <w:tcBorders/>
            <w:shd w:fill="FFFFFF" w:val="clear"/>
            <w:vAlign w:val="bottom"/>
          </w:tcPr>
          <w:p>
            <w:pPr>
              <w:pStyle w:val="TableContents"/>
              <w:spacing w:before="0" w:after="283"/>
              <w:jc w:val="left"/>
              <w:rPr/>
            </w:pPr>
            <w:r>
              <w:rPr/>
              <w:t xml:space="preserve">  </w:t>
            </w:r>
          </w:p>
        </w:tc>
      </w:tr>
      <w:tr>
        <w:trPr/>
        <w:tc>
          <w:tcPr>
            <w:tcW w:w="86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77" w:type="dxa"/>
            <w:tcBorders/>
            <w:shd w:fill="FFFFFF" w:val="clear"/>
            <w:vAlign w:val="bottom"/>
          </w:tcPr>
          <w:p>
            <w:pPr>
              <w:pStyle w:val="TableContents"/>
              <w:spacing w:before="0" w:after="283"/>
              <w:rPr/>
            </w:pPr>
            <w:r>
              <w:rPr/>
              <w:t xml:space="preserve">  </w:t>
            </w:r>
          </w:p>
        </w:tc>
        <w:tc>
          <w:tcPr>
            <w:tcW w:w="2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1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bookmarkStart w:id="32" w:name="306"/>
      <w:bookmarkEnd w:id="3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CONSOLIDATED STATEMENTS OF COMPREHENSIVE INCOME</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6556"/>
        <w:gridCol w:w="180"/>
        <w:gridCol w:w="202"/>
        <w:gridCol w:w="620"/>
        <w:gridCol w:w="172"/>
        <w:gridCol w:w="251"/>
        <w:gridCol w:w="202"/>
        <w:gridCol w:w="620"/>
        <w:gridCol w:w="172"/>
        <w:gridCol w:w="251"/>
        <w:gridCol w:w="202"/>
        <w:gridCol w:w="620"/>
        <w:gridCol w:w="157"/>
      </w:tblGrid>
      <w:tr>
        <w:trPr/>
        <w:tc>
          <w:tcPr>
            <w:tcW w:w="6556"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25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25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r>
      <w:tr>
        <w:trPr/>
        <w:tc>
          <w:tcPr>
            <w:tcW w:w="6556"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3312"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Twelve Months Ended December 31,</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6556"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8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251" w:type="dxa"/>
            <w:tcBorders/>
            <w:shd w:fill="FFFFFF" w:val="clear"/>
            <w:vAlign w:val="bottom"/>
          </w:tcPr>
          <w:p>
            <w:pPr>
              <w:pStyle w:val="TableContents"/>
              <w:spacing w:before="0" w:after="283"/>
              <w:jc w:val="center"/>
              <w:rPr/>
            </w:pPr>
            <w:r>
              <w:rPr/>
              <w:t xml:space="preserve">  </w:t>
            </w:r>
          </w:p>
        </w:tc>
        <w:tc>
          <w:tcPr>
            <w:tcW w:w="8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251" w:type="dxa"/>
            <w:tcBorders/>
            <w:shd w:fill="FFFFFF" w:val="clear"/>
            <w:vAlign w:val="bottom"/>
          </w:tcPr>
          <w:p>
            <w:pPr>
              <w:pStyle w:val="TableContents"/>
              <w:spacing w:before="0" w:after="283"/>
              <w:jc w:val="center"/>
              <w:rPr/>
            </w:pPr>
            <w:r>
              <w:rPr/>
              <w:t xml:space="preserve">  </w:t>
            </w:r>
          </w:p>
        </w:tc>
        <w:tc>
          <w:tcPr>
            <w:tcW w:w="8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6556"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3312" w:type="dxa"/>
            <w:gridSpan w:val="10"/>
            <w:tcBorders/>
            <w:shd w:fill="FFFFFF" w:val="clear"/>
            <w:vAlign w:val="bottom"/>
          </w:tcPr>
          <w:p>
            <w:pPr>
              <w:pStyle w:val="TableContents"/>
              <w:spacing w:before="0" w:after="283"/>
              <w:jc w:val="center"/>
              <w:rPr/>
            </w:pPr>
            <w:r>
              <w:rPr>
                <w:b/>
              </w:rPr>
              <w:t>(In millions)</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6556" w:type="dxa"/>
            <w:tcBorders/>
            <w:shd w:fill="FFFFFF" w:val="clear"/>
            <w:vAlign w:val="center"/>
          </w:tcPr>
          <w:p>
            <w:pPr>
              <w:pStyle w:val="TableContents"/>
              <w:spacing w:before="0" w:after="283"/>
              <w:rPr/>
            </w:pPr>
            <w:r>
              <w:rPr/>
              <w:t xml:space="preserve">  </w:t>
            </w:r>
          </w:p>
        </w:tc>
        <w:tc>
          <w:tcPr>
            <w:tcW w:w="3649" w:type="dxa"/>
            <w:gridSpan w:val="12"/>
            <w:tcBorders/>
            <w:shd w:fill="FFFFFF" w:val="clear"/>
          </w:tcPr>
          <w:p>
            <w:pPr>
              <w:pStyle w:val="TableContents"/>
              <w:spacing w:before="0" w:after="283"/>
              <w:rPr>
                <w:sz w:val="4"/>
                <w:szCs w:val="4"/>
              </w:rPr>
            </w:pPr>
            <w:r>
              <w:rPr>
                <w:sz w:val="4"/>
                <w:szCs w:val="4"/>
              </w:rPr>
            </w:r>
          </w:p>
        </w:tc>
      </w:tr>
      <w:tr>
        <w:trPr/>
        <w:tc>
          <w:tcPr>
            <w:tcW w:w="6556" w:type="dxa"/>
            <w:tcBorders/>
            <w:shd w:fill="CCEEFF" w:val="clear"/>
            <w:vAlign w:val="bottom"/>
          </w:tcPr>
          <w:p>
            <w:pPr>
              <w:pStyle w:val="TableContents"/>
              <w:spacing w:before="0" w:after="0"/>
              <w:ind w:left="200" w:right="0" w:hanging="200"/>
              <w:jc w:val="left"/>
              <w:rPr>
                <w:sz w:val="17"/>
              </w:rPr>
            </w:pPr>
            <w:r>
              <w:rPr>
                <w:sz w:val="17"/>
              </w:rPr>
              <w:t xml:space="preserve">Net income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285.1 </w:t>
            </w:r>
          </w:p>
        </w:tc>
        <w:tc>
          <w:tcPr>
            <w:tcW w:w="172"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217.8 </w:t>
            </w:r>
          </w:p>
        </w:tc>
        <w:tc>
          <w:tcPr>
            <w:tcW w:w="172"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130.0 </w:t>
            </w:r>
          </w:p>
        </w:tc>
        <w:tc>
          <w:tcPr>
            <w:tcW w:w="157" w:type="dxa"/>
            <w:tcBorders/>
            <w:shd w:fill="CCEEFF" w:val="clear"/>
            <w:vAlign w:val="bottom"/>
          </w:tcPr>
          <w:p>
            <w:pPr>
              <w:pStyle w:val="TableContents"/>
              <w:spacing w:before="0" w:after="283"/>
              <w:jc w:val="left"/>
              <w:rPr/>
            </w:pPr>
            <w:r>
              <w:rPr/>
              <w:t xml:space="preserve">  </w:t>
            </w:r>
          </w:p>
        </w:tc>
      </w:tr>
      <w:tr>
        <w:trPr/>
        <w:tc>
          <w:tcPr>
            <w:tcW w:w="6556" w:type="dxa"/>
            <w:tcBorders/>
            <w:shd w:fill="FFFFFF" w:val="clear"/>
            <w:vAlign w:val="bottom"/>
          </w:tcPr>
          <w:p>
            <w:pPr>
              <w:pStyle w:val="TableContents"/>
              <w:spacing w:before="0" w:after="0"/>
              <w:ind w:left="200" w:right="0" w:hanging="200"/>
              <w:jc w:val="left"/>
              <w:rPr>
                <w:sz w:val="17"/>
              </w:rPr>
            </w:pPr>
            <w:r>
              <w:rPr>
                <w:sz w:val="17"/>
              </w:rPr>
              <w:t xml:space="preserve">Other comprehensive income/(loss) </w:t>
            </w:r>
          </w:p>
        </w:tc>
        <w:tc>
          <w:tcPr>
            <w:tcW w:w="18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(20.8 </w:t>
            </w:r>
          </w:p>
        </w:tc>
        <w:tc>
          <w:tcPr>
            <w:tcW w:w="172"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(26.4 </w:t>
            </w:r>
          </w:p>
        </w:tc>
        <w:tc>
          <w:tcPr>
            <w:tcW w:w="172" w:type="dxa"/>
            <w:tcBorders/>
            <w:shd w:fill="FFFFFF" w:val="clear"/>
            <w:vAlign w:val="bottom"/>
          </w:tcPr>
          <w:p>
            <w:pPr>
              <w:pStyle w:val="TableContents"/>
              <w:spacing w:before="0" w:after="283"/>
              <w:jc w:val="left"/>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64.7 </w:t>
            </w:r>
          </w:p>
        </w:tc>
        <w:tc>
          <w:tcPr>
            <w:tcW w:w="157" w:type="dxa"/>
            <w:tcBorders/>
            <w:shd w:fill="FFFFFF" w:val="clear"/>
            <w:vAlign w:val="bottom"/>
          </w:tcPr>
          <w:p>
            <w:pPr>
              <w:pStyle w:val="TableContents"/>
              <w:spacing w:before="0" w:after="283"/>
              <w:jc w:val="left"/>
              <w:rPr/>
            </w:pPr>
            <w:r>
              <w:rPr/>
              <w:t xml:space="preserve">  </w:t>
            </w:r>
          </w:p>
        </w:tc>
      </w:tr>
      <w:tr>
        <w:trPr/>
        <w:tc>
          <w:tcPr>
            <w:tcW w:w="6556"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r>
        <w:trPr/>
        <w:tc>
          <w:tcPr>
            <w:tcW w:w="6556" w:type="dxa"/>
            <w:tcBorders/>
            <w:shd w:fill="CCEEFF" w:val="clear"/>
            <w:vAlign w:val="bottom"/>
          </w:tcPr>
          <w:p>
            <w:pPr>
              <w:pStyle w:val="TableContents"/>
              <w:spacing w:before="0" w:after="0"/>
              <w:ind w:left="200" w:right="0" w:hanging="200"/>
              <w:jc w:val="left"/>
              <w:rPr>
                <w:sz w:val="17"/>
              </w:rPr>
            </w:pPr>
            <w:r>
              <w:rPr>
                <w:sz w:val="17"/>
              </w:rPr>
              <w:t xml:space="preserve">Comprehensive income </w:t>
            </w:r>
          </w:p>
        </w:tc>
        <w:tc>
          <w:tcPr>
            <w:tcW w:w="18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264.3 </w:t>
            </w:r>
          </w:p>
        </w:tc>
        <w:tc>
          <w:tcPr>
            <w:tcW w:w="172"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191.4 </w:t>
            </w:r>
          </w:p>
        </w:tc>
        <w:tc>
          <w:tcPr>
            <w:tcW w:w="172" w:type="dxa"/>
            <w:tcBorders/>
            <w:shd w:fill="CCEEFF" w:val="clear"/>
            <w:vAlign w:val="bottom"/>
          </w:tcPr>
          <w:p>
            <w:pPr>
              <w:pStyle w:val="TableContents"/>
              <w:spacing w:before="0" w:after="283"/>
              <w:jc w:val="left"/>
              <w:rPr/>
            </w:pPr>
            <w:r>
              <w:rPr/>
              <w:t xml:space="preserve">  </w:t>
            </w:r>
          </w:p>
        </w:tc>
        <w:tc>
          <w:tcPr>
            <w:tcW w:w="25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194.7 </w:t>
            </w:r>
          </w:p>
        </w:tc>
        <w:tc>
          <w:tcPr>
            <w:tcW w:w="157" w:type="dxa"/>
            <w:tcBorders/>
            <w:shd w:fill="CCEEFF" w:val="clear"/>
            <w:vAlign w:val="bottom"/>
          </w:tcPr>
          <w:p>
            <w:pPr>
              <w:pStyle w:val="TableContents"/>
              <w:spacing w:before="0" w:after="283"/>
              <w:jc w:val="left"/>
              <w:rPr/>
            </w:pPr>
            <w:r>
              <w:rPr/>
              <w:t xml:space="preserve">  </w:t>
            </w:r>
          </w:p>
        </w:tc>
      </w:tr>
      <w:tr>
        <w:trPr/>
        <w:tc>
          <w:tcPr>
            <w:tcW w:w="6556"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25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bookmarkStart w:id="33" w:name="307"/>
      <w:bookmarkEnd w:id="33"/>
      <w:r>
        <w:rPr>
          <w:rFonts w:ascii="Times New Roman;Times" w:hAnsi="Times New Roman;Times"/>
          <w:b/>
          <w:color w:val="000000"/>
          <w:sz w:val="17"/>
          <w:highlight w:val="white"/>
        </w:rPr>
        <w:t>CONSOLIDATED STATEMENTS OF CHANGES IN ACCUMULATED</w:t>
        <w:br/>
        <w:t>OTHER COMPREHENSIVE INCOME</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566"/>
        <w:gridCol w:w="162"/>
        <w:gridCol w:w="339"/>
        <w:gridCol w:w="1493"/>
        <w:gridCol w:w="187"/>
        <w:gridCol w:w="218"/>
        <w:gridCol w:w="353"/>
        <w:gridCol w:w="1252"/>
        <w:gridCol w:w="187"/>
        <w:gridCol w:w="217"/>
        <w:gridCol w:w="225"/>
        <w:gridCol w:w="811"/>
        <w:gridCol w:w="195"/>
      </w:tblGrid>
      <w:tr>
        <w:trPr/>
        <w:tc>
          <w:tcPr>
            <w:tcW w:w="4566"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rPr/>
            </w:pPr>
            <w:r>
              <w:rPr/>
              <w:t> </w:t>
            </w:r>
          </w:p>
        </w:tc>
        <w:tc>
          <w:tcPr>
            <w:tcW w:w="339" w:type="dxa"/>
            <w:tcBorders/>
            <w:shd w:fill="FFFFFF" w:val="clear"/>
            <w:vAlign w:val="bottom"/>
          </w:tcPr>
          <w:p>
            <w:pPr>
              <w:pStyle w:val="TableContents"/>
              <w:spacing w:before="0" w:after="283"/>
              <w:jc w:val="right"/>
              <w:rPr/>
            </w:pPr>
            <w:r>
              <w:rPr/>
              <w:t> </w:t>
            </w:r>
          </w:p>
        </w:tc>
        <w:tc>
          <w:tcPr>
            <w:tcW w:w="1493"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c>
          <w:tcPr>
            <w:tcW w:w="218" w:type="dxa"/>
            <w:tcBorders/>
            <w:shd w:fill="FFFFFF" w:val="clear"/>
            <w:vAlign w:val="bottom"/>
          </w:tcPr>
          <w:p>
            <w:pPr>
              <w:pStyle w:val="TableContents"/>
              <w:spacing w:before="0" w:after="283"/>
              <w:rPr/>
            </w:pPr>
            <w:r>
              <w:rPr/>
              <w:t> </w:t>
            </w:r>
          </w:p>
        </w:tc>
        <w:tc>
          <w:tcPr>
            <w:tcW w:w="353" w:type="dxa"/>
            <w:tcBorders/>
            <w:shd w:fill="FFFFFF" w:val="clear"/>
            <w:vAlign w:val="bottom"/>
          </w:tcPr>
          <w:p>
            <w:pPr>
              <w:pStyle w:val="TableContents"/>
              <w:spacing w:before="0" w:after="283"/>
              <w:jc w:val="right"/>
              <w:rPr/>
            </w:pPr>
            <w:r>
              <w:rPr/>
              <w:t> </w:t>
            </w:r>
          </w:p>
        </w:tc>
        <w:tc>
          <w:tcPr>
            <w:tcW w:w="1252"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c>
          <w:tcPr>
            <w:tcW w:w="217" w:type="dxa"/>
            <w:tcBorders/>
            <w:shd w:fill="FFFFFF" w:val="clear"/>
            <w:vAlign w:val="bottom"/>
          </w:tcPr>
          <w:p>
            <w:pPr>
              <w:pStyle w:val="TableContents"/>
              <w:spacing w:before="0" w:after="283"/>
              <w:rPr/>
            </w:pPr>
            <w:r>
              <w:rPr/>
              <w:t> </w:t>
            </w:r>
          </w:p>
        </w:tc>
        <w:tc>
          <w:tcPr>
            <w:tcW w:w="225" w:type="dxa"/>
            <w:tcBorders/>
            <w:shd w:fill="FFFFFF" w:val="clear"/>
            <w:vAlign w:val="bottom"/>
          </w:tcPr>
          <w:p>
            <w:pPr>
              <w:pStyle w:val="TableContents"/>
              <w:spacing w:before="0" w:after="283"/>
              <w:jc w:val="right"/>
              <w:rPr/>
            </w:pPr>
            <w:r>
              <w:rPr/>
              <w:t> </w:t>
            </w:r>
          </w:p>
        </w:tc>
        <w:tc>
          <w:tcPr>
            <w:tcW w:w="811" w:type="dxa"/>
            <w:tcBorders/>
            <w:shd w:fill="FFFFFF" w:val="clear"/>
            <w:vAlign w:val="bottom"/>
          </w:tcPr>
          <w:p>
            <w:pPr>
              <w:pStyle w:val="TableContents"/>
              <w:spacing w:before="0" w:after="283"/>
              <w:jc w:val="right"/>
              <w:rPr/>
            </w:pPr>
            <w:r>
              <w:rPr/>
              <w:t> </w:t>
            </w:r>
          </w:p>
        </w:tc>
        <w:tc>
          <w:tcPr>
            <w:tcW w:w="195" w:type="dxa"/>
            <w:tcBorders/>
            <w:shd w:fill="FFFFFF" w:val="clear"/>
            <w:vAlign w:val="bottom"/>
          </w:tcPr>
          <w:p>
            <w:pPr>
              <w:pStyle w:val="TableContents"/>
              <w:spacing w:before="0" w:after="283"/>
              <w:jc w:val="left"/>
              <w:rPr/>
            </w:pPr>
            <w:r>
              <w:rPr/>
              <w:t> </w:t>
            </w:r>
          </w:p>
        </w:tc>
      </w:tr>
      <w:tr>
        <w:trPr/>
        <w:tc>
          <w:tcPr>
            <w:tcW w:w="4566" w:type="dxa"/>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1832" w:type="dxa"/>
            <w:gridSpan w:val="2"/>
            <w:tcBorders/>
            <w:shd w:fill="FFFFFF" w:val="clear"/>
            <w:vAlign w:val="bottom"/>
          </w:tcPr>
          <w:p>
            <w:pPr>
              <w:pStyle w:val="TableContents"/>
              <w:spacing w:before="0" w:after="283"/>
              <w:jc w:val="center"/>
              <w:rPr>
                <w:b/>
              </w:rPr>
            </w:pPr>
            <w:r>
              <w:rPr>
                <w:b/>
              </w:rPr>
              <w:t>Net Deferred</w:t>
            </w:r>
          </w:p>
        </w:tc>
        <w:tc>
          <w:tcPr>
            <w:tcW w:w="187"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1605" w:type="dxa"/>
            <w:gridSpan w:val="2"/>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17" w:type="dxa"/>
            <w:tcBorders/>
            <w:shd w:fill="FFFFFF" w:val="clear"/>
            <w:vAlign w:val="bottom"/>
          </w:tcPr>
          <w:p>
            <w:pPr>
              <w:pStyle w:val="TableContents"/>
              <w:spacing w:before="0" w:after="283"/>
              <w:jc w:val="center"/>
              <w:rPr/>
            </w:pPr>
            <w:r>
              <w:rPr/>
              <w:t xml:space="preserve">  </w:t>
            </w:r>
          </w:p>
        </w:tc>
        <w:tc>
          <w:tcPr>
            <w:tcW w:w="1036" w:type="dxa"/>
            <w:gridSpan w:val="2"/>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1832" w:type="dxa"/>
            <w:gridSpan w:val="2"/>
            <w:tcBorders/>
            <w:shd w:fill="FFFFFF" w:val="clear"/>
            <w:vAlign w:val="bottom"/>
          </w:tcPr>
          <w:p>
            <w:pPr>
              <w:pStyle w:val="TableContents"/>
              <w:spacing w:before="0" w:after="283"/>
              <w:jc w:val="center"/>
              <w:rPr>
                <w:b/>
              </w:rPr>
            </w:pPr>
            <w:r>
              <w:rPr>
                <w:b/>
              </w:rPr>
              <w:t>Gain/(Loss) on</w:t>
            </w:r>
          </w:p>
        </w:tc>
        <w:tc>
          <w:tcPr>
            <w:tcW w:w="187"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1605" w:type="dxa"/>
            <w:gridSpan w:val="2"/>
            <w:tcBorders/>
            <w:shd w:fill="FFFFFF" w:val="clear"/>
            <w:vAlign w:val="bottom"/>
          </w:tcPr>
          <w:p>
            <w:pPr>
              <w:pStyle w:val="TableContents"/>
              <w:spacing w:before="0" w:after="283"/>
              <w:jc w:val="center"/>
              <w:rPr>
                <w:b/>
              </w:rPr>
            </w:pPr>
            <w:r>
              <w:rPr>
                <w:b/>
              </w:rPr>
              <w:t>Currency</w:t>
            </w:r>
          </w:p>
        </w:tc>
        <w:tc>
          <w:tcPr>
            <w:tcW w:w="187" w:type="dxa"/>
            <w:tcBorders/>
            <w:shd w:fill="FFFFFF" w:val="clear"/>
            <w:vAlign w:val="bottom"/>
          </w:tcPr>
          <w:p>
            <w:pPr>
              <w:pStyle w:val="TableContents"/>
              <w:spacing w:before="0" w:after="283"/>
              <w:jc w:val="center"/>
              <w:rPr/>
            </w:pPr>
            <w:r>
              <w:rPr/>
              <w:t xml:space="preserve">  </w:t>
            </w:r>
          </w:p>
        </w:tc>
        <w:tc>
          <w:tcPr>
            <w:tcW w:w="217" w:type="dxa"/>
            <w:tcBorders/>
            <w:shd w:fill="FFFFFF" w:val="clear"/>
            <w:vAlign w:val="bottom"/>
          </w:tcPr>
          <w:p>
            <w:pPr>
              <w:pStyle w:val="TableContents"/>
              <w:spacing w:before="0" w:after="283"/>
              <w:jc w:val="center"/>
              <w:rPr/>
            </w:pPr>
            <w:r>
              <w:rPr/>
              <w:t xml:space="preserve">  </w:t>
            </w:r>
          </w:p>
        </w:tc>
        <w:tc>
          <w:tcPr>
            <w:tcW w:w="1036" w:type="dxa"/>
            <w:gridSpan w:val="2"/>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1832" w:type="dxa"/>
            <w:gridSpan w:val="2"/>
            <w:tcBorders/>
            <w:shd w:fill="FFFFFF" w:val="clear"/>
            <w:vAlign w:val="bottom"/>
          </w:tcPr>
          <w:p>
            <w:pPr>
              <w:pStyle w:val="TableContents"/>
              <w:spacing w:before="0" w:after="283"/>
              <w:jc w:val="center"/>
              <w:rPr>
                <w:b/>
              </w:rPr>
            </w:pPr>
            <w:r>
              <w:rPr>
                <w:b/>
              </w:rPr>
              <w:t>Derivative</w:t>
            </w:r>
          </w:p>
        </w:tc>
        <w:tc>
          <w:tcPr>
            <w:tcW w:w="187"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1605" w:type="dxa"/>
            <w:gridSpan w:val="2"/>
            <w:tcBorders/>
            <w:shd w:fill="FFFFFF" w:val="clear"/>
            <w:vAlign w:val="bottom"/>
          </w:tcPr>
          <w:p>
            <w:pPr>
              <w:pStyle w:val="TableContents"/>
              <w:spacing w:before="0" w:after="283"/>
              <w:jc w:val="center"/>
              <w:rPr>
                <w:b/>
              </w:rPr>
            </w:pPr>
            <w:r>
              <w:rPr>
                <w:b/>
              </w:rPr>
              <w:t>Translation</w:t>
            </w:r>
          </w:p>
        </w:tc>
        <w:tc>
          <w:tcPr>
            <w:tcW w:w="187" w:type="dxa"/>
            <w:tcBorders/>
            <w:shd w:fill="FFFFFF" w:val="clear"/>
            <w:vAlign w:val="bottom"/>
          </w:tcPr>
          <w:p>
            <w:pPr>
              <w:pStyle w:val="TableContents"/>
              <w:spacing w:before="0" w:after="283"/>
              <w:jc w:val="center"/>
              <w:rPr/>
            </w:pPr>
            <w:r>
              <w:rPr/>
              <w:t xml:space="preserve">  </w:t>
            </w:r>
          </w:p>
        </w:tc>
        <w:tc>
          <w:tcPr>
            <w:tcW w:w="217" w:type="dxa"/>
            <w:tcBorders/>
            <w:shd w:fill="FFFFFF" w:val="clear"/>
            <w:vAlign w:val="bottom"/>
          </w:tcPr>
          <w:p>
            <w:pPr>
              <w:pStyle w:val="TableContents"/>
              <w:spacing w:before="0" w:after="283"/>
              <w:jc w:val="center"/>
              <w:rPr/>
            </w:pPr>
            <w:r>
              <w:rPr/>
              <w:t xml:space="preserve">  </w:t>
            </w:r>
          </w:p>
        </w:tc>
        <w:tc>
          <w:tcPr>
            <w:tcW w:w="1036" w:type="dxa"/>
            <w:gridSpan w:val="2"/>
            <w:tcBorders/>
            <w:shd w:fill="FFFFFF" w:val="clear"/>
            <w:vAlign w:val="bottom"/>
          </w:tcPr>
          <w:p>
            <w:pPr>
              <w:pStyle w:val="TableContents"/>
              <w:spacing w:before="0" w:after="283"/>
              <w:jc w:val="center"/>
              <w:rPr/>
            </w:pPr>
            <w:r>
              <w:rPr/>
              <w:t xml:space="preserve">  </w:t>
            </w:r>
          </w:p>
        </w:tc>
        <w:tc>
          <w:tcPr>
            <w:tcW w:w="195"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183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Instruments</w:t>
            </w: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18" w:type="dxa"/>
            <w:tcBorders/>
            <w:shd w:fill="FFFFFF" w:val="clear"/>
            <w:vAlign w:val="bottom"/>
          </w:tcPr>
          <w:p>
            <w:pPr>
              <w:pStyle w:val="TableContents"/>
              <w:spacing w:before="0" w:after="283"/>
              <w:jc w:val="center"/>
              <w:rPr/>
            </w:pPr>
            <w:r>
              <w:rPr/>
              <w:t xml:space="preserve">  </w:t>
            </w:r>
          </w:p>
        </w:tc>
        <w:tc>
          <w:tcPr>
            <w:tcW w:w="16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Adjustments</w:t>
            </w: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17" w:type="dxa"/>
            <w:tcBorders/>
            <w:shd w:fill="FFFFFF" w:val="clear"/>
            <w:vAlign w:val="bottom"/>
          </w:tcPr>
          <w:p>
            <w:pPr>
              <w:pStyle w:val="TableContents"/>
              <w:spacing w:before="0" w:after="283"/>
              <w:jc w:val="center"/>
              <w:rPr/>
            </w:pPr>
            <w:r>
              <w:rPr/>
              <w:t xml:space="preserve">  </w:t>
            </w:r>
          </w:p>
        </w:tc>
        <w:tc>
          <w:tcPr>
            <w:tcW w:w="10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95"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5282" w:type="dxa"/>
            <w:gridSpan w:val="10"/>
            <w:tcBorders/>
            <w:shd w:fill="FFFFFF" w:val="clear"/>
            <w:vAlign w:val="bottom"/>
          </w:tcPr>
          <w:p>
            <w:pPr>
              <w:pStyle w:val="TableContents"/>
              <w:spacing w:before="0" w:after="283"/>
              <w:jc w:val="center"/>
              <w:rPr/>
            </w:pPr>
            <w:r>
              <w:rPr>
                <w:b/>
              </w:rPr>
              <w:t>(In millions)</w:t>
            </w:r>
            <w:r>
              <w:rPr/>
              <w:t xml:space="preserve"> </w:t>
            </w:r>
          </w:p>
        </w:tc>
        <w:tc>
          <w:tcPr>
            <w:tcW w:w="195"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center"/>
          </w:tcPr>
          <w:p>
            <w:pPr>
              <w:pStyle w:val="TableContents"/>
              <w:spacing w:before="0" w:after="283"/>
              <w:rPr/>
            </w:pPr>
            <w:r>
              <w:rPr/>
              <w:t xml:space="preserve">  </w:t>
            </w:r>
          </w:p>
        </w:tc>
        <w:tc>
          <w:tcPr>
            <w:tcW w:w="5639" w:type="dxa"/>
            <w:gridSpan w:val="12"/>
            <w:tcBorders/>
            <w:shd w:fill="FFFFFF" w:val="clear"/>
          </w:tcPr>
          <w:p>
            <w:pPr>
              <w:pStyle w:val="TableContents"/>
              <w:spacing w:before="0" w:after="283"/>
              <w:rPr>
                <w:sz w:val="4"/>
                <w:szCs w:val="4"/>
              </w:rPr>
            </w:pPr>
            <w:r>
              <w:rPr>
                <w:sz w:val="4"/>
                <w:szCs w:val="4"/>
              </w:rPr>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Balance at December 31, 2003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(7.7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39.9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32.2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Reclassification adjustments for settled contracts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13.2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13.2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Changes in fair value of outstanding hedge positions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20.4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20.4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Currency translation adjustment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31.1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31.1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CCEEFF" w:val="clear"/>
            <w:vAlign w:val="bottom"/>
          </w:tcPr>
          <w:p>
            <w:pPr>
              <w:pStyle w:val="TableContents"/>
              <w:spacing w:before="0" w:after="0"/>
              <w:ind w:left="400" w:right="0" w:hanging="200"/>
              <w:jc w:val="left"/>
              <w:rPr>
                <w:sz w:val="17"/>
              </w:rPr>
            </w:pPr>
            <w:r>
              <w:rPr>
                <w:sz w:val="17"/>
              </w:rPr>
              <w:t xml:space="preserve">2004 Activity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33.6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31.1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64.7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Balance at December 31, 2004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25.9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71.0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96.9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Reclassification adjustments for settled contracts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117.4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117.4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Changes in fair value of outstanding hedge positions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(159.9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(159.9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Currency translation adjustment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16.1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16.1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400" w:right="0" w:hanging="200"/>
              <w:jc w:val="left"/>
              <w:rPr>
                <w:sz w:val="17"/>
              </w:rPr>
            </w:pPr>
            <w:r>
              <w:rPr>
                <w:sz w:val="17"/>
              </w:rPr>
              <w:t xml:space="preserve">2005 Activity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(42.5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16.1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(26.4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Balance at December 31, 2005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(16.6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87.1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70.5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Reclassification adjustments for settled contracts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(145.3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(145.3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Changes in fair value of outstanding hedge positions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142.1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142.1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Currency translation adjustment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(17.6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(17.6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CCEEFF" w:val="clear"/>
            <w:vAlign w:val="bottom"/>
          </w:tcPr>
          <w:p>
            <w:pPr>
              <w:pStyle w:val="TableContents"/>
              <w:spacing w:before="0" w:after="0"/>
              <w:ind w:left="400" w:right="0" w:hanging="200"/>
              <w:jc w:val="left"/>
              <w:rPr>
                <w:sz w:val="17"/>
              </w:rPr>
            </w:pPr>
            <w:r>
              <w:rPr>
                <w:sz w:val="17"/>
              </w:rPr>
              <w:t xml:space="preserve">2006 Activity </w:t>
            </w:r>
          </w:p>
        </w:tc>
        <w:tc>
          <w:tcPr>
            <w:tcW w:w="162" w:type="dxa"/>
            <w:tcBorders/>
            <w:shd w:fill="CCEEFF" w:val="clear"/>
            <w:vAlign w:val="bottom"/>
          </w:tcPr>
          <w:p>
            <w:pPr>
              <w:pStyle w:val="TableContents"/>
              <w:spacing w:before="0" w:after="283"/>
              <w:rPr/>
            </w:pPr>
            <w:r>
              <w:rPr/>
              <w:t xml:space="preserve">  </w:t>
            </w:r>
          </w:p>
        </w:tc>
        <w:tc>
          <w:tcPr>
            <w:tcW w:w="33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(3.2 </w:t>
            </w:r>
          </w:p>
        </w:tc>
        <w:tc>
          <w:tcPr>
            <w:tcW w:w="187" w:type="dxa"/>
            <w:tcBorders/>
            <w:shd w:fill="CCEEFF" w:val="clear"/>
            <w:vAlign w:val="bottom"/>
          </w:tcPr>
          <w:p>
            <w:pPr>
              <w:pStyle w:val="TableContents"/>
              <w:spacing w:before="0" w:after="283"/>
              <w:jc w:val="left"/>
              <w:rPr/>
            </w:pPr>
            <w:r>
              <w:rPr/>
              <w:t xml:space="preserve">) </w:t>
            </w:r>
          </w:p>
        </w:tc>
        <w:tc>
          <w:tcPr>
            <w:tcW w:w="218" w:type="dxa"/>
            <w:tcBorders/>
            <w:shd w:fill="CCEEFF" w:val="clear"/>
            <w:vAlign w:val="bottom"/>
          </w:tcPr>
          <w:p>
            <w:pPr>
              <w:pStyle w:val="TableContents"/>
              <w:spacing w:before="0" w:after="283"/>
              <w:rPr/>
            </w:pPr>
            <w:r>
              <w:rPr/>
              <w:t xml:space="preserve">  </w:t>
            </w:r>
          </w:p>
        </w:tc>
        <w:tc>
          <w:tcPr>
            <w:tcW w:w="353" w:type="dxa"/>
            <w:tcBorders/>
            <w:shd w:fill="CCEEFF" w:val="clear"/>
            <w:vAlign w:val="bottom"/>
          </w:tcPr>
          <w:p>
            <w:pPr>
              <w:pStyle w:val="TableContents"/>
              <w:spacing w:before="0" w:after="283"/>
              <w:jc w:val="left"/>
              <w:rPr/>
            </w:pPr>
            <w:r>
              <w:rPr/>
              <w:t xml:space="preserve">  </w:t>
            </w:r>
          </w:p>
        </w:tc>
        <w:tc>
          <w:tcPr>
            <w:tcW w:w="1252" w:type="dxa"/>
            <w:tcBorders/>
            <w:shd w:fill="CCEEFF" w:val="clear"/>
            <w:vAlign w:val="bottom"/>
          </w:tcPr>
          <w:p>
            <w:pPr>
              <w:pStyle w:val="TableContents"/>
              <w:spacing w:before="0" w:after="283"/>
              <w:jc w:val="right"/>
              <w:rPr/>
            </w:pPr>
            <w:r>
              <w:rPr/>
              <w:t xml:space="preserve">(17.6 </w:t>
            </w:r>
          </w:p>
        </w:tc>
        <w:tc>
          <w:tcPr>
            <w:tcW w:w="187" w:type="dxa"/>
            <w:tcBorders/>
            <w:shd w:fill="CCEEFF" w:val="clear"/>
            <w:vAlign w:val="bottom"/>
          </w:tcPr>
          <w:p>
            <w:pPr>
              <w:pStyle w:val="TableContents"/>
              <w:spacing w:before="0" w:after="283"/>
              <w:jc w:val="left"/>
              <w:rPr/>
            </w:pPr>
            <w:r>
              <w:rPr/>
              <w:t xml:space="preserve">) </w:t>
            </w:r>
          </w:p>
        </w:tc>
        <w:tc>
          <w:tcPr>
            <w:tcW w:w="217" w:type="dxa"/>
            <w:tcBorders/>
            <w:shd w:fill="CCEEFF" w:val="clear"/>
            <w:vAlign w:val="bottom"/>
          </w:tcPr>
          <w:p>
            <w:pPr>
              <w:pStyle w:val="TableContents"/>
              <w:spacing w:before="0" w:after="283"/>
              <w:rPr/>
            </w:pPr>
            <w:r>
              <w:rPr/>
              <w:t xml:space="preserve">  </w:t>
            </w:r>
          </w:p>
        </w:tc>
        <w:tc>
          <w:tcPr>
            <w:tcW w:w="225" w:type="dxa"/>
            <w:tcBorders/>
            <w:shd w:fill="CCEEFF" w:val="clear"/>
            <w:vAlign w:val="bottom"/>
          </w:tcPr>
          <w:p>
            <w:pPr>
              <w:pStyle w:val="TableContents"/>
              <w:spacing w:before="0" w:after="283"/>
              <w:jc w:val="left"/>
              <w:rPr/>
            </w:pPr>
            <w:r>
              <w:rPr/>
              <w:t xml:space="preserve">  </w:t>
            </w:r>
          </w:p>
        </w:tc>
        <w:tc>
          <w:tcPr>
            <w:tcW w:w="811" w:type="dxa"/>
            <w:tcBorders/>
            <w:shd w:fill="CCEEFF" w:val="clear"/>
            <w:vAlign w:val="bottom"/>
          </w:tcPr>
          <w:p>
            <w:pPr>
              <w:pStyle w:val="TableContents"/>
              <w:spacing w:before="0" w:after="283"/>
              <w:jc w:val="right"/>
              <w:rPr/>
            </w:pPr>
            <w:r>
              <w:rPr/>
              <w:t xml:space="preserve">(20.8 </w:t>
            </w:r>
          </w:p>
        </w:tc>
        <w:tc>
          <w:tcPr>
            <w:tcW w:w="195"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Balance at December 31, 2006 </w:t>
            </w:r>
          </w:p>
        </w:tc>
        <w:tc>
          <w:tcPr>
            <w:tcW w:w="162" w:type="dxa"/>
            <w:tcBorders/>
            <w:shd w:fill="FFFFFF" w:val="clear"/>
            <w:vAlign w:val="bottom"/>
          </w:tcPr>
          <w:p>
            <w:pPr>
              <w:pStyle w:val="TableContents"/>
              <w:spacing w:before="0" w:after="283"/>
              <w:rPr/>
            </w:pPr>
            <w:r>
              <w:rPr/>
              <w:t xml:space="preserve">  </w:t>
            </w:r>
          </w:p>
        </w:tc>
        <w:tc>
          <w:tcPr>
            <w:tcW w:w="33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(19.8 </w:t>
            </w:r>
          </w:p>
        </w:tc>
        <w:tc>
          <w:tcPr>
            <w:tcW w:w="187" w:type="dxa"/>
            <w:tcBorders/>
            <w:shd w:fill="FFFFFF" w:val="clear"/>
            <w:vAlign w:val="bottom"/>
          </w:tcPr>
          <w:p>
            <w:pPr>
              <w:pStyle w:val="TableContents"/>
              <w:spacing w:before="0" w:after="283"/>
              <w:jc w:val="left"/>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shd w:fill="FFFFFF" w:val="clear"/>
            <w:vAlign w:val="bottom"/>
          </w:tcPr>
          <w:p>
            <w:pPr>
              <w:pStyle w:val="TableContents"/>
              <w:spacing w:before="0" w:after="283"/>
              <w:jc w:val="left"/>
              <w:rPr/>
            </w:pPr>
            <w:r>
              <w:rPr/>
              <w:t xml:space="preserve">$ </w:t>
            </w:r>
          </w:p>
        </w:tc>
        <w:tc>
          <w:tcPr>
            <w:tcW w:w="1252" w:type="dxa"/>
            <w:tcBorders/>
            <w:shd w:fill="FFFFFF" w:val="clear"/>
            <w:vAlign w:val="bottom"/>
          </w:tcPr>
          <w:p>
            <w:pPr>
              <w:pStyle w:val="TableContents"/>
              <w:spacing w:before="0" w:after="283"/>
              <w:jc w:val="right"/>
              <w:rPr/>
            </w:pPr>
            <w:r>
              <w:rPr/>
              <w:t xml:space="preserve">69.5 </w:t>
            </w:r>
          </w:p>
        </w:tc>
        <w:tc>
          <w:tcPr>
            <w:tcW w:w="187" w:type="dxa"/>
            <w:tcBorders/>
            <w:shd w:fill="FFFFFF" w:val="clear"/>
            <w:vAlign w:val="bottom"/>
          </w:tcPr>
          <w:p>
            <w:pPr>
              <w:pStyle w:val="TableContents"/>
              <w:spacing w:before="0" w:after="283"/>
              <w:jc w:val="left"/>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shd w:fill="FFFFFF" w:val="clear"/>
            <w:vAlign w:val="bottom"/>
          </w:tcPr>
          <w:p>
            <w:pPr>
              <w:pStyle w:val="TableContents"/>
              <w:spacing w:before="0" w:after="283"/>
              <w:jc w:val="left"/>
              <w:rPr/>
            </w:pPr>
            <w:r>
              <w:rPr/>
              <w:t xml:space="preserve">$ </w:t>
            </w:r>
          </w:p>
        </w:tc>
        <w:tc>
          <w:tcPr>
            <w:tcW w:w="811" w:type="dxa"/>
            <w:tcBorders/>
            <w:shd w:fill="FFFFFF" w:val="clear"/>
            <w:vAlign w:val="bottom"/>
          </w:tcPr>
          <w:p>
            <w:pPr>
              <w:pStyle w:val="TableContents"/>
              <w:spacing w:before="0" w:after="283"/>
              <w:jc w:val="right"/>
              <w:rPr/>
            </w:pPr>
            <w:r>
              <w:rPr/>
              <w:t xml:space="preserve">49.7 </w:t>
            </w:r>
          </w:p>
        </w:tc>
        <w:tc>
          <w:tcPr>
            <w:tcW w:w="195"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3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3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notes are an integral part of these consolidated financial statements.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bookmarkStart w:id="34" w:name="308"/>
      <w:bookmarkEnd w:id="34"/>
      <w:r>
        <w:rPr>
          <w:rFonts w:ascii="Times New Roman;Times" w:hAnsi="Times New Roman;Times"/>
          <w:b/>
          <w:color w:val="000000"/>
          <w:sz w:val="17"/>
          <w:highlight w:val="white"/>
        </w:rPr>
        <w:t>NOTES TO THE CONSOLIDATED FINANCIAL STATEMENTS</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  Organization and Basis of Presentation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Organization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Delaware limited partnership formed in September 1998. Our operations are conducted directly and indirectly through our primary operating subsidiaries. As used in this Form 10-K, the terms Partnership, Plains, we, us, our, ours and similar terms refer to Plains All American Pipeline, L.P. and its subsidiaries, unless the context indicates otherwise.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engaged in the transportation, storage, terminalling and marketing of crude oil, refined products and liquefied petroleum gas and other natural gas-related petroleum products. We refer to liquefied petroleum gas and other natural gas related petroleum products collectively as LPG. Through our 50% equity ownership in PAA/Vulcan Gas Storage, LLC (PAA/Vulcan), we develop and operate natural gas storage facilities. Prior to the fourth quarter of 2006, we managed our operations through two segments. Due to our growth, especially in the facilities portion of our business (most notably in conjunction with the Pacific acquisition), we have revised the manner in which we internally evaluate our segment performance and decide how to allocate resources to our segments. As a result, we now manage our operations through three operating segments: (i) Transportation, (ii) Facilities, and (iii) Marketing.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 general partner interest is held by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employees are employed by our subsidiary PMC (Nova Scotia) Company, the general partner of Plains Marketing Canada, L.P. Unless the context otherwise requires, we use the term general partner to refer to both Plains AAP, L.P. and Plains All American GP LLC. Plains AAP, L.P. and Plains All American GP LLC are essentially held by seven owners with interests ranging from 54.3% to 1.2%.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Basis of Consolidation and Presentation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accompanying financial statements and related notes present our consolidated financial position as of December 31, 2006 and 2005, and the consolidated results of our operations, cash flows, changes in partners capital, comprehensive income and changes in accumulated other comprehensive income for the years ended December 31, 2006, 2005 and 2004. All significant intercompany transactions have been eliminated. Certain reclassifications have been made to the previous years to conform to the 2006 presentation of the financial statements. These reclassifications do not affect net income. The accompanying consolidated financial statements of PAA include PAA and all of its wholly owned subsidiaries. Investments in 50% or less owned entities over which we have significant influence but not control are accounted for by the equity method. We evaluate our equity investments for impairment in accordance with APB 18: </w:t>
      </w:r>
      <w:r>
        <w:rPr>
          <w:rFonts w:ascii="Times New Roman;Times" w:hAnsi="Times New Roman;Times"/>
          <w:i/>
          <w:color w:val="000000"/>
          <w:sz w:val="17"/>
          <w:highlight w:val="white"/>
        </w:rPr>
        <w:t>The Equity Method of Accounting for Investments in Common Stock.</w:t>
      </w:r>
      <w:r>
        <w:rPr>
          <w:rFonts w:ascii="Times New Roman;Times" w:hAnsi="Times New Roman;Times"/>
          <w:color w:val="000000"/>
          <w:sz w:val="17"/>
          <w:highlight w:val="white"/>
        </w:rPr>
        <w:t xml:space="preserve">  An impairment of an equity investment results when factors indicate that the investments fair value is less than its carrying value and the reduction in value is other than temporary in nature.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Changes in Accounting Principle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Stock-Based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2004, SFAS 123(R) was issued, which amends SFAS No. 123, Accounting for Stock-Based Compensation, and establishes accounting for transactions in which an entity exchanges its equity instruments for goods or services. This statement requires that the cost resulting from such share-based payment transactions be recognized in the financial statements at fair value. Following our general partners adoption of Emerging Issues Task Force Issue No. 04-05, Determining Whether a General Partner, or the General Partners as a Group, Controls a Limited Partnership or Similar Entity When the Limited Partners Have Certain Rights, we are now part of the same consolidated group and thus SFAS 123(R) is applicable to our general partners long-term incentive plan. We adopted SFAS 123(R) on January 1, 2006 under the modified prospective transition method, as defined 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SFAS 123(R), and recognized a cumulative effect of change in accounting principle of approximately $6 million. The cumulative effect adjustment represents a decrease to our LTIP life-to-date accrued expense and related liability under our previous cash-plan, probability-based accounting model and adjusts our aggregate liability to the appropriate fair-value based liability as calculated under a SFAS 123(R) methodology. Our LTIPs are administered by our general partner. We are required to reimburse all costs incurred by our general partner related to LTIP settlements. Our LTIP awards are classified as liabilities under SFAS 123(R) as the awards are primarily paid in cash. Under the modified prospective transition method, we are not required to adjust our prior period financial statements for this change in accounting principle.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i/>
          <w:color w:val="000000"/>
          <w:sz w:val="17"/>
          <w:highlight w:val="white"/>
        </w:rPr>
        <w:t>Linefill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second quarter of 2004, we changed our method of accounting for pipeline linefill in third-party assets. Historically, we viewed pipeline linefill, whether in our assets or third-party assets, as having long-term characteristics rather than characteristics typically associated with the short-term classification of operating inventory. Therefore, previously we did not include linefill barrels in the same average costing calculation as our operating inventory, but instead carried linefill at historical cost. Following this change in accounting principle, the linefill in third-party assets that we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third-party assets not expected to be liquidated within the succeeding twelve months out of Inventory (a current asset), at average cost, and into Inventory in Third-Party Assets (a long-term asset), which is now reflected as a separate line item on the consolidated balance sheet.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change in accounting principle was effective January 1, 2004 and is reflected as a cumulative change in our consolidated statement of operations for the year ended December 31, 2004. The cumulative effect of this change in accounting principle as of January 1, 2004, is a charge of approximately $3.1 million, representing a reduction in Inventory of approximately $1.7 million, a reduction in Pipeline Linefill of approximately $30.3 million and an increase in Inventory in Third-Party Assets of $28.9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2  Summary of Significant Accounting Policies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Use of Estimates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preparation of financial statements in conformity with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we make include: (i) accruals related to purchases and sales, (ii) mark-to-market estimates pursuant to Statement of Financial Accounting Standards (SFAS) No. 133 Accounting For Derivative Instruments and Hedging Activities, as amended (SFAS 133), (iii) contingent liability accruals, (iv) estimated fair value of assets and liabilities acquired and identification of associated goodwill and intangible assets, (v) accruals related to our Long-Term Incentive Plans, (vi) property, plant, and equipment and depreciation expense, and (vii) accruals related to deferred tax assets, valuation allowances and tax liabilities. Although we believe these estimates are reasonable, actual results could differ from these estimates.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Revenue Recognition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Transportation Segment Revenues.</w:t>
      </w:r>
      <w:r>
        <w:rPr>
          <w:rFonts w:ascii="Times New Roman;Times" w:hAnsi="Times New Roman;Times"/>
          <w:color w:val="000000"/>
          <w:sz w:val="17"/>
          <w:highlight w:val="white"/>
        </w:rPr>
        <w:t xml:space="preserve">  Revenues from pipeline tariffs and fees are associated with the transportation of crude oil at a published tariff as well as revenues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All pipeline tariff and fee revenues are based on actual volumes and rates. Pipeline margin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activities primarily consist of the purchase and sale of crude oil shipped on our San Joaquin Valley system using barrel exchanges and buy/sell arrangements. Revenues associated with these activities are recognized at the time title to the product sold transfers to the purchaser, which occurs upon delivery of the product to the purchaser or its designee. All of our pipeline margin activities revenues are based on actual volumes and prices.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Facilities Segment Revenues.</w:t>
      </w:r>
      <w:r>
        <w:rPr>
          <w:rFonts w:ascii="Times New Roman;Times" w:hAnsi="Times New Roman;Times"/>
          <w:color w:val="000000"/>
          <w:sz w:val="17"/>
          <w:highlight w:val="white"/>
        </w:rPr>
        <w:t xml:space="preserve">  Storage and terminalling revenues (which are included within Other Revenues on our Consolidated Statements of Operations) consist of (i) storage fees from actual storage used on a month-to-month basis; (ii) storage fees resulting from short-term and long-term contracts for committed space that may or may not be utilized by the customer in a given month; and (iii) terminal throughput charges to pump to connecting carriers. Revenues on storage are recognized ratably over the term of the contract. Terminal throughput charges are recognized as the crude oil, LPG or refined product exits the terminal and is delivered to the connecting carrier or third-party terminal. Any throughput volumes in transit at the end of a given month are treated as third party inventory and do not incur storage fees. All terminalling and storage revenues are based on actual volumes and rates.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Marketing Segment Revenues.</w:t>
      </w:r>
      <w:r>
        <w:rPr>
          <w:rFonts w:ascii="Times New Roman;Times" w:hAnsi="Times New Roman;Times"/>
          <w:color w:val="000000"/>
          <w:sz w:val="17"/>
          <w:highlight w:val="white"/>
        </w:rPr>
        <w:t xml:space="preserve">  Revenues from sales of crude oil, LPG and other products are recognized at the time title to the product sold transfers to the purchaser, which occurs upon delivery of the product to the purchaser or its designee. Sales of crude oil and LPG consist of outright sales contracts and buy/sell arrangements as well as barrel exchanges. In September 2005, the Emerging Issues Task Force (EITF) issued Issue No. 04-13 (EITF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became effective in reporting periods beginning after March 15,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adopted EITF 04-13 on April 1, 2006.  The adoption of EITF 04-13 resulted in inventory purchases and sales under buy/sell transactions, which historically would have been recorded gross as purchases and sales, to be treated as inventory exchanges in our consolidated statement of operations. In conformity with EITF 04-13, prior periods are not affected, although we have parenthetically disclosed prior period buy/sell transactions in our consolidated statements of operations. The treatment of buy/sell transactions under EITF 04-13 reduces both revenues and purchases on our income statement but does not impact our financial position, net income, or liquidity.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Purchases and Related Costs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Purchases and related costs include: (i) the cost of crude oil and LPG purchased in outright purchases as well as buy/sell arrangements prior to the adoption of EITF 04-13; (ii) third-party transportation and storage, whether by pipeline, truck or barge; (iii) interest cost attributable to borrowings for inventory stored in a contango market; (iv) performance related bonus accruals; and (v) expenses of issuing letters of credit to support these purchases. These purchases are accrued at the time title transfers to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Operating Expenses and General and Administrative Expenses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Operating expenses consist of various field and pipeline operating expenses including fuel and power costs, telecommunications, payroll and benefit costs for truck drivers and pipeline field personnel, maintenance costs, regulatory compliance, environmental remediation, insurance, vehicle leases, and property taxes. General and administrative expenses consist primarily of payroll and benefit costs, certain information system and legal costs, office rent, contract and consultant costs, and audit and tax fees.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Foreign Currency Transactions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Assets and liabilities of subsidiaries with a functional currency other than the U.S. Dollar are translated at period-end rates of exchange, and revenues and expenses are translated at average exchange rates prevailing for each month. The resulting translation adjustments are made directly to a separate component of other comprehensive income in partners capital. Gains and losses from foreign currency transactions (transactions denominated in a currency other than the entitys functional currency) are included in the consolidated statement of operations. The foreign currency transactions resulted in a loss of approximately $4.1 million, a loss of approximately $2.1 million, and a gain of approximately $5.0 million for the years ended December 31, 2006, 2005, and 2004, respectively.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Cash and Cash Equivalents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Cash and cash equivalents consist of all demand deposits and funds invested in highly liquid instruments with original maturities of three months or less and typically exceed federally insured limits. We periodically assess the financial condition of the institutions where these funds are held and believe that the credit risk is minimal.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Accounts Receivable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accounts receivable are primarily from purchasers and shippers of crude oil and, to a lesser extent, purchasers of LPG. The majority of our accounts receivable relate to our marketing activities that can generally be described as high volume and low margin activities, in many cases involving exchanges of crude oil volumes. We make a determination of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December 31, 2006 and 2005, we had received approximately $28.3 million and $52.5 million, respectively, of advance cash payments and prepayments from third parties to mitigate credit risk. In addition, we enter into netting arrangements with our counterparties. These arrangements cover a significant part of our transactions and also serve to mitigate credit risk.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review all outstanding accounts receivable balances on a monthly basis and record a reserve for amounts that we expect will not be fully recovered. Actual balances are not applied against the reserve until substantially all collection efforts have been exhausted. At December 31, 2006 and 2005, substantially all of our net accounts receivable classified as current were less than 60 days past their scheduled invoice date, and our allowance for doubtful accounts receivable (the entire balance of which is classified as current) totaled $0.7 million and $0.8 million, respectively. Although we consider our allowance for doubtful trade accounts receivable to be adequate, there is no assurance that actual amounts will not vary significantly from estimated amounts. Following is a reconciliation of the changes in our allowance for doubtful accounts balances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316"/>
        <w:gridCol w:w="196"/>
        <w:gridCol w:w="209"/>
        <w:gridCol w:w="456"/>
        <w:gridCol w:w="180"/>
        <w:gridCol w:w="275"/>
        <w:gridCol w:w="209"/>
        <w:gridCol w:w="456"/>
        <w:gridCol w:w="180"/>
        <w:gridCol w:w="275"/>
        <w:gridCol w:w="209"/>
        <w:gridCol w:w="407"/>
        <w:gridCol w:w="157"/>
        <w:gridCol w:w="275"/>
        <w:gridCol w:w="157"/>
        <w:gridCol w:w="119"/>
        <w:gridCol w:w="129"/>
      </w:tblGrid>
      <w:tr>
        <w:trPr/>
        <w:tc>
          <w:tcPr>
            <w:tcW w:w="6316" w:type="dxa"/>
            <w:tcBorders/>
            <w:shd w:fill="FFFFFF" w:val="clear"/>
            <w:vAlign w:val="bottom"/>
          </w:tcPr>
          <w:p>
            <w:pPr>
              <w:pStyle w:val="TableContents"/>
              <w:spacing w:before="0" w:after="283"/>
              <w:rPr/>
            </w:pPr>
            <w:r>
              <w:rPr/>
              <w:t> </w:t>
            </w:r>
          </w:p>
        </w:tc>
        <w:tc>
          <w:tcPr>
            <w:tcW w:w="196"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right"/>
              <w:rPr/>
            </w:pPr>
            <w:r>
              <w:rPr/>
              <w:t> </w:t>
            </w:r>
          </w:p>
        </w:tc>
        <w:tc>
          <w:tcPr>
            <w:tcW w:w="45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275"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right"/>
              <w:rPr/>
            </w:pPr>
            <w:r>
              <w:rPr/>
              <w:t> </w:t>
            </w:r>
          </w:p>
        </w:tc>
        <w:tc>
          <w:tcPr>
            <w:tcW w:w="456"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c>
          <w:tcPr>
            <w:tcW w:w="275"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right"/>
              <w:rPr/>
            </w:pPr>
            <w:r>
              <w:rPr/>
              <w:t> </w:t>
            </w:r>
          </w:p>
        </w:tc>
        <w:tc>
          <w:tcPr>
            <w:tcW w:w="407"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75"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6316" w:type="dxa"/>
            <w:tcBorders/>
            <w:shd w:fill="FFFFFF" w:val="clear"/>
            <w:vAlign w:val="bottom"/>
          </w:tcPr>
          <w:p>
            <w:pPr>
              <w:pStyle w:val="TableContents"/>
              <w:spacing w:before="0" w:after="283"/>
              <w:jc w:val="center"/>
              <w:rPr/>
            </w:pP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2856"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276" w:type="dxa"/>
            <w:gridSpan w:val="2"/>
            <w:tcBorders/>
            <w:shd w:fill="FFFFFF" w:val="clear"/>
            <w:vAlign w:val="bottom"/>
          </w:tcPr>
          <w:p>
            <w:pPr>
              <w:pStyle w:val="TableContents"/>
              <w:spacing w:before="0" w:after="283"/>
              <w:jc w:val="center"/>
              <w:rPr/>
            </w:pPr>
            <w:r>
              <w:rPr/>
              <w:t xml:space="preserve">  </w:t>
            </w:r>
          </w:p>
        </w:tc>
        <w:tc>
          <w:tcPr>
            <w:tcW w:w="129" w:type="dxa"/>
            <w:tcBorders/>
            <w:shd w:fill="FFFFFF" w:val="clear"/>
            <w:vAlign w:val="bottom"/>
          </w:tcPr>
          <w:p>
            <w:pPr>
              <w:pStyle w:val="TableContents"/>
              <w:spacing w:before="0" w:after="283"/>
              <w:jc w:val="center"/>
              <w:rPr/>
            </w:pPr>
            <w:r>
              <w:rPr/>
              <w:t xml:space="preserve">  </w:t>
            </w:r>
          </w:p>
        </w:tc>
      </w:tr>
      <w:tr>
        <w:trPr/>
        <w:tc>
          <w:tcPr>
            <w:tcW w:w="6316" w:type="dxa"/>
            <w:tcBorders/>
            <w:shd w:fill="FFFFFF" w:val="clear"/>
            <w:vAlign w:val="bottom"/>
          </w:tcPr>
          <w:p>
            <w:pPr>
              <w:pStyle w:val="TableContents"/>
              <w:spacing w:before="0" w:after="283"/>
              <w:jc w:val="center"/>
              <w:rPr/>
            </w:pPr>
            <w:r>
              <w:rPr/>
              <w:t xml:space="preserve">  </w:t>
            </w:r>
          </w:p>
        </w:tc>
        <w:tc>
          <w:tcPr>
            <w:tcW w:w="196" w:type="dxa"/>
            <w:tcBorders/>
            <w:shd w:fill="FFFFFF" w:val="clear"/>
            <w:vAlign w:val="bottom"/>
          </w:tcPr>
          <w:p>
            <w:pPr>
              <w:pStyle w:val="TableContents"/>
              <w:spacing w:before="0" w:after="283"/>
              <w:jc w:val="center"/>
              <w:rPr/>
            </w:pPr>
            <w:r>
              <w:rPr/>
              <w:t xml:space="preserve">  </w:t>
            </w:r>
          </w:p>
        </w:tc>
        <w:tc>
          <w:tcPr>
            <w:tcW w:w="6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6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6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75" w:type="dxa"/>
            <w:tcBorders/>
            <w:shd w:fill="FFFFFF" w:val="clear"/>
            <w:vAlign w:val="bottom"/>
          </w:tcPr>
          <w:p>
            <w:pPr>
              <w:pStyle w:val="TableContents"/>
              <w:spacing w:before="0" w:after="283"/>
              <w:jc w:val="center"/>
              <w:rPr/>
            </w:pPr>
            <w:r>
              <w:rPr/>
              <w:t xml:space="preserve">  </w:t>
            </w:r>
          </w:p>
        </w:tc>
        <w:tc>
          <w:tcPr>
            <w:tcW w:w="276" w:type="dxa"/>
            <w:gridSpan w:val="2"/>
            <w:tcBorders/>
            <w:shd w:fill="FFFFFF" w:val="clear"/>
            <w:vAlign w:val="bottom"/>
          </w:tcPr>
          <w:p>
            <w:pPr>
              <w:pStyle w:val="TableContents"/>
              <w:spacing w:before="0" w:after="283"/>
              <w:jc w:val="center"/>
              <w:rPr/>
            </w:pPr>
            <w:r>
              <w:rPr/>
              <w:t xml:space="preserve">  </w:t>
            </w:r>
          </w:p>
        </w:tc>
        <w:tc>
          <w:tcPr>
            <w:tcW w:w="129" w:type="dxa"/>
            <w:tcBorders/>
            <w:shd w:fill="FFFFFF" w:val="clear"/>
            <w:vAlign w:val="bottom"/>
          </w:tcPr>
          <w:p>
            <w:pPr>
              <w:pStyle w:val="TableContents"/>
              <w:spacing w:before="0" w:after="283"/>
              <w:jc w:val="center"/>
              <w:rPr/>
            </w:pPr>
            <w:r>
              <w:rPr/>
              <w:t xml:space="preserve">  </w:t>
            </w:r>
          </w:p>
        </w:tc>
      </w:tr>
      <w:tr>
        <w:trPr/>
        <w:tc>
          <w:tcPr>
            <w:tcW w:w="6316" w:type="dxa"/>
            <w:tcBorders/>
            <w:shd w:fill="FFFFFF" w:val="clear"/>
            <w:vAlign w:val="center"/>
          </w:tcPr>
          <w:p>
            <w:pPr>
              <w:pStyle w:val="TableContents"/>
              <w:spacing w:before="0" w:after="283"/>
              <w:rPr/>
            </w:pPr>
            <w:r>
              <w:rPr/>
              <w:t xml:space="preserve">  </w:t>
            </w:r>
          </w:p>
        </w:tc>
        <w:tc>
          <w:tcPr>
            <w:tcW w:w="3889" w:type="dxa"/>
            <w:gridSpan w:val="16"/>
            <w:tcBorders/>
            <w:shd w:fill="FFFFFF" w:val="clear"/>
          </w:tcPr>
          <w:p>
            <w:pPr>
              <w:pStyle w:val="TableContents"/>
              <w:spacing w:before="0" w:after="283"/>
              <w:rPr>
                <w:sz w:val="4"/>
                <w:szCs w:val="4"/>
              </w:rPr>
            </w:pPr>
            <w:r>
              <w:rPr>
                <w:sz w:val="4"/>
                <w:szCs w:val="4"/>
              </w:rPr>
            </w:r>
          </w:p>
        </w:tc>
      </w:tr>
      <w:tr>
        <w:trPr/>
        <w:tc>
          <w:tcPr>
            <w:tcW w:w="6316" w:type="dxa"/>
            <w:tcBorders/>
            <w:shd w:fill="CCEEFF" w:val="clear"/>
            <w:vAlign w:val="bottom"/>
          </w:tcPr>
          <w:p>
            <w:pPr>
              <w:pStyle w:val="TableContents"/>
              <w:spacing w:before="0" w:after="0"/>
              <w:ind w:left="200" w:right="0" w:hanging="200"/>
              <w:jc w:val="left"/>
              <w:rPr>
                <w:sz w:val="17"/>
              </w:rPr>
            </w:pPr>
            <w:r>
              <w:rPr>
                <w:sz w:val="17"/>
              </w:rPr>
              <w:t xml:space="preserve">Balance at beginning of year </w:t>
            </w:r>
          </w:p>
        </w:tc>
        <w:tc>
          <w:tcPr>
            <w:tcW w:w="196"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56" w:type="dxa"/>
            <w:tcBorders/>
            <w:shd w:fill="CCEEFF" w:val="clear"/>
            <w:vAlign w:val="bottom"/>
          </w:tcPr>
          <w:p>
            <w:pPr>
              <w:pStyle w:val="TableContents"/>
              <w:spacing w:before="0" w:after="283"/>
              <w:jc w:val="right"/>
              <w:rPr/>
            </w:pPr>
            <w:r>
              <w:rPr/>
              <w:t xml:space="preserve">0.8 </w:t>
            </w:r>
          </w:p>
        </w:tc>
        <w:tc>
          <w:tcPr>
            <w:tcW w:w="180"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56" w:type="dxa"/>
            <w:tcBorders/>
            <w:shd w:fill="CCEEFF" w:val="clear"/>
            <w:vAlign w:val="bottom"/>
          </w:tcPr>
          <w:p>
            <w:pPr>
              <w:pStyle w:val="TableContents"/>
              <w:spacing w:before="0" w:after="283"/>
              <w:jc w:val="right"/>
              <w:rPr/>
            </w:pPr>
            <w:r>
              <w:rPr/>
              <w:t xml:space="preserve">0.6 </w:t>
            </w:r>
          </w:p>
        </w:tc>
        <w:tc>
          <w:tcPr>
            <w:tcW w:w="180"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07" w:type="dxa"/>
            <w:tcBorders/>
            <w:shd w:fill="CCEEFF" w:val="clear"/>
            <w:vAlign w:val="bottom"/>
          </w:tcPr>
          <w:p>
            <w:pPr>
              <w:pStyle w:val="TableContents"/>
              <w:spacing w:before="0" w:after="283"/>
              <w:jc w:val="right"/>
              <w:rPr/>
            </w:pPr>
            <w:r>
              <w:rPr/>
              <w:t xml:space="preserve">0.2 </w:t>
            </w:r>
          </w:p>
        </w:tc>
        <w:tc>
          <w:tcPr>
            <w:tcW w:w="157"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129" w:type="dxa"/>
            <w:tcBorders/>
            <w:shd w:fill="CCEEFF" w:val="clear"/>
            <w:vAlign w:val="bottom"/>
          </w:tcPr>
          <w:p>
            <w:pPr>
              <w:pStyle w:val="TableContents"/>
              <w:spacing w:before="0" w:after="283"/>
              <w:jc w:val="left"/>
              <w:rPr/>
            </w:pPr>
            <w:r>
              <w:rPr/>
              <w:t xml:space="preserve">  </w:t>
            </w:r>
          </w:p>
        </w:tc>
      </w:tr>
      <w:tr>
        <w:trPr/>
        <w:tc>
          <w:tcPr>
            <w:tcW w:w="6316" w:type="dxa"/>
            <w:tcBorders/>
            <w:shd w:fill="FFFFFF" w:val="clear"/>
            <w:vAlign w:val="bottom"/>
          </w:tcPr>
          <w:p>
            <w:pPr>
              <w:pStyle w:val="TableContents"/>
              <w:spacing w:before="0" w:after="0"/>
              <w:ind w:left="200" w:right="0" w:hanging="200"/>
              <w:jc w:val="left"/>
              <w:rPr>
                <w:sz w:val="17"/>
              </w:rPr>
            </w:pPr>
            <w:r>
              <w:rPr>
                <w:sz w:val="17"/>
              </w:rPr>
              <w:t xml:space="preserve">Applied to accounts receivable balances </w:t>
            </w:r>
          </w:p>
        </w:tc>
        <w:tc>
          <w:tcPr>
            <w:tcW w:w="19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56" w:type="dxa"/>
            <w:tcBorders/>
            <w:shd w:fill="FFFFFF" w:val="clear"/>
            <w:vAlign w:val="bottom"/>
          </w:tcPr>
          <w:p>
            <w:pPr>
              <w:pStyle w:val="TableContents"/>
              <w:spacing w:before="0" w:after="283"/>
              <w:jc w:val="right"/>
              <w:rPr/>
            </w:pPr>
            <w:r>
              <w:rPr/>
              <w:t xml:space="preserve">(0.3 </w:t>
            </w:r>
          </w:p>
        </w:tc>
        <w:tc>
          <w:tcPr>
            <w:tcW w:w="180"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56" w:type="dxa"/>
            <w:tcBorders/>
            <w:shd w:fill="FFFFFF" w:val="clear"/>
            <w:vAlign w:val="bottom"/>
          </w:tcPr>
          <w:p>
            <w:pPr>
              <w:pStyle w:val="TableContents"/>
              <w:spacing w:before="0" w:after="283"/>
              <w:jc w:val="right"/>
              <w:rPr/>
            </w:pPr>
            <w:r>
              <w:rPr/>
              <w:t xml:space="preserve">(0.7 </w:t>
            </w:r>
          </w:p>
        </w:tc>
        <w:tc>
          <w:tcPr>
            <w:tcW w:w="180"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07"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129" w:type="dxa"/>
            <w:tcBorders/>
            <w:shd w:fill="FFFFFF" w:val="clear"/>
            <w:vAlign w:val="bottom"/>
          </w:tcPr>
          <w:p>
            <w:pPr>
              <w:pStyle w:val="TableContents"/>
              <w:spacing w:before="0" w:after="283"/>
              <w:jc w:val="left"/>
              <w:rPr/>
            </w:pPr>
            <w:r>
              <w:rPr/>
              <w:t xml:space="preserve">  </w:t>
            </w:r>
          </w:p>
        </w:tc>
      </w:tr>
      <w:tr>
        <w:trPr/>
        <w:tc>
          <w:tcPr>
            <w:tcW w:w="6316" w:type="dxa"/>
            <w:tcBorders/>
            <w:shd w:fill="CCEEFF" w:val="clear"/>
            <w:vAlign w:val="bottom"/>
          </w:tcPr>
          <w:p>
            <w:pPr>
              <w:pStyle w:val="TableContents"/>
              <w:spacing w:before="0" w:after="0"/>
              <w:ind w:left="200" w:right="0" w:hanging="200"/>
              <w:jc w:val="left"/>
              <w:rPr>
                <w:sz w:val="17"/>
              </w:rPr>
            </w:pPr>
            <w:r>
              <w:rPr>
                <w:sz w:val="17"/>
              </w:rPr>
              <w:t xml:space="preserve">Charged to expense </w:t>
            </w:r>
          </w:p>
        </w:tc>
        <w:tc>
          <w:tcPr>
            <w:tcW w:w="196"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56" w:type="dxa"/>
            <w:tcBorders/>
            <w:shd w:fill="CCEEFF" w:val="clear"/>
            <w:vAlign w:val="bottom"/>
          </w:tcPr>
          <w:p>
            <w:pPr>
              <w:pStyle w:val="TableContents"/>
              <w:spacing w:before="0" w:after="283"/>
              <w:jc w:val="right"/>
              <w:rPr/>
            </w:pPr>
            <w:r>
              <w:rPr/>
              <w:t xml:space="preserve">0.2 </w:t>
            </w:r>
          </w:p>
        </w:tc>
        <w:tc>
          <w:tcPr>
            <w:tcW w:w="180"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56" w:type="dxa"/>
            <w:tcBorders/>
            <w:shd w:fill="CCEEFF" w:val="clear"/>
            <w:vAlign w:val="bottom"/>
          </w:tcPr>
          <w:p>
            <w:pPr>
              <w:pStyle w:val="TableContents"/>
              <w:spacing w:before="0" w:after="283"/>
              <w:jc w:val="right"/>
              <w:rPr/>
            </w:pPr>
            <w:r>
              <w:rPr/>
              <w:t xml:space="preserve">0.9 </w:t>
            </w:r>
          </w:p>
        </w:tc>
        <w:tc>
          <w:tcPr>
            <w:tcW w:w="180"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407" w:type="dxa"/>
            <w:tcBorders/>
            <w:shd w:fill="CCEEFF" w:val="clear"/>
            <w:vAlign w:val="bottom"/>
          </w:tcPr>
          <w:p>
            <w:pPr>
              <w:pStyle w:val="TableContents"/>
              <w:spacing w:before="0" w:after="283"/>
              <w:jc w:val="right"/>
              <w:rPr/>
            </w:pPr>
            <w:r>
              <w:rPr/>
              <w:t xml:space="preserve">0.4 </w:t>
            </w:r>
          </w:p>
        </w:tc>
        <w:tc>
          <w:tcPr>
            <w:tcW w:w="157" w:type="dxa"/>
            <w:tcBorders/>
            <w:shd w:fill="CCEEFF" w:val="clear"/>
            <w:vAlign w:val="bottom"/>
          </w:tcPr>
          <w:p>
            <w:pPr>
              <w:pStyle w:val="TableContents"/>
              <w:spacing w:before="0" w:after="283"/>
              <w:jc w:val="left"/>
              <w:rPr/>
            </w:pPr>
            <w:r>
              <w:rPr/>
              <w:t xml:space="preserve">  </w:t>
            </w:r>
          </w:p>
        </w:tc>
        <w:tc>
          <w:tcPr>
            <w:tcW w:w="275" w:type="dxa"/>
            <w:tcBorders/>
            <w:shd w:fill="CCEEFF" w:val="clear"/>
            <w:vAlign w:val="bottom"/>
          </w:tcPr>
          <w:p>
            <w:pPr>
              <w:pStyle w:val="TableContents"/>
              <w:spacing w:before="0" w:after="283"/>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19" w:type="dxa"/>
            <w:tcBorders/>
            <w:shd w:fill="CCEEFF" w:val="clear"/>
            <w:vAlign w:val="bottom"/>
          </w:tcPr>
          <w:p>
            <w:pPr>
              <w:pStyle w:val="TableContents"/>
              <w:spacing w:before="0" w:after="283"/>
              <w:jc w:val="right"/>
              <w:rPr/>
            </w:pPr>
            <w:r>
              <w:rPr/>
              <w:t xml:space="preserve">  </w:t>
            </w:r>
          </w:p>
        </w:tc>
        <w:tc>
          <w:tcPr>
            <w:tcW w:w="129" w:type="dxa"/>
            <w:tcBorders/>
            <w:shd w:fill="CCEEFF" w:val="clear"/>
            <w:vAlign w:val="bottom"/>
          </w:tcPr>
          <w:p>
            <w:pPr>
              <w:pStyle w:val="TableContents"/>
              <w:spacing w:before="0" w:after="283"/>
              <w:jc w:val="left"/>
              <w:rPr/>
            </w:pPr>
            <w:r>
              <w:rPr/>
              <w:t xml:space="preserve">  </w:t>
            </w:r>
          </w:p>
        </w:tc>
      </w:tr>
      <w:tr>
        <w:trPr/>
        <w:tc>
          <w:tcPr>
            <w:tcW w:w="6316"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r>
      <w:tr>
        <w:trPr/>
        <w:tc>
          <w:tcPr>
            <w:tcW w:w="6316" w:type="dxa"/>
            <w:tcBorders/>
            <w:shd w:fill="FFFFFF" w:val="clear"/>
            <w:vAlign w:val="bottom"/>
          </w:tcPr>
          <w:p>
            <w:pPr>
              <w:pStyle w:val="TableContents"/>
              <w:spacing w:before="0" w:after="0"/>
              <w:ind w:left="200" w:right="0" w:hanging="200"/>
              <w:jc w:val="left"/>
              <w:rPr>
                <w:sz w:val="17"/>
              </w:rPr>
            </w:pPr>
            <w:r>
              <w:rPr>
                <w:sz w:val="17"/>
              </w:rPr>
              <w:t xml:space="preserve">Balance at end of year </w:t>
            </w:r>
          </w:p>
        </w:tc>
        <w:tc>
          <w:tcPr>
            <w:tcW w:w="196"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56" w:type="dxa"/>
            <w:tcBorders/>
            <w:shd w:fill="FFFFFF" w:val="clear"/>
            <w:vAlign w:val="bottom"/>
          </w:tcPr>
          <w:p>
            <w:pPr>
              <w:pStyle w:val="TableContents"/>
              <w:spacing w:before="0" w:after="283"/>
              <w:jc w:val="right"/>
              <w:rPr/>
            </w:pPr>
            <w:r>
              <w:rPr/>
              <w:t xml:space="preserve">0.7 </w:t>
            </w:r>
          </w:p>
        </w:tc>
        <w:tc>
          <w:tcPr>
            <w:tcW w:w="180"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56" w:type="dxa"/>
            <w:tcBorders/>
            <w:shd w:fill="FFFFFF" w:val="clear"/>
            <w:vAlign w:val="bottom"/>
          </w:tcPr>
          <w:p>
            <w:pPr>
              <w:pStyle w:val="TableContents"/>
              <w:spacing w:before="0" w:after="283"/>
              <w:jc w:val="right"/>
              <w:rPr/>
            </w:pPr>
            <w:r>
              <w:rPr/>
              <w:t xml:space="preserve">0.8 </w:t>
            </w:r>
          </w:p>
        </w:tc>
        <w:tc>
          <w:tcPr>
            <w:tcW w:w="180"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407" w:type="dxa"/>
            <w:tcBorders/>
            <w:shd w:fill="FFFFFF" w:val="clear"/>
            <w:vAlign w:val="bottom"/>
          </w:tcPr>
          <w:p>
            <w:pPr>
              <w:pStyle w:val="TableContents"/>
              <w:spacing w:before="0" w:after="283"/>
              <w:jc w:val="right"/>
              <w:rPr/>
            </w:pPr>
            <w:r>
              <w:rPr/>
              <w:t xml:space="preserve">0.6 </w:t>
            </w:r>
          </w:p>
        </w:tc>
        <w:tc>
          <w:tcPr>
            <w:tcW w:w="157" w:type="dxa"/>
            <w:tcBorders/>
            <w:shd w:fill="FFFFFF" w:val="clear"/>
            <w:vAlign w:val="bottom"/>
          </w:tcPr>
          <w:p>
            <w:pPr>
              <w:pStyle w:val="TableContents"/>
              <w:spacing w:before="0" w:after="283"/>
              <w:jc w:val="left"/>
              <w:rPr/>
            </w:pPr>
            <w:r>
              <w:rPr/>
              <w:t xml:space="preserve">  </w:t>
            </w:r>
          </w:p>
        </w:tc>
        <w:tc>
          <w:tcPr>
            <w:tcW w:w="275"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19" w:type="dxa"/>
            <w:tcBorders/>
            <w:shd w:fill="FFFFFF" w:val="clear"/>
            <w:vAlign w:val="bottom"/>
          </w:tcPr>
          <w:p>
            <w:pPr>
              <w:pStyle w:val="TableContents"/>
              <w:spacing w:before="0" w:after="283"/>
              <w:jc w:val="right"/>
              <w:rPr/>
            </w:pPr>
            <w:r>
              <w:rPr/>
              <w:t xml:space="preserve">  </w:t>
            </w:r>
          </w:p>
        </w:tc>
        <w:tc>
          <w:tcPr>
            <w:tcW w:w="129" w:type="dxa"/>
            <w:tcBorders/>
            <w:shd w:fill="FFFFFF" w:val="clear"/>
            <w:vAlign w:val="bottom"/>
          </w:tcPr>
          <w:p>
            <w:pPr>
              <w:pStyle w:val="TableContents"/>
              <w:spacing w:before="0" w:after="283"/>
              <w:jc w:val="left"/>
              <w:rPr/>
            </w:pPr>
            <w:r>
              <w:rPr/>
              <w:t xml:space="preserve">  </w:t>
            </w:r>
          </w:p>
        </w:tc>
      </w:tr>
      <w:tr>
        <w:trPr/>
        <w:tc>
          <w:tcPr>
            <w:tcW w:w="6316" w:type="dxa"/>
            <w:tcBorders/>
            <w:shd w:fill="FFFFFF" w:val="clear"/>
            <w:vAlign w:val="bottom"/>
          </w:tcPr>
          <w:p>
            <w:pPr>
              <w:pStyle w:val="TableContents"/>
              <w:spacing w:before="0" w:after="283"/>
              <w:rPr/>
            </w:pPr>
            <w:r>
              <w:rPr/>
              <w:t xml:space="preserve">  </w:t>
            </w:r>
          </w:p>
        </w:tc>
        <w:tc>
          <w:tcPr>
            <w:tcW w:w="196" w:type="dxa"/>
            <w:tcBorders/>
            <w:shd w:fill="FFFFFF" w:val="clear"/>
            <w:vAlign w:val="bottom"/>
          </w:tcPr>
          <w:p>
            <w:pPr>
              <w:pStyle w:val="TableContents"/>
              <w:spacing w:before="0" w:after="283"/>
              <w:rPr/>
            </w:pPr>
            <w:r>
              <w:rPr/>
              <w:t xml:space="preserve">  </w:t>
            </w:r>
          </w:p>
        </w:tc>
        <w:tc>
          <w:tcPr>
            <w:tcW w:w="2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5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5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2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Inventory and Pipeline Linefill</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Inventory primarily consists of crude oil, refined products and LPG in pipelines, storage tanks and rail cars that is valued at the lower of cost or market, with cost determined using an average cost method. During 2006, we recorded a $5.9 million noncash charge related to the writedown of our crude oil and LPG inventory due to declines in oil prices during the third and fourth quarters of 2006. During the fourth quarter of 2004, we recorded a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$2.0 million noncash charge related to the writedown of our LPG inventory. There was no such charge in 2005. Linefill and minimum working inventory requirements in assets we own are recorded at historical cost and consist of crude oil and LPG used to pack the pipeline such that when an incremental barrel enters a pipeline it forces a barrel out at another location, as well as the minimum amount of crude oil necessary to operate our storage and terminalling facilities.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Minimum working inventory requirements in third-party assets are included in Inventory (a current asset) in determining the average cost of operating inventory and applying the lower of cost or market analysis. At the end of each period, we reclassify the inventory in third party assets not expected to be liquidated within the succeeding twelve months out of Inventory, at average cost, and into Inventory in Third-Party Assets (a long-term asset), which is reflected as a separate line item within other assets on the consolidated balance sheet.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December 31, 2006 and 2005, inventory and linefill consisted of: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875"/>
        <w:gridCol w:w="121"/>
        <w:gridCol w:w="138"/>
        <w:gridCol w:w="741"/>
        <w:gridCol w:w="138"/>
        <w:gridCol w:w="157"/>
        <w:gridCol w:w="207"/>
        <w:gridCol w:w="863"/>
        <w:gridCol w:w="138"/>
        <w:gridCol w:w="157"/>
        <w:gridCol w:w="207"/>
        <w:gridCol w:w="638"/>
        <w:gridCol w:w="138"/>
        <w:gridCol w:w="157"/>
        <w:gridCol w:w="138"/>
        <w:gridCol w:w="741"/>
        <w:gridCol w:w="138"/>
        <w:gridCol w:w="157"/>
        <w:gridCol w:w="207"/>
        <w:gridCol w:w="863"/>
        <w:gridCol w:w="138"/>
        <w:gridCol w:w="157"/>
        <w:gridCol w:w="207"/>
        <w:gridCol w:w="638"/>
        <w:gridCol w:w="146"/>
      </w:tblGrid>
      <w:tr>
        <w:trPr/>
        <w:tc>
          <w:tcPr>
            <w:tcW w:w="2875" w:type="dxa"/>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right"/>
              <w:rPr/>
            </w:pPr>
            <w:r>
              <w:rPr/>
              <w:t> </w:t>
            </w:r>
          </w:p>
        </w:tc>
        <w:tc>
          <w:tcPr>
            <w:tcW w:w="741"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863"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638"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jc w:val="right"/>
              <w:rPr/>
            </w:pPr>
            <w:r>
              <w:rPr/>
              <w:t> </w:t>
            </w:r>
          </w:p>
        </w:tc>
        <w:tc>
          <w:tcPr>
            <w:tcW w:w="741"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863"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638"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r>
      <w:tr>
        <w:trPr/>
        <w:tc>
          <w:tcPr>
            <w:tcW w:w="2875" w:type="dxa"/>
            <w:tcBorders/>
            <w:shd w:fill="FFFFFF" w:val="clear"/>
            <w:vAlign w:val="bottom"/>
          </w:tcPr>
          <w:p>
            <w:pPr>
              <w:pStyle w:val="TableContents"/>
              <w:spacing w:before="0" w:after="283"/>
              <w:jc w:val="center"/>
              <w:rPr/>
            </w:pP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3384"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3384"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46" w:type="dxa"/>
            <w:tcBorders/>
            <w:shd w:fill="FFFFFF" w:val="clear"/>
            <w:vAlign w:val="bottom"/>
          </w:tcPr>
          <w:p>
            <w:pPr>
              <w:pStyle w:val="TableContents"/>
              <w:spacing w:before="0" w:after="283"/>
              <w:jc w:val="center"/>
              <w:rPr/>
            </w:pPr>
            <w:r>
              <w:rPr/>
              <w:t xml:space="preserve">  </w:t>
            </w:r>
          </w:p>
        </w:tc>
      </w:tr>
      <w:tr>
        <w:trPr/>
        <w:tc>
          <w:tcPr>
            <w:tcW w:w="2875" w:type="dxa"/>
            <w:tcBorders/>
            <w:shd w:fill="FFFFFF" w:val="clear"/>
            <w:vAlign w:val="bottom"/>
          </w:tcPr>
          <w:p>
            <w:pPr>
              <w:pStyle w:val="TableContents"/>
              <w:spacing w:before="0" w:after="283"/>
              <w:jc w:val="center"/>
              <w:rPr/>
            </w:pP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879"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1070"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45" w:type="dxa"/>
            <w:gridSpan w:val="2"/>
            <w:tcBorders/>
            <w:shd w:fill="FFFFFF" w:val="clear"/>
            <w:vAlign w:val="bottom"/>
          </w:tcPr>
          <w:p>
            <w:pPr>
              <w:pStyle w:val="TableContents"/>
              <w:spacing w:before="0" w:after="283"/>
              <w:jc w:val="center"/>
              <w:rPr>
                <w:b/>
              </w:rPr>
            </w:pPr>
            <w:r>
              <w:rPr>
                <w:b/>
              </w:rPr>
              <w:t>Dollar/</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79"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1070" w:type="dxa"/>
            <w:gridSpan w:val="2"/>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45" w:type="dxa"/>
            <w:gridSpan w:val="2"/>
            <w:tcBorders/>
            <w:shd w:fill="FFFFFF" w:val="clear"/>
            <w:vAlign w:val="bottom"/>
          </w:tcPr>
          <w:p>
            <w:pPr>
              <w:pStyle w:val="TableContents"/>
              <w:spacing w:before="0" w:after="283"/>
              <w:jc w:val="center"/>
              <w:rPr>
                <w:b/>
              </w:rPr>
            </w:pPr>
            <w:r>
              <w:rPr>
                <w:b/>
              </w:rPr>
              <w:t>Dollar/</w:t>
            </w:r>
          </w:p>
        </w:tc>
        <w:tc>
          <w:tcPr>
            <w:tcW w:w="146" w:type="dxa"/>
            <w:tcBorders/>
            <w:shd w:fill="FFFFFF" w:val="clear"/>
            <w:vAlign w:val="bottom"/>
          </w:tcPr>
          <w:p>
            <w:pPr>
              <w:pStyle w:val="TableContents"/>
              <w:spacing w:before="0" w:after="283"/>
              <w:jc w:val="center"/>
              <w:rPr/>
            </w:pPr>
            <w:r>
              <w:rPr/>
              <w:t xml:space="preserve">  </w:t>
            </w:r>
          </w:p>
        </w:tc>
      </w:tr>
      <w:tr>
        <w:trPr/>
        <w:tc>
          <w:tcPr>
            <w:tcW w:w="2875" w:type="dxa"/>
            <w:tcBorders/>
            <w:shd w:fill="FFFFFF" w:val="clear"/>
            <w:vAlign w:val="bottom"/>
          </w:tcPr>
          <w:p>
            <w:pPr>
              <w:pStyle w:val="TableContents"/>
              <w:spacing w:before="0" w:after="283"/>
              <w:jc w:val="center"/>
              <w:rPr/>
            </w:pP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8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Barrels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10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Dollars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barrel</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Barrels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10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Dollars</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8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barrel</w:t>
            </w:r>
            <w:r>
              <w:rPr/>
              <w:t xml:space="preserve"> </w:t>
            </w:r>
          </w:p>
        </w:tc>
        <w:tc>
          <w:tcPr>
            <w:tcW w:w="146" w:type="dxa"/>
            <w:tcBorders/>
            <w:shd w:fill="FFFFFF" w:val="clear"/>
            <w:vAlign w:val="bottom"/>
          </w:tcPr>
          <w:p>
            <w:pPr>
              <w:pStyle w:val="TableContents"/>
              <w:spacing w:before="0" w:after="283"/>
              <w:jc w:val="center"/>
              <w:rPr/>
            </w:pPr>
            <w:r>
              <w:rPr/>
              <w:t xml:space="preserve">  </w:t>
            </w:r>
          </w:p>
        </w:tc>
      </w:tr>
      <w:tr>
        <w:trPr/>
        <w:tc>
          <w:tcPr>
            <w:tcW w:w="2875" w:type="dxa"/>
            <w:tcBorders/>
            <w:shd w:fill="FFFFFF" w:val="clear"/>
            <w:vAlign w:val="bottom"/>
          </w:tcPr>
          <w:p>
            <w:pPr>
              <w:pStyle w:val="TableContents"/>
              <w:spacing w:before="0" w:after="283"/>
              <w:jc w:val="center"/>
              <w:rPr/>
            </w:pPr>
            <w:r>
              <w:rPr/>
              <w:t xml:space="preserve">  </w:t>
            </w:r>
          </w:p>
        </w:tc>
        <w:tc>
          <w:tcPr>
            <w:tcW w:w="121" w:type="dxa"/>
            <w:tcBorders/>
            <w:shd w:fill="FFFFFF" w:val="clear"/>
            <w:vAlign w:val="bottom"/>
          </w:tcPr>
          <w:p>
            <w:pPr>
              <w:pStyle w:val="TableContents"/>
              <w:spacing w:before="0" w:after="283"/>
              <w:jc w:val="center"/>
              <w:rPr/>
            </w:pPr>
            <w:r>
              <w:rPr/>
              <w:t xml:space="preserve">  </w:t>
            </w:r>
          </w:p>
        </w:tc>
        <w:tc>
          <w:tcPr>
            <w:tcW w:w="7063" w:type="dxa"/>
            <w:gridSpan w:val="22"/>
            <w:tcBorders/>
            <w:shd w:fill="FFFFFF" w:val="clear"/>
            <w:vAlign w:val="bottom"/>
          </w:tcPr>
          <w:p>
            <w:pPr>
              <w:pStyle w:val="TableContents"/>
              <w:spacing w:before="0" w:after="283"/>
              <w:jc w:val="center"/>
              <w:rPr/>
            </w:pPr>
            <w:r>
              <w:rPr>
                <w:b/>
              </w:rPr>
              <w:t>(Barrels in thousands and dollars in millions)</w:t>
            </w:r>
            <w:r>
              <w:rPr/>
              <w:t xml:space="preserve"> </w:t>
            </w:r>
          </w:p>
        </w:tc>
        <w:tc>
          <w:tcPr>
            <w:tcW w:w="146" w:type="dxa"/>
            <w:tcBorders/>
            <w:shd w:fill="FFFFFF" w:val="clear"/>
            <w:vAlign w:val="bottom"/>
          </w:tcPr>
          <w:p>
            <w:pPr>
              <w:pStyle w:val="TableContents"/>
              <w:spacing w:before="0" w:after="283"/>
              <w:jc w:val="center"/>
              <w:rPr/>
            </w:pPr>
            <w:r>
              <w:rPr/>
              <w:t xml:space="preserve">  </w:t>
            </w:r>
          </w:p>
        </w:tc>
      </w:tr>
      <w:tr>
        <w:trPr/>
        <w:tc>
          <w:tcPr>
            <w:tcW w:w="2875" w:type="dxa"/>
            <w:tcBorders/>
            <w:shd w:fill="FFFFFF" w:val="clear"/>
            <w:vAlign w:val="center"/>
          </w:tcPr>
          <w:p>
            <w:pPr>
              <w:pStyle w:val="TableContents"/>
              <w:spacing w:before="0" w:after="283"/>
              <w:rPr/>
            </w:pPr>
            <w:r>
              <w:rPr/>
              <w:t xml:space="preserve">  </w:t>
            </w:r>
          </w:p>
        </w:tc>
        <w:tc>
          <w:tcPr>
            <w:tcW w:w="7330" w:type="dxa"/>
            <w:gridSpan w:val="24"/>
            <w:tcBorders/>
            <w:shd w:fill="FFFFFF" w:val="clear"/>
          </w:tcPr>
          <w:p>
            <w:pPr>
              <w:pStyle w:val="TableContents"/>
              <w:spacing w:before="0" w:after="283"/>
              <w:rPr>
                <w:sz w:val="4"/>
                <w:szCs w:val="4"/>
              </w:rPr>
            </w:pPr>
            <w:r>
              <w:rPr>
                <w:sz w:val="4"/>
                <w:szCs w:val="4"/>
              </w:rPr>
            </w:r>
          </w:p>
        </w:tc>
      </w:tr>
      <w:tr>
        <w:trPr/>
        <w:tc>
          <w:tcPr>
            <w:tcW w:w="2875" w:type="dxa"/>
            <w:tcBorders/>
            <w:shd w:fill="CCEEFF" w:val="clear"/>
            <w:vAlign w:val="bottom"/>
          </w:tcPr>
          <w:p>
            <w:pPr>
              <w:pStyle w:val="TableContents"/>
              <w:spacing w:before="0" w:after="0"/>
              <w:ind w:left="200" w:right="0" w:hanging="200"/>
              <w:jc w:val="left"/>
              <w:rPr/>
            </w:pPr>
            <w:r>
              <w:rPr>
                <w:b/>
                <w:sz w:val="17"/>
              </w:rPr>
              <w:t>Inventory(1)</w:t>
            </w:r>
            <w:r>
              <w:rPr/>
              <w:t xml:space="preserve">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0"/>
              <w:ind w:left="200" w:right="0" w:hanging="200"/>
              <w:jc w:val="left"/>
              <w:rPr>
                <w:sz w:val="17"/>
              </w:rPr>
            </w:pPr>
            <w:r>
              <w:rPr>
                <w:sz w:val="17"/>
              </w:rPr>
              <w:t xml:space="preserve">Crude oil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18,331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1,029.1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56.14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13,887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755.7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54.42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CCEEFF" w:val="clear"/>
            <w:vAlign w:val="bottom"/>
          </w:tcPr>
          <w:p>
            <w:pPr>
              <w:pStyle w:val="TableContents"/>
              <w:spacing w:before="0" w:after="0"/>
              <w:ind w:left="200" w:right="0" w:hanging="200"/>
              <w:jc w:val="left"/>
              <w:rPr>
                <w:sz w:val="17"/>
              </w:rPr>
            </w:pPr>
            <w:r>
              <w:rPr>
                <w:sz w:val="17"/>
              </w:rPr>
              <w:t xml:space="preserve">LPG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5,818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250.7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43.09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3,649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149.0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40.83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0"/>
              <w:ind w:left="200" w:right="0" w:hanging="200"/>
              <w:jc w:val="left"/>
              <w:rPr>
                <w:sz w:val="17"/>
              </w:rPr>
            </w:pPr>
            <w:r>
              <w:rPr>
                <w:sz w:val="17"/>
              </w:rPr>
              <w:t xml:space="preserve">Refined Products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81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3.8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46.91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N/A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CCEEFF" w:val="clear"/>
            <w:vAlign w:val="bottom"/>
          </w:tcPr>
          <w:p>
            <w:pPr>
              <w:pStyle w:val="TableContents"/>
              <w:spacing w:before="0" w:after="0"/>
              <w:ind w:left="200" w:right="0" w:hanging="200"/>
              <w:jc w:val="left"/>
              <w:rPr>
                <w:sz w:val="17"/>
              </w:rPr>
            </w:pPr>
            <w:r>
              <w:rPr>
                <w:sz w:val="17"/>
              </w:rPr>
              <w:t xml:space="preserve">Parts and supplies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N/A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6.4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N/A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N/A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5.6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N/A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FFFFFF" w:val="clear"/>
            <w:vAlign w:val="bottom"/>
          </w:tcPr>
          <w:p>
            <w:pPr>
              <w:pStyle w:val="TableContents"/>
              <w:spacing w:before="0" w:after="0"/>
              <w:ind w:left="400" w:right="0" w:hanging="200"/>
              <w:jc w:val="left"/>
              <w:rPr>
                <w:sz w:val="17"/>
              </w:rPr>
            </w:pPr>
            <w:r>
              <w:rPr>
                <w:sz w:val="17"/>
              </w:rPr>
              <w:t xml:space="preserve">Inventory subtotal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24,230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1,290.0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17,536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910.3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CCEEFF" w:val="clear"/>
            <w:vAlign w:val="bottom"/>
          </w:tcPr>
          <w:p>
            <w:pPr>
              <w:pStyle w:val="TableContents"/>
              <w:spacing w:before="0" w:after="0"/>
              <w:ind w:left="200" w:right="0" w:hanging="200"/>
              <w:jc w:val="left"/>
              <w:rPr/>
            </w:pPr>
            <w:r>
              <w:rPr>
                <w:b/>
                <w:sz w:val="17"/>
              </w:rPr>
              <w:t>Inventory in third-party assets(1)</w:t>
            </w:r>
            <w:r>
              <w:rPr/>
              <w:t xml:space="preserve">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0"/>
              <w:ind w:left="200" w:right="0" w:hanging="200"/>
              <w:jc w:val="left"/>
              <w:rPr>
                <w:sz w:val="17"/>
              </w:rPr>
            </w:pPr>
            <w:r>
              <w:rPr>
                <w:sz w:val="17"/>
              </w:rPr>
              <w:t xml:space="preserve">Crude oil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1,212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62.5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51.57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1,248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58.6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46.96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CCEEFF" w:val="clear"/>
            <w:vAlign w:val="bottom"/>
          </w:tcPr>
          <w:p>
            <w:pPr>
              <w:pStyle w:val="TableContents"/>
              <w:spacing w:before="0" w:after="0"/>
              <w:ind w:left="200" w:right="0" w:hanging="200"/>
              <w:jc w:val="left"/>
              <w:rPr>
                <w:sz w:val="17"/>
              </w:rPr>
            </w:pPr>
            <w:r>
              <w:rPr>
                <w:sz w:val="17"/>
              </w:rPr>
              <w:t xml:space="preserve">LPG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318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13.2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41.51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318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12.9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40.57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FFFFFF" w:val="clear"/>
            <w:vAlign w:val="bottom"/>
          </w:tcPr>
          <w:p>
            <w:pPr>
              <w:pStyle w:val="TableContents"/>
              <w:spacing w:before="0" w:after="0"/>
              <w:ind w:left="400" w:right="0" w:hanging="200"/>
              <w:jc w:val="left"/>
              <w:rPr>
                <w:sz w:val="17"/>
              </w:rPr>
            </w:pPr>
            <w:r>
              <w:rPr>
                <w:sz w:val="17"/>
              </w:rPr>
              <w:t xml:space="preserve">Inventory in third-party assets subtotal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1,530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75.7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1,566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71.5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CCEEFF" w:val="clear"/>
            <w:vAlign w:val="bottom"/>
          </w:tcPr>
          <w:p>
            <w:pPr>
              <w:pStyle w:val="TableContents"/>
              <w:spacing w:before="0" w:after="0"/>
              <w:ind w:left="200" w:right="0" w:hanging="200"/>
              <w:jc w:val="left"/>
              <w:rPr/>
            </w:pPr>
            <w:r>
              <w:rPr>
                <w:b/>
                <w:sz w:val="17"/>
              </w:rPr>
              <w:t>Linefill in owned assets</w:t>
            </w:r>
            <w:r>
              <w:rPr/>
              <w:t xml:space="preserve">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0"/>
              <w:ind w:left="200" w:right="0" w:hanging="200"/>
              <w:jc w:val="left"/>
              <w:rPr>
                <w:sz w:val="17"/>
              </w:rPr>
            </w:pPr>
            <w:r>
              <w:rPr>
                <w:sz w:val="17"/>
              </w:rPr>
              <w:t xml:space="preserve">Crude oil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7,831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264.4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33.76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6,207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179.3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28.89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CCEEFF" w:val="clear"/>
            <w:vAlign w:val="bottom"/>
          </w:tcPr>
          <w:p>
            <w:pPr>
              <w:pStyle w:val="TableContents"/>
              <w:spacing w:before="0" w:after="0"/>
              <w:ind w:left="200" w:right="0" w:hanging="200"/>
              <w:jc w:val="left"/>
              <w:rPr>
                <w:sz w:val="17"/>
              </w:rPr>
            </w:pPr>
            <w:r>
              <w:rPr>
                <w:sz w:val="17"/>
              </w:rPr>
              <w:t xml:space="preserve">LPG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31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1.1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35.48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27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0.9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33.33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FFFFFF" w:val="clear"/>
            <w:vAlign w:val="bottom"/>
          </w:tcPr>
          <w:p>
            <w:pPr>
              <w:pStyle w:val="TableContents"/>
              <w:spacing w:before="0" w:after="0"/>
              <w:ind w:left="400" w:right="0" w:hanging="200"/>
              <w:jc w:val="left"/>
              <w:rPr>
                <w:sz w:val="17"/>
              </w:rPr>
            </w:pPr>
            <w:r>
              <w:rPr>
                <w:sz w:val="17"/>
              </w:rPr>
              <w:t xml:space="preserve">Linefill in owned assets subtotal </w:t>
            </w:r>
          </w:p>
        </w:tc>
        <w:tc>
          <w:tcPr>
            <w:tcW w:w="121"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7,862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265.5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741" w:type="dxa"/>
            <w:tcBorders/>
            <w:shd w:fill="FFFFFF" w:val="clear"/>
            <w:vAlign w:val="bottom"/>
          </w:tcPr>
          <w:p>
            <w:pPr>
              <w:pStyle w:val="TableContents"/>
              <w:spacing w:before="0" w:after="283"/>
              <w:jc w:val="right"/>
              <w:rPr/>
            </w:pPr>
            <w:r>
              <w:rPr/>
              <w:t xml:space="preserve">6,234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180.2 </w:t>
            </w:r>
          </w:p>
        </w:tc>
        <w:tc>
          <w:tcPr>
            <w:tcW w:w="138" w:type="dxa"/>
            <w:tcBorders/>
            <w:shd w:fill="FFFFFF" w:val="clear"/>
            <w:vAlign w:val="bottom"/>
          </w:tcPr>
          <w:p>
            <w:pPr>
              <w:pStyle w:val="TableContents"/>
              <w:spacing w:before="0" w:after="283"/>
              <w:jc w:val="left"/>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638" w:type="dxa"/>
            <w:tcBorders/>
            <w:shd w:fill="FFFFFF" w:val="cle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r>
        <w:trPr/>
        <w:tc>
          <w:tcPr>
            <w:tcW w:w="2875" w:type="dxa"/>
            <w:tcBorders/>
            <w:shd w:fill="CCEEFF" w:val="clear"/>
            <w:vAlign w:val="bottom"/>
          </w:tcPr>
          <w:p>
            <w:pPr>
              <w:pStyle w:val="TableContents"/>
              <w:spacing w:before="0" w:after="0"/>
              <w:ind w:left="200" w:right="0" w:hanging="200"/>
              <w:jc w:val="left"/>
              <w:rPr/>
            </w:pPr>
            <w:r>
              <w:rPr>
                <w:b/>
                <w:sz w:val="17"/>
              </w:rPr>
              <w:t>Total</w:t>
            </w:r>
            <w:r>
              <w:rPr/>
              <w:t xml:space="preserve"> </w:t>
            </w:r>
          </w:p>
        </w:tc>
        <w:tc>
          <w:tcPr>
            <w:tcW w:w="121"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33,622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1,631.2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741" w:type="dxa"/>
            <w:tcBorders/>
            <w:shd w:fill="CCEEFF" w:val="clear"/>
            <w:vAlign w:val="bottom"/>
          </w:tcPr>
          <w:p>
            <w:pPr>
              <w:pStyle w:val="TableContents"/>
              <w:spacing w:before="0" w:after="283"/>
              <w:jc w:val="right"/>
              <w:rPr/>
            </w:pPr>
            <w:r>
              <w:rPr/>
              <w:t xml:space="preserve">25,336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1,162.0 </w:t>
            </w:r>
          </w:p>
        </w:tc>
        <w:tc>
          <w:tcPr>
            <w:tcW w:w="138" w:type="dxa"/>
            <w:tcBorders/>
            <w:shd w:fill="CCEEFF" w:val="clear"/>
            <w:vAlign w:val="bottom"/>
          </w:tcPr>
          <w:p>
            <w:pPr>
              <w:pStyle w:val="TableContents"/>
              <w:spacing w:before="0" w:after="283"/>
              <w:jc w:val="left"/>
              <w:rPr/>
            </w:pPr>
            <w:r>
              <w:rPr/>
              <w:t xml:space="preserve">  </w:t>
            </w:r>
          </w:p>
        </w:tc>
        <w:tc>
          <w:tcPr>
            <w:tcW w:w="15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638" w:type="dxa"/>
            <w:tcBorders/>
            <w:shd w:fill="CCEEFF" w:val="clear"/>
            <w:vAlign w:val="bottom"/>
          </w:tcPr>
          <w:p>
            <w:pPr>
              <w:pStyle w:val="TableContents"/>
              <w:spacing w:before="0" w:after="283"/>
              <w:jc w:val="right"/>
              <w:rPr/>
            </w:pPr>
            <w:r>
              <w:rPr/>
              <w:t xml:space="preserve">  </w:t>
            </w:r>
          </w:p>
        </w:tc>
        <w:tc>
          <w:tcPr>
            <w:tcW w:w="146" w:type="dxa"/>
            <w:tcBorders/>
            <w:shd w:fill="CCEEFF" w:val="clear"/>
            <w:vAlign w:val="bottom"/>
          </w:tcPr>
          <w:p>
            <w:pPr>
              <w:pStyle w:val="TableContents"/>
              <w:spacing w:before="0" w:after="283"/>
              <w:jc w:val="left"/>
              <w:rPr/>
            </w:pPr>
            <w:r>
              <w:rPr/>
              <w:t xml:space="preserve">  </w:t>
            </w:r>
          </w:p>
        </w:tc>
      </w:tr>
      <w:tr>
        <w:trPr/>
        <w:tc>
          <w:tcPr>
            <w:tcW w:w="2875"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rPr/>
            </w:pPr>
            <w:r>
              <w:rPr/>
              <w:t xml:space="preserve">  </w:t>
            </w:r>
          </w:p>
        </w:tc>
        <w:tc>
          <w:tcPr>
            <w:tcW w:w="1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1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4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638" w:type="dxa"/>
            <w:tcBorders/>
            <w:shd w:fill="FFFFFF" w:val="clear"/>
            <w:vAlign w:val="bottom"/>
          </w:tcPr>
          <w:p>
            <w:pPr>
              <w:pStyle w:val="TableContents"/>
              <w:spacing w:before="0" w:after="283"/>
              <w:rPr/>
            </w:pPr>
            <w:r>
              <w:rPr/>
              <w:t xml:space="preserve">  </w:t>
            </w:r>
          </w:p>
        </w:tc>
        <w:tc>
          <w:tcPr>
            <w:tcW w:w="14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Includes the impact of inventory hedges on a portion of our volumes.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Property and equipment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Property and equipment, net is stated at cost and consisted of the following: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763"/>
        <w:gridCol w:w="178"/>
        <w:gridCol w:w="2126"/>
        <w:gridCol w:w="247"/>
        <w:gridCol w:w="201"/>
        <w:gridCol w:w="945"/>
        <w:gridCol w:w="171"/>
        <w:gridCol w:w="247"/>
        <w:gridCol w:w="201"/>
        <w:gridCol w:w="945"/>
        <w:gridCol w:w="181"/>
      </w:tblGrid>
      <w:tr>
        <w:trPr/>
        <w:tc>
          <w:tcPr>
            <w:tcW w:w="4763"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2126"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945"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24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945"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r>
      <w:tr>
        <w:trPr/>
        <w:tc>
          <w:tcPr>
            <w:tcW w:w="4763"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126" w:type="dxa"/>
            <w:tcBorders/>
            <w:shd w:fill="FFFFFF" w:val="clear"/>
            <w:vAlign w:val="bottom"/>
          </w:tcPr>
          <w:p>
            <w:pPr>
              <w:pStyle w:val="TableContents"/>
              <w:spacing w:before="0" w:after="283"/>
              <w:jc w:val="center"/>
              <w:rPr>
                <w:b/>
              </w:rPr>
            </w:pPr>
            <w:r>
              <w:rPr>
                <w:b/>
              </w:rPr>
              <w:t>Estimated Useful</w:t>
            </w:r>
          </w:p>
        </w:tc>
        <w:tc>
          <w:tcPr>
            <w:tcW w:w="247" w:type="dxa"/>
            <w:tcBorders/>
            <w:shd w:fill="FFFFFF" w:val="clear"/>
            <w:vAlign w:val="bottom"/>
          </w:tcPr>
          <w:p>
            <w:pPr>
              <w:pStyle w:val="TableContents"/>
              <w:spacing w:before="0" w:after="283"/>
              <w:jc w:val="center"/>
              <w:rPr/>
            </w:pPr>
            <w:r>
              <w:rPr/>
              <w:t xml:space="preserve">  </w:t>
            </w:r>
          </w:p>
        </w:tc>
        <w:tc>
          <w:tcPr>
            <w:tcW w:w="271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4763"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126" w:type="dxa"/>
            <w:tcBorders>
              <w:bottom w:val="single" w:sz="2" w:space="0" w:color="000000"/>
            </w:tcBorders>
            <w:shd w:fill="FFFFFF" w:val="clear"/>
            <w:tcMar>
              <w:bottom w:w="28" w:type="dxa"/>
            </w:tcMar>
            <w:vAlign w:val="bottom"/>
          </w:tcPr>
          <w:p>
            <w:pPr>
              <w:pStyle w:val="TableContents"/>
              <w:spacing w:before="0" w:after="283"/>
              <w:jc w:val="center"/>
              <w:rPr/>
            </w:pPr>
            <w:r>
              <w:rPr>
                <w:b/>
              </w:rPr>
              <w:t>Lives (Years)</w:t>
            </w: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14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114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4763"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126"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jc w:val="center"/>
              <w:rPr/>
            </w:pPr>
            <w:r>
              <w:rPr/>
              <w:t xml:space="preserve">  </w:t>
            </w:r>
          </w:p>
        </w:tc>
        <w:tc>
          <w:tcPr>
            <w:tcW w:w="2710" w:type="dxa"/>
            <w:gridSpan w:val="6"/>
            <w:tcBorders/>
            <w:shd w:fill="FFFFFF" w:val="clear"/>
            <w:vAlign w:val="bottom"/>
          </w:tcPr>
          <w:p>
            <w:pPr>
              <w:pStyle w:val="TableContents"/>
              <w:spacing w:before="0" w:after="283"/>
              <w:jc w:val="center"/>
              <w:rPr/>
            </w:pPr>
            <w:r>
              <w:rPr>
                <w:b/>
              </w:rPr>
              <w:t>(In millions)</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4763" w:type="dxa"/>
            <w:tcBorders/>
            <w:shd w:fill="FFFFFF" w:val="clear"/>
            <w:vAlign w:val="center"/>
          </w:tcPr>
          <w:p>
            <w:pPr>
              <w:pStyle w:val="TableContents"/>
              <w:spacing w:before="0" w:after="283"/>
              <w:rPr/>
            </w:pPr>
            <w:r>
              <w:rPr/>
              <w:t xml:space="preserve">  </w:t>
            </w:r>
          </w:p>
        </w:tc>
        <w:tc>
          <w:tcPr>
            <w:tcW w:w="5442" w:type="dxa"/>
            <w:gridSpan w:val="10"/>
            <w:tcBorders/>
            <w:shd w:fill="FFFFFF" w:val="clear"/>
          </w:tcPr>
          <w:p>
            <w:pPr>
              <w:pStyle w:val="TableContents"/>
              <w:spacing w:before="0" w:after="283"/>
              <w:rPr>
                <w:sz w:val="4"/>
                <w:szCs w:val="4"/>
              </w:rPr>
            </w:pPr>
            <w:r>
              <w:rPr>
                <w:sz w:val="4"/>
                <w:szCs w:val="4"/>
              </w:rPr>
            </w:r>
          </w:p>
        </w:tc>
      </w:tr>
      <w:tr>
        <w:trPr/>
        <w:tc>
          <w:tcPr>
            <w:tcW w:w="4763" w:type="dxa"/>
            <w:tcBorders/>
            <w:shd w:fill="CCEEFF" w:val="clear"/>
            <w:vAlign w:val="bottom"/>
          </w:tcPr>
          <w:p>
            <w:pPr>
              <w:pStyle w:val="TableContents"/>
              <w:spacing w:before="0" w:after="0"/>
              <w:ind w:left="200" w:right="0" w:hanging="200"/>
              <w:jc w:val="left"/>
              <w:rPr>
                <w:sz w:val="17"/>
              </w:rPr>
            </w:pPr>
            <w:r>
              <w:rPr>
                <w:sz w:val="17"/>
              </w:rPr>
              <w:t xml:space="preserve">Crude oil pipelines and facilities </w:t>
            </w:r>
          </w:p>
        </w:tc>
        <w:tc>
          <w:tcPr>
            <w:tcW w:w="178" w:type="dxa"/>
            <w:tcBorders/>
            <w:shd w:fill="CCEEFF" w:val="clear"/>
            <w:vAlign w:val="bottom"/>
          </w:tcPr>
          <w:p>
            <w:pPr>
              <w:pStyle w:val="TableContents"/>
              <w:spacing w:before="0" w:after="283"/>
              <w:rPr/>
            </w:pPr>
            <w:r>
              <w:rPr/>
              <w:t xml:space="preserve">  </w:t>
            </w:r>
          </w:p>
        </w:tc>
        <w:tc>
          <w:tcPr>
            <w:tcW w:w="2126" w:type="dxa"/>
            <w:tcBorders/>
            <w:shd w:fill="CCEEFF" w:val="clear"/>
            <w:vAlign w:val="bottom"/>
          </w:tcPr>
          <w:p>
            <w:pPr>
              <w:pStyle w:val="TableContents"/>
              <w:spacing w:before="0" w:after="283"/>
              <w:jc w:val="center"/>
              <w:rPr>
                <w:sz w:val="17"/>
              </w:rPr>
            </w:pPr>
            <w:r>
              <w:rPr>
                <w:sz w:val="17"/>
              </w:rPr>
              <w:t xml:space="preserve">30 - 40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3,484.3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1,739.5 </w:t>
            </w:r>
          </w:p>
        </w:tc>
        <w:tc>
          <w:tcPr>
            <w:tcW w:w="181" w:type="dxa"/>
            <w:tcBorders/>
            <w:shd w:fill="CCEE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0"/>
              <w:ind w:left="200" w:right="0" w:hanging="200"/>
              <w:jc w:val="left"/>
              <w:rPr>
                <w:sz w:val="17"/>
              </w:rPr>
            </w:pPr>
            <w:r>
              <w:rPr>
                <w:sz w:val="17"/>
              </w:rPr>
              <w:t xml:space="preserve">Crude oil and LPG storage and terminal facilities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jc w:val="center"/>
              <w:rPr>
                <w:sz w:val="17"/>
              </w:rPr>
            </w:pPr>
            <w:r>
              <w:rPr>
                <w:sz w:val="17"/>
              </w:rPr>
              <w:t xml:space="preserve">30 - 40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456.1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214.6 </w:t>
            </w:r>
          </w:p>
        </w:tc>
        <w:tc>
          <w:tcPr>
            <w:tcW w:w="181" w:type="dxa"/>
            <w:tcBorders/>
            <w:shd w:fill="FFFFFF" w:val="clear"/>
            <w:vAlign w:val="bottom"/>
          </w:tcPr>
          <w:p>
            <w:pPr>
              <w:pStyle w:val="TableContents"/>
              <w:spacing w:before="0" w:after="283"/>
              <w:jc w:val="left"/>
              <w:rPr/>
            </w:pPr>
            <w:r>
              <w:rPr/>
              <w:t xml:space="preserve">  </w:t>
            </w:r>
          </w:p>
        </w:tc>
      </w:tr>
      <w:tr>
        <w:trPr/>
        <w:tc>
          <w:tcPr>
            <w:tcW w:w="4763" w:type="dxa"/>
            <w:tcBorders/>
            <w:shd w:fill="CCEEFF" w:val="clear"/>
            <w:vAlign w:val="bottom"/>
          </w:tcPr>
          <w:p>
            <w:pPr>
              <w:pStyle w:val="TableContents"/>
              <w:spacing w:before="0" w:after="0"/>
              <w:ind w:left="200" w:right="0" w:hanging="200"/>
              <w:jc w:val="left"/>
              <w:rPr>
                <w:sz w:val="17"/>
              </w:rPr>
            </w:pPr>
            <w:r>
              <w:rPr>
                <w:sz w:val="17"/>
              </w:rPr>
              <w:t xml:space="preserve">Trucking equipment and other </w:t>
            </w:r>
          </w:p>
        </w:tc>
        <w:tc>
          <w:tcPr>
            <w:tcW w:w="178" w:type="dxa"/>
            <w:tcBorders/>
            <w:shd w:fill="CCEEFF" w:val="clear"/>
            <w:vAlign w:val="bottom"/>
          </w:tcPr>
          <w:p>
            <w:pPr>
              <w:pStyle w:val="TableContents"/>
              <w:spacing w:before="0" w:after="283"/>
              <w:rPr/>
            </w:pPr>
            <w:r>
              <w:rPr/>
              <w:t xml:space="preserve">  </w:t>
            </w:r>
          </w:p>
        </w:tc>
        <w:tc>
          <w:tcPr>
            <w:tcW w:w="2126" w:type="dxa"/>
            <w:tcBorders/>
            <w:shd w:fill="CCEEFF" w:val="clear"/>
            <w:vAlign w:val="bottom"/>
          </w:tcPr>
          <w:p>
            <w:pPr>
              <w:pStyle w:val="TableContents"/>
              <w:spacing w:before="0" w:after="283"/>
              <w:jc w:val="center"/>
              <w:rPr>
                <w:sz w:val="17"/>
              </w:rPr>
            </w:pPr>
            <w:r>
              <w:rPr>
                <w:sz w:val="17"/>
              </w:rPr>
              <w:t xml:space="preserve">5 - 15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211.6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137.1 </w:t>
            </w:r>
          </w:p>
        </w:tc>
        <w:tc>
          <w:tcPr>
            <w:tcW w:w="181" w:type="dxa"/>
            <w:tcBorders/>
            <w:shd w:fill="CCEE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0"/>
              <w:ind w:left="200" w:right="0" w:hanging="200"/>
              <w:jc w:val="left"/>
              <w:rPr>
                <w:sz w:val="17"/>
              </w:rPr>
            </w:pPr>
            <w:r>
              <w:rPr>
                <w:sz w:val="17"/>
              </w:rPr>
              <w:t xml:space="preserve">Office property and equipment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jc w:val="center"/>
              <w:rPr>
                <w:sz w:val="17"/>
              </w:rPr>
            </w:pPr>
            <w:r>
              <w:rPr>
                <w:sz w:val="17"/>
              </w:rPr>
              <w:t xml:space="preserve">3 - 5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38.1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24.9 </w:t>
            </w:r>
          </w:p>
        </w:tc>
        <w:tc>
          <w:tcPr>
            <w:tcW w:w="181" w:type="dxa"/>
            <w:tcBorders/>
            <w:shd w:fill="FFFF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4763" w:type="dxa"/>
            <w:tcBorders/>
            <w:shd w:fill="CCEEFF" w:val="clear"/>
            <w:vAlign w:val="bottom"/>
          </w:tcPr>
          <w:p>
            <w:pPr>
              <w:pStyle w:val="TableContents"/>
              <w:spacing w:before="0" w:after="283"/>
              <w:jc w:val="left"/>
              <w:rPr/>
            </w:pPr>
            <w:r>
              <w:rPr/>
              <w:t xml:space="preserve">  </w:t>
            </w:r>
          </w:p>
        </w:tc>
        <w:tc>
          <w:tcPr>
            <w:tcW w:w="178" w:type="dxa"/>
            <w:tcBorders/>
            <w:shd w:fill="CCEEFF" w:val="clear"/>
            <w:vAlign w:val="bottom"/>
          </w:tcPr>
          <w:p>
            <w:pPr>
              <w:pStyle w:val="TableContents"/>
              <w:spacing w:before="0" w:after="283"/>
              <w:rPr/>
            </w:pPr>
            <w:r>
              <w:rPr/>
              <w:t xml:space="preserve">  </w:t>
            </w:r>
          </w:p>
        </w:tc>
        <w:tc>
          <w:tcPr>
            <w:tcW w:w="2126" w:type="dxa"/>
            <w:tcBorders/>
            <w:shd w:fill="CCEEFF" w:val="clear"/>
            <w:vAlign w:val="bottom"/>
          </w:tcPr>
          <w:p>
            <w:pPr>
              <w:pStyle w:val="TableContents"/>
              <w:spacing w:before="0" w:after="283"/>
              <w:jc w:val="center"/>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4,190.1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2,116.1 </w:t>
            </w:r>
          </w:p>
        </w:tc>
        <w:tc>
          <w:tcPr>
            <w:tcW w:w="181" w:type="dxa"/>
            <w:tcBorders/>
            <w:shd w:fill="CCEE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0"/>
              <w:ind w:left="200" w:right="0" w:hanging="200"/>
              <w:jc w:val="left"/>
              <w:rPr>
                <w:sz w:val="17"/>
              </w:rPr>
            </w:pPr>
            <w:r>
              <w:rPr>
                <w:sz w:val="17"/>
              </w:rPr>
              <w:t xml:space="preserve">Less accumulated depreciation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jc w:val="center"/>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(348.1 </w:t>
            </w:r>
          </w:p>
        </w:tc>
        <w:tc>
          <w:tcPr>
            <w:tcW w:w="171" w:type="dxa"/>
            <w:tcBorders/>
            <w:shd w:fill="FFFFFF" w:val="clear"/>
            <w:vAlign w:val="bottom"/>
          </w:tcPr>
          <w:p>
            <w:pPr>
              <w:pStyle w:val="TableContents"/>
              <w:spacing w:before="0" w:after="283"/>
              <w:jc w:val="left"/>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(258.9 </w:t>
            </w:r>
          </w:p>
        </w:tc>
        <w:tc>
          <w:tcPr>
            <w:tcW w:w="181" w:type="dxa"/>
            <w:tcBorders/>
            <w:shd w:fill="FFFF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4763" w:type="dxa"/>
            <w:tcBorders/>
            <w:shd w:fill="CCEEFF" w:val="clear"/>
            <w:vAlign w:val="bottom"/>
          </w:tcPr>
          <w:p>
            <w:pPr>
              <w:pStyle w:val="TableContents"/>
              <w:spacing w:before="0" w:after="0"/>
              <w:ind w:left="200" w:right="0" w:hanging="200"/>
              <w:jc w:val="left"/>
              <w:rPr>
                <w:sz w:val="17"/>
              </w:rPr>
            </w:pPr>
            <w:r>
              <w:rPr>
                <w:sz w:val="17"/>
              </w:rPr>
              <w:t xml:space="preserve">Property and equipment, net </w:t>
            </w:r>
          </w:p>
        </w:tc>
        <w:tc>
          <w:tcPr>
            <w:tcW w:w="178" w:type="dxa"/>
            <w:tcBorders/>
            <w:shd w:fill="CCEEFF" w:val="clear"/>
            <w:vAlign w:val="bottom"/>
          </w:tcPr>
          <w:p>
            <w:pPr>
              <w:pStyle w:val="TableContents"/>
              <w:spacing w:before="0" w:after="283"/>
              <w:rPr/>
            </w:pPr>
            <w:r>
              <w:rPr/>
              <w:t xml:space="preserve">  </w:t>
            </w:r>
          </w:p>
        </w:tc>
        <w:tc>
          <w:tcPr>
            <w:tcW w:w="2126" w:type="dxa"/>
            <w:tcBorders/>
            <w:shd w:fill="CCEEFF" w:val="clear"/>
            <w:vAlign w:val="bottom"/>
          </w:tcPr>
          <w:p>
            <w:pPr>
              <w:pStyle w:val="TableContents"/>
              <w:spacing w:before="0" w:after="283"/>
              <w:jc w:val="center"/>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3,842.0 </w:t>
            </w:r>
          </w:p>
        </w:tc>
        <w:tc>
          <w:tcPr>
            <w:tcW w:w="171" w:type="dxa"/>
            <w:tcBorders/>
            <w:shd w:fill="CCEEFF" w:val="clear"/>
            <w:vAlign w:val="bottom"/>
          </w:tcPr>
          <w:p>
            <w:pPr>
              <w:pStyle w:val="TableContents"/>
              <w:spacing w:before="0" w:after="283"/>
              <w:jc w:val="left"/>
              <w:rPr/>
            </w:pPr>
            <w:r>
              <w:rPr/>
              <w:t xml:space="preserve">  </w:t>
            </w:r>
          </w:p>
        </w:tc>
        <w:tc>
          <w:tcPr>
            <w:tcW w:w="247"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1,857.2 </w:t>
            </w:r>
          </w:p>
        </w:tc>
        <w:tc>
          <w:tcPr>
            <w:tcW w:w="181" w:type="dxa"/>
            <w:tcBorders/>
            <w:shd w:fill="CCEEFF" w:val="clear"/>
            <w:vAlign w:val="bottom"/>
          </w:tcPr>
          <w:p>
            <w:pPr>
              <w:pStyle w:val="TableContents"/>
              <w:spacing w:before="0" w:after="283"/>
              <w:jc w:val="left"/>
              <w:rPr/>
            </w:pPr>
            <w:r>
              <w:rPr/>
              <w:t xml:space="preserve">  </w:t>
            </w:r>
          </w:p>
        </w:tc>
      </w:tr>
      <w:tr>
        <w:trPr/>
        <w:tc>
          <w:tcPr>
            <w:tcW w:w="4763"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1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Depreciation expense for each of the three years in the period ended December 31, 2006 was $91.3 million, $79.2 million and $64.8 million, respectively.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calculate our depreciation using the straight-line method, based on estimated useful lives and salvage values of our assets. These estimates are based on various factors including age (in the case of acquired assets),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Historically, adjustments to useful lives have not had a material impact on our aggregate depreciation levels from year to year. Also, gains/losses on sales of assets and asset impairments are included as a component of depreciation and amortization in the consolidated statements of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our capitalization policy, costs associated with acquisitions and improvements that expand our existing capacity, including related interest costs, are capitalized. For the years ended December 31, 2006, 2005 and 2004, capitalized interest was $6.0 million, $1.8 million and $0.5 million, respectively. In addition, costs required either to maintain the existing operating capacity of partially or fully depreciated assets or to extend their useful lives are capitalized and classified as maintenance capital. Repair and maintenance expenditures associated with existing assets that do not extend the useful life or expand the operating capacity are charged to expense as incurred.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Equity Method of Accounting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investments in PAA/Vulcan, Frontier Pipeline Company (Frontier), Settoon Towing, LLC (Settoon Towing) and Butte Pipe Line Company (Butte) are accounted for under the equity method of accounting. Our ownership interests in PAA/Vulcan, Frontier, Settoon Towing and Butte are 50%, 22%, 50% and 22%, respectively. We do not consolidate any part of the assets or liabilities of our equity investees. Our share of net income or loss is reflected as one line item on the income statement and will increase or decrease, as applicable, the carrying value of our investments on the balance sheet. Distributions to the Partnership will reduce the carrying value of our investments and will be reflected on our cash flow statement.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Asset Retirement Obligation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account for asset retirement obligations under SFAS No. 143 Accounting for Asset Retirement Obligations. SFAS 143 establishes accounting requirements for retirement obligations associated with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tangible long-lived assets, including (1) the time of the liability recognition, (2) initial measurement of the liability, (3) allocation of asset retirement cost to expense, (4) subsequent measurement of the liability and (5) financial statement disclosures. SFAS 143 requires that the cost for asset retirement should be capitalized as part of the cost of the related long-lived asset and subsequently allocated to expense using a systematic and rational method.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Some of our assets, primarily related to our transportation segment,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 timing of the obligations is determined relative to the date on which the asset is abandoned. Many of our pipelines are trunk and interstate systems that transport crude oil. The pipelines with indeterminate settlement dates have been in existence for many years and with regular maintenance will continue to be in service for many years to come. Also, it is not possible to predict when demands for this transportation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 A small portion of our contractual or regulatory obligations are related to assets that are inactive or that we plan to take out of service and although the ultimate timing and costs to settle these obligations are not known with certainty, we can reasonably estimate the obligation. We have estimated that the fair value of these obligations is approximately $4.7 million and $4.6 million at December 31, 2006 and 2005, respectively.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Impairment of Long-Lived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Long-lived assets with recorded values that are not expected to be recovered through future cash flows are written-down to estimated fair value in accordance with SFAS No. 144 Accounting for the Impairment or Disposal of Long-Lived Assets, as amended. Under SFAS 144,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 Fair value is generally determined from estimated discounted future net cash flows. Impairments were not material in 2006 and 2005. In 2004, we recognized a charge of approximately $2.0 million associated with taking our pipeline in the Illinois Basin out of service. The impairments, which were predominantly related to assets that will be taken out of service, are included as a component of depreciation and amortization in the consolidated statements of operations. These assets did not support spending the capital necessary to continue service and we utilized other assets to handle these activities.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periodically evaluate property, plant and equipment for impairment when events or circumstances indicate that the carrying value of these assets may not be recoverable. The evaluation is highly dependent on the underlying assumptions of related cash flows. We consider the fair value estimate used to calculate impairment of property, plant and equipment a critical accounting estimate. In determining the existence of an impairment in carrying value, we make a number of subjective assumptions as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6"/>
        <w:gridCol w:w="9521"/>
      </w:tblGrid>
      <w:tr>
        <w:trPr/>
        <w:tc>
          <w:tcPr>
            <w:tcW w:w="4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whether there is an indication of impairment;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the grouping of assets;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6" w:type="dxa"/>
            <w:tcBorders/>
            <w:shd w:fill="FFFFFF" w:val="clear"/>
          </w:tcPr>
          <w:p>
            <w:pPr>
              <w:pStyle w:val="TableContents"/>
              <w:spacing w:before="0" w:after="283"/>
              <w:rPr/>
            </w:pPr>
            <w:r>
              <w:rPr/>
              <w:t xml:space="preserve">  </w:t>
            </w:r>
          </w:p>
        </w:tc>
        <w:tc>
          <w:tcPr>
            <w:tcW w:w="9521" w:type="dxa"/>
            <w:tcBorders/>
            <w:shd w:fill="FFFFFF" w:val="clear"/>
          </w:tcPr>
          <w:p>
            <w:pPr>
              <w:pStyle w:val="TableContents"/>
              <w:spacing w:before="0" w:after="283"/>
              <w:jc w:val="left"/>
              <w:rPr/>
            </w:pPr>
            <w:r>
              <w:rPr/>
              <w:t xml:space="preserve">the intention of holding versus selling an asset;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forecast of undiscounted expected future cash flow over the assets estimated useful life;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an impairment exists, the fair value of the asset or asset group.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Goodwill and Other Intangible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SFAS No. 142, Goodwill and Other Intangible Assets, we test goodwill at least annually (on June 30) to determine whether an impairment has occurred. Goodwill is tested for impairment at a level of reporting referred to as a reporting unit. Pursuant to SFAS 142, a reporting unit is an operating segment or one level below an operating segment for which discrete financial information is available and regularly reviewed by segment management. Our reporting units are one level below our operating segments. If the fair value of a reporting unit exceeds its carrying amount, goodwill of the reporting unit is considered not impaired. Fair value is assessed based on multiples of earnings or revenue. An impairment loss is recognized if the carrying amount is not recoverable and its carrying amount exceeds its fair value. Since adoption of SFAS 142, we have not recognized any impairment of goodwill.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table below reflects our changes in goodwill: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324"/>
        <w:gridCol w:w="138"/>
        <w:gridCol w:w="401"/>
        <w:gridCol w:w="1538"/>
        <w:gridCol w:w="150"/>
        <w:gridCol w:w="181"/>
        <w:gridCol w:w="253"/>
        <w:gridCol w:w="867"/>
        <w:gridCol w:w="150"/>
        <w:gridCol w:w="181"/>
        <w:gridCol w:w="295"/>
        <w:gridCol w:w="1043"/>
        <w:gridCol w:w="150"/>
        <w:gridCol w:w="180"/>
        <w:gridCol w:w="221"/>
        <w:gridCol w:w="973"/>
        <w:gridCol w:w="160"/>
      </w:tblGrid>
      <w:tr>
        <w:trPr/>
        <w:tc>
          <w:tcPr>
            <w:tcW w:w="3324" w:type="dxa"/>
            <w:tcBorders/>
            <w:shd w:fill="FFFFFF" w:val="clear"/>
            <w:vAlign w:val="bottom"/>
          </w:tcPr>
          <w:p>
            <w:pPr>
              <w:pStyle w:val="TableContents"/>
              <w:spacing w:before="0" w:after="283"/>
              <w:rPr/>
            </w:pPr>
            <w:r>
              <w:rPr/>
              <w:t> </w:t>
            </w:r>
          </w:p>
        </w:tc>
        <w:tc>
          <w:tcPr>
            <w:tcW w:w="138" w:type="dxa"/>
            <w:tcBorders/>
            <w:shd w:fill="FFFFFF" w:val="clear"/>
            <w:vAlign w:val="bottom"/>
          </w:tcPr>
          <w:p>
            <w:pPr>
              <w:pStyle w:val="TableContents"/>
              <w:spacing w:before="0" w:after="283"/>
              <w:rPr/>
            </w:pPr>
            <w:r>
              <w:rPr/>
              <w:t> </w:t>
            </w:r>
          </w:p>
        </w:tc>
        <w:tc>
          <w:tcPr>
            <w:tcW w:w="401" w:type="dxa"/>
            <w:tcBorders/>
            <w:shd w:fill="FFFFFF" w:val="clear"/>
            <w:vAlign w:val="bottom"/>
          </w:tcPr>
          <w:p>
            <w:pPr>
              <w:pStyle w:val="TableContents"/>
              <w:spacing w:before="0" w:after="283"/>
              <w:jc w:val="right"/>
              <w:rPr/>
            </w:pPr>
            <w:r>
              <w:rPr/>
              <w:t> </w:t>
            </w:r>
          </w:p>
        </w:tc>
        <w:tc>
          <w:tcPr>
            <w:tcW w:w="1538"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right"/>
              <w:rPr/>
            </w:pPr>
            <w:r>
              <w:rPr/>
              <w:t> </w:t>
            </w:r>
          </w:p>
        </w:tc>
        <w:tc>
          <w:tcPr>
            <w:tcW w:w="86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right"/>
              <w:rPr/>
            </w:pPr>
            <w:r>
              <w:rPr/>
              <w:t> </w:t>
            </w:r>
          </w:p>
        </w:tc>
        <w:tc>
          <w:tcPr>
            <w:tcW w:w="1043"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80"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973"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r>
      <w:tr>
        <w:trPr/>
        <w:tc>
          <w:tcPr>
            <w:tcW w:w="3324" w:type="dxa"/>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93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1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3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19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3324" w:type="dxa"/>
            <w:tcBorders/>
            <w:shd w:fill="FFFFFF" w:val="clear"/>
            <w:vAlign w:val="bottom"/>
          </w:tcPr>
          <w:p>
            <w:pPr>
              <w:pStyle w:val="TableContents"/>
              <w:spacing w:before="0" w:after="283"/>
              <w:jc w:val="center"/>
              <w:rPr/>
            </w:pP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6583" w:type="dxa"/>
            <w:gridSpan w:val="14"/>
            <w:tcBorders/>
            <w:shd w:fill="FFFFFF" w:val="clear"/>
            <w:vAlign w:val="bottom"/>
          </w:tcPr>
          <w:p>
            <w:pPr>
              <w:pStyle w:val="TableContents"/>
              <w:spacing w:before="0" w:after="283"/>
              <w:jc w:val="center"/>
              <w:rPr/>
            </w:pPr>
            <w:r>
              <w:rPr>
                <w:b/>
              </w:rPr>
              <w:t>(In millions)</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3324" w:type="dxa"/>
            <w:tcBorders/>
            <w:shd w:fill="FFFFFF" w:val="clear"/>
            <w:vAlign w:val="center"/>
          </w:tcPr>
          <w:p>
            <w:pPr>
              <w:pStyle w:val="TableContents"/>
              <w:spacing w:before="0" w:after="283"/>
              <w:rPr/>
            </w:pPr>
            <w:r>
              <w:rPr/>
              <w:t xml:space="preserve">  </w:t>
            </w:r>
          </w:p>
        </w:tc>
        <w:tc>
          <w:tcPr>
            <w:tcW w:w="6881" w:type="dxa"/>
            <w:gridSpan w:val="16"/>
            <w:tcBorders/>
            <w:shd w:fill="FFFFFF" w:val="clear"/>
          </w:tcPr>
          <w:p>
            <w:pPr>
              <w:pStyle w:val="TableContents"/>
              <w:spacing w:before="0" w:after="283"/>
              <w:rPr>
                <w:sz w:val="4"/>
                <w:szCs w:val="4"/>
              </w:rPr>
            </w:pPr>
            <w:r>
              <w:rPr>
                <w:sz w:val="4"/>
                <w:szCs w:val="4"/>
              </w:rPr>
            </w:r>
          </w:p>
        </w:tc>
      </w:tr>
      <w:tr>
        <w:trPr/>
        <w:tc>
          <w:tcPr>
            <w:tcW w:w="3324" w:type="dxa"/>
            <w:tcBorders/>
            <w:shd w:fill="CCEEFF" w:val="clear"/>
            <w:vAlign w:val="bottom"/>
          </w:tcPr>
          <w:p>
            <w:pPr>
              <w:pStyle w:val="TableContents"/>
              <w:spacing w:before="0" w:after="0"/>
              <w:ind w:left="200" w:right="0" w:hanging="200"/>
              <w:jc w:val="left"/>
              <w:rPr>
                <w:sz w:val="17"/>
              </w:rPr>
            </w:pPr>
            <w:r>
              <w:rPr>
                <w:sz w:val="17"/>
              </w:rPr>
              <w:t xml:space="preserve">Balance at December 31, 2004 </w:t>
            </w:r>
          </w:p>
        </w:tc>
        <w:tc>
          <w:tcPr>
            <w:tcW w:w="138"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538"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867" w:type="dxa"/>
            <w:tcBorders/>
            <w:shd w:fill="CCEEFF" w:val="clear"/>
            <w:vAlign w:val="bottom"/>
          </w:tcPr>
          <w:p>
            <w:pPr>
              <w:pStyle w:val="TableContents"/>
              <w:spacing w:before="0" w:after="283"/>
              <w:jc w:val="right"/>
              <w:rPr/>
            </w:pPr>
            <w:r>
              <w:rPr/>
              <w:t xml:space="preserve">0.4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043" w:type="dxa"/>
            <w:tcBorders/>
            <w:shd w:fill="CCEEFF" w:val="clear"/>
            <w:vAlign w:val="bottom"/>
          </w:tcPr>
          <w:p>
            <w:pPr>
              <w:pStyle w:val="TableContents"/>
              <w:spacing w:before="0" w:after="283"/>
              <w:jc w:val="right"/>
              <w:rPr/>
            </w:pPr>
            <w:r>
              <w:rPr/>
              <w:t xml:space="preserve">47.0 </w:t>
            </w:r>
          </w:p>
        </w:tc>
        <w:tc>
          <w:tcPr>
            <w:tcW w:w="150"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73" w:type="dxa"/>
            <w:tcBorders/>
            <w:shd w:fill="CCEEFF" w:val="clear"/>
            <w:vAlign w:val="bottom"/>
          </w:tcPr>
          <w:p>
            <w:pPr>
              <w:pStyle w:val="TableContents"/>
              <w:spacing w:before="0" w:after="283"/>
              <w:jc w:val="right"/>
              <w:rPr/>
            </w:pPr>
            <w:r>
              <w:rPr/>
              <w:t xml:space="preserve">47.4 </w:t>
            </w:r>
          </w:p>
        </w:tc>
        <w:tc>
          <w:tcPr>
            <w:tcW w:w="160" w:type="dxa"/>
            <w:tcBorders/>
            <w:shd w:fill="CCEE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4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3324" w:type="dxa"/>
            <w:tcBorders/>
            <w:shd w:fill="FFFFFF" w:val="clear"/>
            <w:vAlign w:val="bottom"/>
          </w:tcPr>
          <w:p>
            <w:pPr>
              <w:pStyle w:val="TableContents"/>
              <w:spacing w:before="0" w:after="0"/>
              <w:ind w:left="200" w:right="0" w:hanging="200"/>
              <w:jc w:val="left"/>
              <w:rPr>
                <w:sz w:val="17"/>
              </w:rPr>
            </w:pPr>
            <w:r>
              <w:rPr>
                <w:sz w:val="17"/>
              </w:rPr>
              <w:t xml:space="preserve">Balance at December 31, 2005 </w:t>
            </w:r>
          </w:p>
        </w:tc>
        <w:tc>
          <w:tcPr>
            <w:tcW w:w="138"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538"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867" w:type="dxa"/>
            <w:tcBorders/>
            <w:shd w:fill="FFFFFF" w:val="clear"/>
            <w:vAlign w:val="bottom"/>
          </w:tcPr>
          <w:p>
            <w:pPr>
              <w:pStyle w:val="TableContents"/>
              <w:spacing w:before="0" w:after="283"/>
              <w:jc w:val="right"/>
              <w:rPr/>
            </w:pPr>
            <w:r>
              <w:rPr/>
              <w:t xml:space="preserve">0.4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043" w:type="dxa"/>
            <w:tcBorders/>
            <w:shd w:fill="FFFFFF" w:val="clear"/>
            <w:vAlign w:val="bottom"/>
          </w:tcPr>
          <w:p>
            <w:pPr>
              <w:pStyle w:val="TableContents"/>
              <w:spacing w:before="0" w:after="283"/>
              <w:jc w:val="right"/>
              <w:rPr/>
            </w:pPr>
            <w:r>
              <w:rPr/>
              <w:t xml:space="preserve">47.0 </w:t>
            </w:r>
          </w:p>
        </w:tc>
        <w:tc>
          <w:tcPr>
            <w:tcW w:w="150"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73" w:type="dxa"/>
            <w:tcBorders/>
            <w:shd w:fill="FFFFFF" w:val="clear"/>
            <w:vAlign w:val="bottom"/>
          </w:tcPr>
          <w:p>
            <w:pPr>
              <w:pStyle w:val="TableContents"/>
              <w:spacing w:before="0" w:after="283"/>
              <w:jc w:val="right"/>
              <w:rPr/>
            </w:pPr>
            <w:r>
              <w:rPr/>
              <w:t xml:space="preserve">47.4 </w:t>
            </w:r>
          </w:p>
        </w:tc>
        <w:tc>
          <w:tcPr>
            <w:tcW w:w="160" w:type="dxa"/>
            <w:tcBorders/>
            <w:shd w:fill="FFFF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4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3324" w:type="dxa"/>
            <w:tcBorders/>
            <w:shd w:fill="CCEEFF" w:val="clear"/>
            <w:vAlign w:val="bottom"/>
          </w:tcPr>
          <w:p>
            <w:pPr>
              <w:pStyle w:val="TableContents"/>
              <w:spacing w:before="0" w:after="0"/>
              <w:ind w:left="400" w:right="0" w:hanging="200"/>
              <w:jc w:val="left"/>
              <w:rPr>
                <w:sz w:val="17"/>
              </w:rPr>
            </w:pPr>
            <w:r>
              <w:rPr>
                <w:sz w:val="17"/>
              </w:rPr>
              <w:t xml:space="preserve">2006 Additions </w:t>
            </w:r>
          </w:p>
        </w:tc>
        <w:tc>
          <w:tcPr>
            <w:tcW w:w="138"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538"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867"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043"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73"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0"/>
              <w:ind w:left="600" w:right="0" w:hanging="200"/>
              <w:jc w:val="left"/>
              <w:rPr>
                <w:sz w:val="17"/>
              </w:rPr>
            </w:pPr>
            <w:r>
              <w:rPr>
                <w:sz w:val="17"/>
              </w:rPr>
              <w:t xml:space="preserve">Pacific(1) </w:t>
            </w:r>
          </w:p>
        </w:tc>
        <w:tc>
          <w:tcPr>
            <w:tcW w:w="138"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538" w:type="dxa"/>
            <w:tcBorders/>
            <w:shd w:fill="FFFFFF" w:val="clear"/>
            <w:vAlign w:val="bottom"/>
          </w:tcPr>
          <w:p>
            <w:pPr>
              <w:pStyle w:val="TableContents"/>
              <w:spacing w:before="0" w:after="283"/>
              <w:jc w:val="right"/>
              <w:rPr/>
            </w:pPr>
            <w:r>
              <w:rPr/>
              <w:t xml:space="preserve">393.0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867" w:type="dxa"/>
            <w:tcBorders/>
            <w:shd w:fill="FFFFFF" w:val="clear"/>
            <w:vAlign w:val="bottom"/>
          </w:tcPr>
          <w:p>
            <w:pPr>
              <w:pStyle w:val="TableContents"/>
              <w:spacing w:before="0" w:after="283"/>
              <w:jc w:val="right"/>
              <w:rPr/>
            </w:pPr>
            <w:r>
              <w:rPr/>
              <w:t xml:space="preserve">190.2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043" w:type="dxa"/>
            <w:tcBorders/>
            <w:shd w:fill="FFFFFF" w:val="clear"/>
            <w:vAlign w:val="bottom"/>
          </w:tcPr>
          <w:p>
            <w:pPr>
              <w:pStyle w:val="TableContents"/>
              <w:spacing w:before="0" w:after="283"/>
              <w:jc w:val="right"/>
              <w:rPr/>
            </w:pPr>
            <w:r>
              <w:rPr/>
              <w:t xml:space="preserve">260.0 </w:t>
            </w:r>
          </w:p>
        </w:tc>
        <w:tc>
          <w:tcPr>
            <w:tcW w:w="150"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73" w:type="dxa"/>
            <w:tcBorders/>
            <w:shd w:fill="FFFFFF" w:val="clear"/>
            <w:vAlign w:val="bottom"/>
          </w:tcPr>
          <w:p>
            <w:pPr>
              <w:pStyle w:val="TableContents"/>
              <w:spacing w:before="0" w:after="283"/>
              <w:jc w:val="right"/>
              <w:rPr/>
            </w:pPr>
            <w:r>
              <w:rPr/>
              <w:t xml:space="preserve">843.2 </w:t>
            </w:r>
          </w:p>
        </w:tc>
        <w:tc>
          <w:tcPr>
            <w:tcW w:w="160" w:type="dxa"/>
            <w:tcBorders/>
            <w:shd w:fill="FFFFFF" w:val="clear"/>
            <w:vAlign w:val="bottom"/>
          </w:tcPr>
          <w:p>
            <w:pPr>
              <w:pStyle w:val="TableContents"/>
              <w:spacing w:before="0" w:after="283"/>
              <w:jc w:val="left"/>
              <w:rPr/>
            </w:pPr>
            <w:r>
              <w:rPr/>
              <w:t xml:space="preserve">  </w:t>
            </w:r>
          </w:p>
        </w:tc>
      </w:tr>
      <w:tr>
        <w:trPr/>
        <w:tc>
          <w:tcPr>
            <w:tcW w:w="3324" w:type="dxa"/>
            <w:tcBorders/>
            <w:shd w:fill="CCEEFF" w:val="clear"/>
            <w:vAlign w:val="bottom"/>
          </w:tcPr>
          <w:p>
            <w:pPr>
              <w:pStyle w:val="TableContents"/>
              <w:spacing w:before="0" w:after="0"/>
              <w:ind w:left="600" w:right="0" w:hanging="200"/>
              <w:jc w:val="left"/>
              <w:rPr>
                <w:sz w:val="17"/>
              </w:rPr>
            </w:pPr>
            <w:r>
              <w:rPr>
                <w:sz w:val="17"/>
              </w:rPr>
              <w:t xml:space="preserve">Andrews </w:t>
            </w:r>
          </w:p>
        </w:tc>
        <w:tc>
          <w:tcPr>
            <w:tcW w:w="138"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538" w:type="dxa"/>
            <w:tcBorders/>
            <w:shd w:fill="CCEEFF" w:val="clear"/>
            <w:vAlign w:val="bottom"/>
          </w:tcPr>
          <w:p>
            <w:pPr>
              <w:pStyle w:val="TableContents"/>
              <w:spacing w:before="0" w:after="283"/>
              <w:jc w:val="right"/>
              <w:rPr/>
            </w:pPr>
            <w:r>
              <w:rPr/>
              <w:t xml:space="preserve">5.9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867" w:type="dxa"/>
            <w:tcBorders/>
            <w:shd w:fill="CCEEFF" w:val="clear"/>
            <w:vAlign w:val="bottom"/>
          </w:tcPr>
          <w:p>
            <w:pPr>
              <w:pStyle w:val="TableContents"/>
              <w:spacing w:before="0" w:after="283"/>
              <w:jc w:val="right"/>
              <w:rPr/>
            </w:pPr>
            <w:r>
              <w:rPr/>
              <w:t xml:space="preserve">58.4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043" w:type="dxa"/>
            <w:tcBorders/>
            <w:shd w:fill="CCEEFF" w:val="clear"/>
            <w:vAlign w:val="bottom"/>
          </w:tcPr>
          <w:p>
            <w:pPr>
              <w:pStyle w:val="TableContents"/>
              <w:spacing w:before="0" w:after="283"/>
              <w:jc w:val="right"/>
              <w:rPr/>
            </w:pPr>
            <w:r>
              <w:rPr/>
              <w:t xml:space="preserve">6.0 </w:t>
            </w:r>
          </w:p>
        </w:tc>
        <w:tc>
          <w:tcPr>
            <w:tcW w:w="150"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73" w:type="dxa"/>
            <w:tcBorders/>
            <w:shd w:fill="CCEEFF" w:val="clear"/>
            <w:vAlign w:val="bottom"/>
          </w:tcPr>
          <w:p>
            <w:pPr>
              <w:pStyle w:val="TableContents"/>
              <w:spacing w:before="0" w:after="283"/>
              <w:jc w:val="right"/>
              <w:rPr/>
            </w:pPr>
            <w:r>
              <w:rPr/>
              <w:t xml:space="preserve">70.3 </w:t>
            </w:r>
          </w:p>
        </w:tc>
        <w:tc>
          <w:tcPr>
            <w:tcW w:w="160" w:type="dxa"/>
            <w:tcBorders/>
            <w:shd w:fill="CCEE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0"/>
              <w:ind w:left="600" w:right="0" w:hanging="200"/>
              <w:jc w:val="left"/>
              <w:rPr>
                <w:sz w:val="17"/>
              </w:rPr>
            </w:pPr>
            <w:r>
              <w:rPr>
                <w:sz w:val="17"/>
              </w:rPr>
              <w:t xml:space="preserve">SemCrude </w:t>
            </w:r>
          </w:p>
        </w:tc>
        <w:tc>
          <w:tcPr>
            <w:tcW w:w="138"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538"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867"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043" w:type="dxa"/>
            <w:tcBorders/>
            <w:shd w:fill="FFFFFF" w:val="clear"/>
            <w:vAlign w:val="bottom"/>
          </w:tcPr>
          <w:p>
            <w:pPr>
              <w:pStyle w:val="TableContents"/>
              <w:spacing w:before="0" w:after="283"/>
              <w:jc w:val="right"/>
              <w:rPr/>
            </w:pPr>
            <w:r>
              <w:rPr/>
              <w:t xml:space="preserve">62.8 </w:t>
            </w:r>
          </w:p>
        </w:tc>
        <w:tc>
          <w:tcPr>
            <w:tcW w:w="150"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73" w:type="dxa"/>
            <w:tcBorders/>
            <w:shd w:fill="FFFFFF" w:val="clear"/>
            <w:vAlign w:val="bottom"/>
          </w:tcPr>
          <w:p>
            <w:pPr>
              <w:pStyle w:val="TableContents"/>
              <w:spacing w:before="0" w:after="283"/>
              <w:jc w:val="right"/>
              <w:rPr/>
            </w:pPr>
            <w:r>
              <w:rPr/>
              <w:t xml:space="preserve">62.8 </w:t>
            </w:r>
          </w:p>
        </w:tc>
        <w:tc>
          <w:tcPr>
            <w:tcW w:w="160" w:type="dxa"/>
            <w:tcBorders/>
            <w:shd w:fill="FFFFFF" w:val="clear"/>
            <w:vAlign w:val="bottom"/>
          </w:tcPr>
          <w:p>
            <w:pPr>
              <w:pStyle w:val="TableContents"/>
              <w:spacing w:before="0" w:after="283"/>
              <w:jc w:val="left"/>
              <w:rPr/>
            </w:pPr>
            <w:r>
              <w:rPr/>
              <w:t xml:space="preserve">  </w:t>
            </w:r>
          </w:p>
        </w:tc>
      </w:tr>
      <w:tr>
        <w:trPr/>
        <w:tc>
          <w:tcPr>
            <w:tcW w:w="3324" w:type="dxa"/>
            <w:tcBorders/>
            <w:shd w:fill="CCEEFF" w:val="clear"/>
            <w:vAlign w:val="bottom"/>
          </w:tcPr>
          <w:p>
            <w:pPr>
              <w:pStyle w:val="TableContents"/>
              <w:spacing w:before="0" w:after="0"/>
              <w:ind w:left="600" w:right="0" w:hanging="200"/>
              <w:jc w:val="left"/>
              <w:rPr>
                <w:sz w:val="17"/>
              </w:rPr>
            </w:pPr>
            <w:r>
              <w:rPr>
                <w:sz w:val="17"/>
              </w:rPr>
              <w:t xml:space="preserve">Other </w:t>
            </w:r>
          </w:p>
        </w:tc>
        <w:tc>
          <w:tcPr>
            <w:tcW w:w="138"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538"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867"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pPr>
            <w:r>
              <w:rPr/>
              <w:t xml:space="preserve">  </w:t>
            </w:r>
          </w:p>
        </w:tc>
        <w:tc>
          <w:tcPr>
            <w:tcW w:w="1043" w:type="dxa"/>
            <w:tcBorders/>
            <w:shd w:fill="CCEEFF" w:val="clear"/>
            <w:vAlign w:val="bottom"/>
          </w:tcPr>
          <w:p>
            <w:pPr>
              <w:pStyle w:val="TableContents"/>
              <w:spacing w:before="0" w:after="283"/>
              <w:jc w:val="right"/>
              <w:rPr/>
            </w:pPr>
            <w:r>
              <w:rPr/>
              <w:t xml:space="preserve">2.5 </w:t>
            </w:r>
          </w:p>
        </w:tc>
        <w:tc>
          <w:tcPr>
            <w:tcW w:w="150" w:type="dxa"/>
            <w:tcBorders/>
            <w:shd w:fill="CCEEFF" w:val="clear"/>
            <w:vAlign w:val="bottom"/>
          </w:tcPr>
          <w:p>
            <w:pPr>
              <w:pStyle w:val="TableContents"/>
              <w:spacing w:before="0" w:after="283"/>
              <w:jc w:val="left"/>
              <w:rPr/>
            </w:pPr>
            <w:r>
              <w:rPr/>
              <w:t xml:space="preserve">  </w:t>
            </w:r>
          </w:p>
        </w:tc>
        <w:tc>
          <w:tcPr>
            <w:tcW w:w="180"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73" w:type="dxa"/>
            <w:tcBorders/>
            <w:shd w:fill="CCEEFF" w:val="clear"/>
            <w:vAlign w:val="bottom"/>
          </w:tcPr>
          <w:p>
            <w:pPr>
              <w:pStyle w:val="TableContents"/>
              <w:spacing w:before="0" w:after="283"/>
              <w:jc w:val="right"/>
              <w:rPr/>
            </w:pPr>
            <w:r>
              <w:rPr/>
              <w:t xml:space="preserve">2.5 </w:t>
            </w:r>
          </w:p>
        </w:tc>
        <w:tc>
          <w:tcPr>
            <w:tcW w:w="160" w:type="dxa"/>
            <w:tcBorders/>
            <w:shd w:fill="CCEE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4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7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3324" w:type="dxa"/>
            <w:tcBorders/>
            <w:shd w:fill="FFFFFF" w:val="clear"/>
            <w:vAlign w:val="bottom"/>
          </w:tcPr>
          <w:p>
            <w:pPr>
              <w:pStyle w:val="TableContents"/>
              <w:spacing w:before="0" w:after="0"/>
              <w:ind w:left="200" w:right="0" w:hanging="200"/>
              <w:jc w:val="left"/>
              <w:rPr>
                <w:sz w:val="17"/>
              </w:rPr>
            </w:pPr>
            <w:r>
              <w:rPr>
                <w:sz w:val="17"/>
              </w:rPr>
              <w:t xml:space="preserve">Balance at December 31, 2006 </w:t>
            </w:r>
          </w:p>
        </w:tc>
        <w:tc>
          <w:tcPr>
            <w:tcW w:w="138"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538" w:type="dxa"/>
            <w:tcBorders/>
            <w:shd w:fill="FFFFFF" w:val="clear"/>
            <w:vAlign w:val="bottom"/>
          </w:tcPr>
          <w:p>
            <w:pPr>
              <w:pStyle w:val="TableContents"/>
              <w:spacing w:before="0" w:after="283"/>
              <w:jc w:val="right"/>
              <w:rPr/>
            </w:pPr>
            <w:r>
              <w:rPr/>
              <w:t xml:space="preserve">398.9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867" w:type="dxa"/>
            <w:tcBorders/>
            <w:shd w:fill="FFFFFF" w:val="clear"/>
            <w:vAlign w:val="bottom"/>
          </w:tcPr>
          <w:p>
            <w:pPr>
              <w:pStyle w:val="TableContents"/>
              <w:spacing w:before="0" w:after="283"/>
              <w:jc w:val="right"/>
              <w:rPr/>
            </w:pPr>
            <w:r>
              <w:rPr/>
              <w:t xml:space="preserve">249.0 </w:t>
            </w:r>
          </w:p>
        </w:tc>
        <w:tc>
          <w:tcPr>
            <w:tcW w:w="150"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pPr>
            <w:r>
              <w:rPr/>
              <w:t xml:space="preserve">$ </w:t>
            </w:r>
          </w:p>
        </w:tc>
        <w:tc>
          <w:tcPr>
            <w:tcW w:w="1043" w:type="dxa"/>
            <w:tcBorders/>
            <w:shd w:fill="FFFFFF" w:val="clear"/>
            <w:vAlign w:val="bottom"/>
          </w:tcPr>
          <w:p>
            <w:pPr>
              <w:pStyle w:val="TableContents"/>
              <w:spacing w:before="0" w:after="283"/>
              <w:jc w:val="right"/>
              <w:rPr/>
            </w:pPr>
            <w:r>
              <w:rPr/>
              <w:t xml:space="preserve">378.3 </w:t>
            </w:r>
          </w:p>
        </w:tc>
        <w:tc>
          <w:tcPr>
            <w:tcW w:w="150"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73" w:type="dxa"/>
            <w:tcBorders/>
            <w:shd w:fill="FFFFFF" w:val="clear"/>
            <w:vAlign w:val="bottom"/>
          </w:tcPr>
          <w:p>
            <w:pPr>
              <w:pStyle w:val="TableContents"/>
              <w:spacing w:before="0" w:after="283"/>
              <w:jc w:val="right"/>
              <w:rPr/>
            </w:pPr>
            <w:r>
              <w:rPr/>
              <w:t xml:space="preserve">1,026.2 </w:t>
            </w:r>
          </w:p>
        </w:tc>
        <w:tc>
          <w:tcPr>
            <w:tcW w:w="160" w:type="dxa"/>
            <w:tcBorders/>
            <w:shd w:fill="FFFFFF" w:val="clear"/>
            <w:vAlign w:val="bottom"/>
          </w:tcPr>
          <w:p>
            <w:pPr>
              <w:pStyle w:val="TableContents"/>
              <w:spacing w:before="0" w:after="283"/>
              <w:jc w:val="left"/>
              <w:rPr/>
            </w:pPr>
            <w:r>
              <w:rPr/>
              <w:t xml:space="preserve">  </w:t>
            </w:r>
          </w:p>
        </w:tc>
      </w:tr>
      <w:tr>
        <w:trPr/>
        <w:tc>
          <w:tcPr>
            <w:tcW w:w="3324"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c>
          <w:tcPr>
            <w:tcW w:w="4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0"/>
        <w:gridCol w:w="9697"/>
      </w:tblGrid>
      <w:tr>
        <w:trPr/>
        <w:tc>
          <w:tcPr>
            <w:tcW w:w="408"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purchase price allocation related to the Pacific acquisition is preliminary and subject to change, pending finalization of the valuation of the assets and liabilities acquired.</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Intangible assets are tested for impairment when events or circumstances indicate that the carrying value may not be recoverable. Our intangible assets consist of the following: </w:t>
      </w:r>
    </w:p>
    <w:p>
      <w:pPr>
        <w:pStyle w:val="TextBody"/>
        <w:spacing w:before="120" w:after="283"/>
        <w:rPr/>
      </w:pPr>
      <w:r>
        <w:rPr/>
        <w:t> </w:t>
      </w:r>
    </w:p>
    <w:tbl>
      <w:tblPr>
        <w:tblW w:w="10270" w:type="dxa"/>
        <w:jc w:val="center"/>
        <w:tblInd w:w="0" w:type="dxa"/>
        <w:shd w:fill="FFFFFF" w:val="clear"/>
        <w:tblCellMar>
          <w:top w:w="0" w:type="dxa"/>
          <w:left w:w="0" w:type="dxa"/>
          <w:bottom w:w="0" w:type="dxa"/>
          <w:right w:w="0" w:type="dxa"/>
        </w:tblCellMar>
      </w:tblPr>
      <w:tblGrid>
        <w:gridCol w:w="1655"/>
        <w:gridCol w:w="60"/>
        <w:gridCol w:w="329"/>
        <w:gridCol w:w="1416"/>
        <w:gridCol w:w="120"/>
        <w:gridCol w:w="60"/>
        <w:gridCol w:w="200"/>
        <w:gridCol w:w="620"/>
        <w:gridCol w:w="120"/>
        <w:gridCol w:w="60"/>
        <w:gridCol w:w="418"/>
        <w:gridCol w:w="952"/>
        <w:gridCol w:w="155"/>
        <w:gridCol w:w="60"/>
        <w:gridCol w:w="200"/>
        <w:gridCol w:w="620"/>
        <w:gridCol w:w="120"/>
        <w:gridCol w:w="60"/>
        <w:gridCol w:w="200"/>
        <w:gridCol w:w="380"/>
        <w:gridCol w:w="120"/>
        <w:gridCol w:w="60"/>
        <w:gridCol w:w="418"/>
        <w:gridCol w:w="952"/>
        <w:gridCol w:w="155"/>
        <w:gridCol w:w="60"/>
        <w:gridCol w:w="200"/>
        <w:gridCol w:w="380"/>
        <w:gridCol w:w="120"/>
      </w:tblGrid>
      <w:tr>
        <w:trPr/>
        <w:tc>
          <w:tcPr>
            <w:tcW w:w="16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29" w:type="dxa"/>
            <w:tcBorders/>
            <w:shd w:fill="FFFFFF" w:val="clear"/>
            <w:vAlign w:val="bottom"/>
          </w:tcPr>
          <w:p>
            <w:pPr>
              <w:pStyle w:val="TableContents"/>
              <w:spacing w:before="0" w:after="283"/>
              <w:jc w:val="right"/>
              <w:rPr/>
            </w:pPr>
            <w:r>
              <w:rPr/>
              <w:t> </w:t>
            </w:r>
          </w:p>
        </w:tc>
        <w:tc>
          <w:tcPr>
            <w:tcW w:w="141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18" w:type="dxa"/>
            <w:tcBorders/>
            <w:shd w:fill="FFFFFF" w:val="clear"/>
            <w:vAlign w:val="bottom"/>
          </w:tcPr>
          <w:p>
            <w:pPr>
              <w:pStyle w:val="TableContents"/>
              <w:spacing w:before="0" w:after="283"/>
              <w:jc w:val="right"/>
              <w:rPr/>
            </w:pPr>
            <w:r>
              <w:rPr/>
              <w:t> </w:t>
            </w:r>
          </w:p>
        </w:tc>
        <w:tc>
          <w:tcPr>
            <w:tcW w:w="95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6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3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18" w:type="dxa"/>
            <w:tcBorders/>
            <w:shd w:fill="FFFFFF" w:val="clear"/>
            <w:vAlign w:val="bottom"/>
          </w:tcPr>
          <w:p>
            <w:pPr>
              <w:pStyle w:val="TableContents"/>
              <w:spacing w:before="0" w:after="283"/>
              <w:jc w:val="right"/>
              <w:rPr/>
            </w:pPr>
            <w:r>
              <w:rPr/>
              <w:t> </w:t>
            </w:r>
          </w:p>
        </w:tc>
        <w:tc>
          <w:tcPr>
            <w:tcW w:w="952"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3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16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gridSpan w:val="2"/>
            <w:tcBorders/>
            <w:shd w:fill="FFFFFF" w:val="clear"/>
            <w:vAlign w:val="bottom"/>
          </w:tcPr>
          <w:p>
            <w:pPr>
              <w:pStyle w:val="TableContents"/>
              <w:spacing w:before="0" w:after="283"/>
              <w:jc w:val="center"/>
              <w:rPr>
                <w:b/>
              </w:rPr>
            </w:pPr>
            <w:r>
              <w:rPr>
                <w:b/>
              </w:rPr>
              <w:t>Estimated Useful</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405" w:type="dxa"/>
            <w:gridSpan w:val="10"/>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925" w:type="dxa"/>
            <w:gridSpan w:val="10"/>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6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Lives (Years)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40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92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6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6510" w:type="dxa"/>
            <w:gridSpan w:val="22"/>
            <w:tcBorders/>
            <w:shd w:fill="FFFFFF" w:val="clear"/>
            <w:vAlign w:val="bottom"/>
          </w:tcPr>
          <w:p>
            <w:pPr>
              <w:pStyle w:val="TableContents"/>
              <w:spacing w:before="0" w:after="283"/>
              <w:jc w:val="center"/>
              <w:rPr/>
            </w:pPr>
            <w:r>
              <w:rPr>
                <w:b/>
              </w:rPr>
              <w:t>(In millions)</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6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shd w:fill="FFFFFF" w:val="clear"/>
            <w:vAlign w:val="bottom"/>
          </w:tcPr>
          <w:p>
            <w:pPr>
              <w:pStyle w:val="TableContents"/>
              <w:spacing w:before="0" w:after="283"/>
              <w:jc w:val="center"/>
              <w:rPr>
                <w:b/>
              </w:rPr>
            </w:pPr>
            <w:r>
              <w:rPr>
                <w:b/>
              </w:rPr>
              <w:t>Accumulated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2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5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shd w:fill="FFFFFF" w:val="clear"/>
            <w:vAlign w:val="bottom"/>
          </w:tcPr>
          <w:p>
            <w:pPr>
              <w:pStyle w:val="TableContents"/>
              <w:spacing w:before="0" w:after="283"/>
              <w:jc w:val="center"/>
              <w:rPr>
                <w:b/>
              </w:rPr>
            </w:pPr>
            <w:r>
              <w:rPr>
                <w:b/>
              </w:rPr>
              <w:t>Accumulated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5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6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Cost</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amortization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82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Net</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Cost</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3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amortization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Net</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655" w:type="dxa"/>
            <w:tcBorders/>
            <w:shd w:fill="FFFFFF" w:val="clear"/>
            <w:vAlign w:val="center"/>
          </w:tcPr>
          <w:p>
            <w:pPr>
              <w:pStyle w:val="TableContents"/>
              <w:spacing w:before="0" w:after="283"/>
              <w:rPr/>
            </w:pPr>
            <w:r>
              <w:rPr/>
              <w:t xml:space="preserve">  </w:t>
            </w:r>
          </w:p>
        </w:tc>
        <w:tc>
          <w:tcPr>
            <w:tcW w:w="8615" w:type="dxa"/>
            <w:gridSpan w:val="28"/>
            <w:tcBorders/>
            <w:shd w:fill="FFFFFF" w:val="clear"/>
          </w:tcPr>
          <w:p>
            <w:pPr>
              <w:pStyle w:val="TableContents"/>
              <w:spacing w:before="0" w:after="283"/>
              <w:rPr>
                <w:sz w:val="4"/>
                <w:szCs w:val="4"/>
              </w:rPr>
            </w:pPr>
            <w:r>
              <w:rPr>
                <w:sz w:val="4"/>
                <w:szCs w:val="4"/>
              </w:rPr>
            </w:r>
          </w:p>
        </w:tc>
      </w:tr>
      <w:tr>
        <w:trPr/>
        <w:tc>
          <w:tcPr>
            <w:tcW w:w="1655" w:type="dxa"/>
            <w:tcBorders/>
            <w:shd w:fill="CCEEFF" w:val="clear"/>
            <w:vAlign w:val="bottom"/>
          </w:tcPr>
          <w:p>
            <w:pPr>
              <w:pStyle w:val="TableContents"/>
              <w:spacing w:before="0" w:after="0"/>
              <w:ind w:left="200" w:right="0" w:hanging="200"/>
              <w:jc w:val="left"/>
              <w:rPr>
                <w:sz w:val="17"/>
              </w:rPr>
            </w:pPr>
            <w:r>
              <w:rPr>
                <w:sz w:val="17"/>
              </w:rPr>
              <w:t xml:space="preserve">Customer contracts </w:t>
            </w:r>
          </w:p>
        </w:tc>
        <w:tc>
          <w:tcPr>
            <w:tcW w:w="60"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16" w:type="dxa"/>
            <w:tcBorders/>
            <w:shd w:fill="CCEEFF" w:val="clear"/>
            <w:vAlign w:val="bottom"/>
          </w:tcPr>
          <w:p>
            <w:pPr>
              <w:pStyle w:val="TableContents"/>
              <w:spacing w:before="0" w:after="283"/>
              <w:jc w:val="center"/>
              <w:rPr/>
            </w:pPr>
            <w:r>
              <w:rPr/>
              <w:t xml:space="preserve">5-17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82.3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18" w:type="dxa"/>
            <w:tcBorders/>
            <w:shd w:fill="CCEEFF" w:val="clear"/>
            <w:vAlign w:val="bottom"/>
          </w:tcPr>
          <w:p>
            <w:pPr>
              <w:pStyle w:val="TableContents"/>
              <w:spacing w:before="0" w:after="283"/>
              <w:jc w:val="left"/>
              <w:rPr/>
            </w:pPr>
            <w:r>
              <w:rPr/>
              <w:t xml:space="preserve">$ </w:t>
            </w:r>
          </w:p>
        </w:tc>
        <w:tc>
          <w:tcPr>
            <w:tcW w:w="952" w:type="dxa"/>
            <w:tcBorders/>
            <w:shd w:fill="CCEEFF" w:val="clear"/>
            <w:vAlign w:val="bottom"/>
          </w:tcPr>
          <w:p>
            <w:pPr>
              <w:pStyle w:val="TableContents"/>
              <w:spacing w:before="0" w:after="283"/>
              <w:jc w:val="right"/>
              <w:rPr/>
            </w:pPr>
            <w:r>
              <w:rPr/>
              <w:t xml:space="preserve">(5.4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76.9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380" w:type="dxa"/>
            <w:tcBorders/>
            <w:shd w:fill="CCEEFF" w:val="clear"/>
            <w:vAlign w:val="bottom"/>
          </w:tcPr>
          <w:p>
            <w:pPr>
              <w:pStyle w:val="TableContents"/>
              <w:spacing w:before="0" w:after="283"/>
              <w:jc w:val="right"/>
              <w:rPr/>
            </w:pPr>
            <w:r>
              <w:rPr/>
              <w:t xml:space="preserve">2.8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18" w:type="dxa"/>
            <w:tcBorders/>
            <w:shd w:fill="CCEEFF" w:val="clear"/>
            <w:vAlign w:val="bottom"/>
          </w:tcPr>
          <w:p>
            <w:pPr>
              <w:pStyle w:val="TableContents"/>
              <w:spacing w:before="0" w:after="283"/>
              <w:jc w:val="left"/>
              <w:rPr/>
            </w:pPr>
            <w:r>
              <w:rPr/>
              <w:t xml:space="preserve">$ </w:t>
            </w:r>
          </w:p>
        </w:tc>
        <w:tc>
          <w:tcPr>
            <w:tcW w:w="952" w:type="dxa"/>
            <w:tcBorders/>
            <w:shd w:fill="CCEEFF" w:val="clear"/>
            <w:vAlign w:val="bottom"/>
          </w:tcPr>
          <w:p>
            <w:pPr>
              <w:pStyle w:val="TableContents"/>
              <w:spacing w:before="0" w:after="283"/>
              <w:jc w:val="right"/>
              <w:rPr/>
            </w:pPr>
            <w:r>
              <w:rPr/>
              <w:t xml:space="preserve">(1.1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380" w:type="dxa"/>
            <w:tcBorders/>
            <w:shd w:fill="CCEEFF" w:val="clear"/>
            <w:vAlign w:val="bottom"/>
          </w:tcPr>
          <w:p>
            <w:pPr>
              <w:pStyle w:val="TableContents"/>
              <w:spacing w:before="0" w:after="283"/>
              <w:jc w:val="right"/>
              <w:rPr/>
            </w:pPr>
            <w:r>
              <w:rPr/>
              <w:t xml:space="preserve">1.7 </w:t>
            </w:r>
          </w:p>
        </w:tc>
        <w:tc>
          <w:tcPr>
            <w:tcW w:w="120" w:type="dxa"/>
            <w:tcBorders/>
            <w:shd w:fill="CCEEFF" w:val="clear"/>
            <w:vAlign w:val="bottom"/>
          </w:tcPr>
          <w:p>
            <w:pPr>
              <w:pStyle w:val="TableContents"/>
              <w:spacing w:before="0" w:after="283"/>
              <w:jc w:val="left"/>
              <w:rPr/>
            </w:pPr>
            <w:r>
              <w:rPr/>
              <w:t xml:space="preserve">  </w:t>
            </w:r>
          </w:p>
        </w:tc>
      </w:tr>
      <w:tr>
        <w:trPr/>
        <w:tc>
          <w:tcPr>
            <w:tcW w:w="1655" w:type="dxa"/>
            <w:tcBorders/>
            <w:shd w:fill="FFFFFF" w:val="clear"/>
            <w:vAlign w:val="bottom"/>
          </w:tcPr>
          <w:p>
            <w:pPr>
              <w:pStyle w:val="TableContents"/>
              <w:spacing w:before="0" w:after="0"/>
              <w:ind w:left="200" w:right="0" w:hanging="200"/>
              <w:jc w:val="left"/>
              <w:rPr>
                <w:sz w:val="17"/>
              </w:rPr>
            </w:pPr>
            <w:r>
              <w:rPr>
                <w:sz w:val="17"/>
              </w:rPr>
              <w:t xml:space="preserve">Emission reduction credits </w:t>
            </w:r>
          </w:p>
        </w:tc>
        <w:tc>
          <w:tcPr>
            <w:tcW w:w="60"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16" w:type="dxa"/>
            <w:tcBorders/>
            <w:shd w:fill="FFFFFF" w:val="clear"/>
            <w:vAlign w:val="bottom"/>
          </w:tcPr>
          <w:p>
            <w:pPr>
              <w:pStyle w:val="TableContents"/>
              <w:spacing w:before="0" w:after="283"/>
              <w:jc w:val="center"/>
              <w:rPr/>
            </w:pPr>
            <w:r>
              <w:rPr/>
              <w:t xml:space="preserve">n/a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33.3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shd w:fill="FFFFFF" w:val="clear"/>
            <w:vAlign w:val="bottom"/>
          </w:tcPr>
          <w:p>
            <w:pPr>
              <w:pStyle w:val="TableContents"/>
              <w:spacing w:before="0" w:after="283"/>
              <w:jc w:val="left"/>
              <w:rPr/>
            </w:pPr>
            <w:r>
              <w:rPr/>
              <w:t xml:space="preserve">  </w:t>
            </w:r>
          </w:p>
        </w:tc>
        <w:tc>
          <w:tcPr>
            <w:tcW w:w="95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33.3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38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shd w:fill="FFFFFF" w:val="clear"/>
            <w:vAlign w:val="bottom"/>
          </w:tcPr>
          <w:p>
            <w:pPr>
              <w:pStyle w:val="TableContents"/>
              <w:spacing w:before="0" w:after="283"/>
              <w:jc w:val="left"/>
              <w:rPr/>
            </w:pPr>
            <w:r>
              <w:rPr/>
              <w:t xml:space="preserve">  </w:t>
            </w:r>
          </w:p>
        </w:tc>
        <w:tc>
          <w:tcPr>
            <w:tcW w:w="952"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380" w:type="dxa"/>
            <w:tcBorders/>
            <w:shd w:fill="FFFFFF" w:val="clear"/>
            <w:vAlign w:val="bottom"/>
          </w:tcPr>
          <w:p>
            <w:pPr>
              <w:pStyle w:val="TableContents"/>
              <w:spacing w:before="0" w:after="283"/>
              <w:jc w:val="right"/>
              <w:rPr/>
            </w:pPr>
            <w:r>
              <w:rPr/>
              <w:t xml:space="preserve"> </w:t>
            </w:r>
          </w:p>
        </w:tc>
        <w:tc>
          <w:tcPr>
            <w:tcW w:w="120" w:type="dxa"/>
            <w:tcBorders/>
            <w:shd w:fill="FFFFFF" w:val="clear"/>
            <w:vAlign w:val="bottom"/>
          </w:tcPr>
          <w:p>
            <w:pPr>
              <w:pStyle w:val="TableContents"/>
              <w:spacing w:before="0" w:after="283"/>
              <w:jc w:val="left"/>
              <w:rPr/>
            </w:pPr>
            <w:r>
              <w:rPr/>
              <w:t xml:space="preserve">  </w:t>
            </w:r>
          </w:p>
        </w:tc>
      </w:tr>
      <w:tr>
        <w:trPr/>
        <w:tc>
          <w:tcPr>
            <w:tcW w:w="1655" w:type="dxa"/>
            <w:tcBorders/>
            <w:shd w:fill="CCEEFF" w:val="clear"/>
            <w:vAlign w:val="bottom"/>
          </w:tcPr>
          <w:p>
            <w:pPr>
              <w:pStyle w:val="TableContents"/>
              <w:spacing w:before="0" w:after="0"/>
              <w:ind w:left="200" w:right="0" w:hanging="200"/>
              <w:jc w:val="left"/>
              <w:rPr>
                <w:sz w:val="17"/>
              </w:rPr>
            </w:pPr>
            <w:r>
              <w:rPr>
                <w:sz w:val="17"/>
              </w:rPr>
              <w:t xml:space="preserve">Environmental permits </w:t>
            </w:r>
          </w:p>
        </w:tc>
        <w:tc>
          <w:tcPr>
            <w:tcW w:w="60"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16" w:type="dxa"/>
            <w:tcBorders/>
            <w:shd w:fill="CCEEFF" w:val="clear"/>
            <w:vAlign w:val="bottom"/>
          </w:tcPr>
          <w:p>
            <w:pPr>
              <w:pStyle w:val="TableContents"/>
              <w:spacing w:before="0" w:after="283"/>
              <w:jc w:val="center"/>
              <w:rPr/>
            </w:pPr>
            <w:r>
              <w:rPr/>
              <w:t xml:space="preserve">2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7.9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18" w:type="dxa"/>
            <w:tcBorders/>
            <w:shd w:fill="CCEEFF" w:val="clear"/>
            <w:vAlign w:val="bottom"/>
          </w:tcPr>
          <w:p>
            <w:pPr>
              <w:pStyle w:val="TableContents"/>
              <w:spacing w:before="0" w:after="283"/>
              <w:jc w:val="left"/>
              <w:rPr/>
            </w:pPr>
            <w:r>
              <w:rPr/>
              <w:t xml:space="preserve">  </w:t>
            </w:r>
          </w:p>
        </w:tc>
        <w:tc>
          <w:tcPr>
            <w:tcW w:w="952" w:type="dxa"/>
            <w:tcBorders/>
            <w:shd w:fill="CCEEFF" w:val="clear"/>
            <w:vAlign w:val="bottom"/>
          </w:tcPr>
          <w:p>
            <w:pPr>
              <w:pStyle w:val="TableContents"/>
              <w:spacing w:before="0" w:after="283"/>
              <w:jc w:val="right"/>
              <w:rPr/>
            </w:pPr>
            <w:r>
              <w:rPr/>
              <w:t xml:space="preserve">(0.5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620" w:type="dxa"/>
            <w:tcBorders/>
            <w:shd w:fill="CCEEFF" w:val="clear"/>
            <w:vAlign w:val="bottom"/>
          </w:tcPr>
          <w:p>
            <w:pPr>
              <w:pStyle w:val="TableContents"/>
              <w:spacing w:before="0" w:after="283"/>
              <w:jc w:val="right"/>
              <w:rPr/>
            </w:pPr>
            <w:r>
              <w:rPr/>
              <w:t xml:space="preserve">7.4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38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18" w:type="dxa"/>
            <w:tcBorders/>
            <w:shd w:fill="CCEEFF" w:val="clear"/>
            <w:vAlign w:val="bottom"/>
          </w:tcPr>
          <w:p>
            <w:pPr>
              <w:pStyle w:val="TableContents"/>
              <w:spacing w:before="0" w:after="283"/>
              <w:jc w:val="left"/>
              <w:rPr/>
            </w:pPr>
            <w:r>
              <w:rPr/>
              <w:t xml:space="preserve">  </w:t>
            </w:r>
          </w:p>
        </w:tc>
        <w:tc>
          <w:tcPr>
            <w:tcW w:w="952"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38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r>
      <w:tr>
        <w:trPr/>
        <w:tc>
          <w:tcPr>
            <w:tcW w:w="16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r>
      <w:tr>
        <w:trPr/>
        <w:tc>
          <w:tcPr>
            <w:tcW w:w="16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16"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123.5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shd w:fill="FFFFFF" w:val="clear"/>
            <w:vAlign w:val="bottom"/>
          </w:tcPr>
          <w:p>
            <w:pPr>
              <w:pStyle w:val="TableContents"/>
              <w:spacing w:before="0" w:after="283"/>
              <w:jc w:val="left"/>
              <w:rPr/>
            </w:pPr>
            <w:r>
              <w:rPr/>
              <w:t xml:space="preserve">$ </w:t>
            </w:r>
          </w:p>
        </w:tc>
        <w:tc>
          <w:tcPr>
            <w:tcW w:w="952" w:type="dxa"/>
            <w:tcBorders/>
            <w:shd w:fill="FFFFFF" w:val="clear"/>
            <w:vAlign w:val="bottom"/>
          </w:tcPr>
          <w:p>
            <w:pPr>
              <w:pStyle w:val="TableContents"/>
              <w:spacing w:before="0" w:after="283"/>
              <w:jc w:val="right"/>
              <w:rPr/>
            </w:pPr>
            <w:r>
              <w:rPr/>
              <w:t xml:space="preserve">(5.9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620" w:type="dxa"/>
            <w:tcBorders/>
            <w:shd w:fill="FFFFFF" w:val="clear"/>
            <w:vAlign w:val="bottom"/>
          </w:tcPr>
          <w:p>
            <w:pPr>
              <w:pStyle w:val="TableContents"/>
              <w:spacing w:before="0" w:after="283"/>
              <w:jc w:val="right"/>
              <w:rPr/>
            </w:pPr>
            <w:r>
              <w:rPr/>
              <w:t xml:space="preserve">117.6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380" w:type="dxa"/>
            <w:tcBorders/>
            <w:shd w:fill="FFFFFF" w:val="clear"/>
            <w:vAlign w:val="bottom"/>
          </w:tcPr>
          <w:p>
            <w:pPr>
              <w:pStyle w:val="TableContents"/>
              <w:spacing w:before="0" w:after="283"/>
              <w:jc w:val="right"/>
              <w:rPr/>
            </w:pPr>
            <w:r>
              <w:rPr/>
              <w:t xml:space="preserve">2.8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shd w:fill="FFFFFF" w:val="clear"/>
            <w:vAlign w:val="bottom"/>
          </w:tcPr>
          <w:p>
            <w:pPr>
              <w:pStyle w:val="TableContents"/>
              <w:spacing w:before="0" w:after="283"/>
              <w:jc w:val="left"/>
              <w:rPr/>
            </w:pPr>
            <w:r>
              <w:rPr/>
              <w:t xml:space="preserve">$ </w:t>
            </w:r>
          </w:p>
        </w:tc>
        <w:tc>
          <w:tcPr>
            <w:tcW w:w="952" w:type="dxa"/>
            <w:tcBorders/>
            <w:shd w:fill="FFFFFF" w:val="clear"/>
            <w:vAlign w:val="bottom"/>
          </w:tcPr>
          <w:p>
            <w:pPr>
              <w:pStyle w:val="TableContents"/>
              <w:spacing w:before="0" w:after="283"/>
              <w:jc w:val="right"/>
              <w:rPr/>
            </w:pPr>
            <w:r>
              <w:rPr/>
              <w:t xml:space="preserve">(1.1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380" w:type="dxa"/>
            <w:tcBorders/>
            <w:shd w:fill="FFFFFF" w:val="clear"/>
            <w:vAlign w:val="bottom"/>
          </w:tcPr>
          <w:p>
            <w:pPr>
              <w:pStyle w:val="TableContents"/>
              <w:spacing w:before="0" w:after="283"/>
              <w:jc w:val="right"/>
              <w:rPr/>
            </w:pPr>
            <w:r>
              <w:rPr/>
              <w:t xml:space="preserve">1.7 </w:t>
            </w:r>
          </w:p>
        </w:tc>
        <w:tc>
          <w:tcPr>
            <w:tcW w:w="120" w:type="dxa"/>
            <w:tcBorders/>
            <w:shd w:fill="FFFFFF" w:val="clear"/>
            <w:vAlign w:val="bottom"/>
          </w:tcPr>
          <w:p>
            <w:pPr>
              <w:pStyle w:val="TableContents"/>
              <w:spacing w:before="0" w:after="283"/>
              <w:jc w:val="left"/>
              <w:rPr/>
            </w:pPr>
            <w:r>
              <w:rPr/>
              <w:t xml:space="preserve">  </w:t>
            </w:r>
          </w:p>
        </w:tc>
      </w:tr>
      <w:tr>
        <w:trPr/>
        <w:tc>
          <w:tcPr>
            <w:tcW w:w="16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8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1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8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amortization expense for finite-lived intangible assets for the years ended December 31, 2006, 2005 and 2004 was $4.8 million, $0.3 million and $0.3, respectively.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that our amortization expense related to finite-lived intangible assets for the next five years will be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761"/>
        <w:gridCol w:w="317"/>
        <w:gridCol w:w="207"/>
        <w:gridCol w:w="755"/>
        <w:gridCol w:w="165"/>
      </w:tblGrid>
      <w:tr>
        <w:trPr/>
        <w:tc>
          <w:tcPr>
            <w:tcW w:w="8761"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7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r>
      <w:tr>
        <w:trPr/>
        <w:tc>
          <w:tcPr>
            <w:tcW w:w="8761" w:type="dxa"/>
            <w:tcBorders/>
            <w:shd w:fill="CCEEFF" w:val="clear"/>
            <w:vAlign w:val="bottom"/>
          </w:tcPr>
          <w:p>
            <w:pPr>
              <w:pStyle w:val="TableContents"/>
              <w:spacing w:before="0" w:after="0"/>
              <w:ind w:left="1000" w:right="0" w:hanging="200"/>
              <w:jc w:val="left"/>
              <w:rPr>
                <w:sz w:val="17"/>
              </w:rPr>
            </w:pPr>
            <w:r>
              <w:rPr>
                <w:sz w:val="17"/>
              </w:rPr>
              <w:t xml:space="preserve">2007 </w:t>
            </w:r>
          </w:p>
        </w:tc>
        <w:tc>
          <w:tcPr>
            <w:tcW w:w="31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10.7 </w:t>
            </w:r>
          </w:p>
        </w:tc>
        <w:tc>
          <w:tcPr>
            <w:tcW w:w="165" w:type="dxa"/>
            <w:tcBorders/>
            <w:shd w:fill="CCEEFF" w:val="clear"/>
            <w:vAlign w:val="bottom"/>
          </w:tcPr>
          <w:p>
            <w:pPr>
              <w:pStyle w:val="TableContents"/>
              <w:spacing w:before="0" w:after="283"/>
              <w:jc w:val="left"/>
              <w:rPr/>
            </w:pPr>
            <w:r>
              <w:rPr/>
              <w:t xml:space="preserve">  </w:t>
            </w:r>
          </w:p>
        </w:tc>
      </w:tr>
      <w:tr>
        <w:trPr/>
        <w:tc>
          <w:tcPr>
            <w:tcW w:w="8761" w:type="dxa"/>
            <w:tcBorders/>
            <w:shd w:fill="FFFFFF" w:val="clear"/>
            <w:vAlign w:val="bottom"/>
          </w:tcPr>
          <w:p>
            <w:pPr>
              <w:pStyle w:val="TableContents"/>
              <w:spacing w:before="0" w:after="0"/>
              <w:ind w:left="1000" w:right="0" w:hanging="200"/>
              <w:jc w:val="left"/>
              <w:rPr>
                <w:sz w:val="17"/>
              </w:rPr>
            </w:pPr>
            <w:r>
              <w:rPr>
                <w:sz w:val="17"/>
              </w:rPr>
              <w:t xml:space="preserve">2008 </w:t>
            </w:r>
          </w:p>
        </w:tc>
        <w:tc>
          <w:tcPr>
            <w:tcW w:w="31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10.0 </w:t>
            </w:r>
          </w:p>
        </w:tc>
        <w:tc>
          <w:tcPr>
            <w:tcW w:w="165" w:type="dxa"/>
            <w:tcBorders/>
            <w:shd w:fill="FFFFFF" w:val="clear"/>
            <w:vAlign w:val="bottom"/>
          </w:tcPr>
          <w:p>
            <w:pPr>
              <w:pStyle w:val="TableContents"/>
              <w:spacing w:before="0" w:after="283"/>
              <w:jc w:val="left"/>
              <w:rPr/>
            </w:pPr>
            <w:r>
              <w:rPr/>
              <w:t xml:space="preserve">  </w:t>
            </w:r>
          </w:p>
        </w:tc>
      </w:tr>
      <w:tr>
        <w:trPr/>
        <w:tc>
          <w:tcPr>
            <w:tcW w:w="8761" w:type="dxa"/>
            <w:tcBorders/>
            <w:shd w:fill="CCEEFF" w:val="clear"/>
            <w:vAlign w:val="bottom"/>
          </w:tcPr>
          <w:p>
            <w:pPr>
              <w:pStyle w:val="TableContents"/>
              <w:spacing w:before="0" w:after="0"/>
              <w:ind w:left="1000" w:right="0" w:hanging="200"/>
              <w:jc w:val="left"/>
              <w:rPr>
                <w:sz w:val="17"/>
              </w:rPr>
            </w:pPr>
            <w:r>
              <w:rPr>
                <w:sz w:val="17"/>
              </w:rPr>
              <w:t xml:space="preserve">2009 </w:t>
            </w:r>
          </w:p>
        </w:tc>
        <w:tc>
          <w:tcPr>
            <w:tcW w:w="31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6.6 </w:t>
            </w:r>
          </w:p>
        </w:tc>
        <w:tc>
          <w:tcPr>
            <w:tcW w:w="165" w:type="dxa"/>
            <w:tcBorders/>
            <w:shd w:fill="CCEEFF" w:val="clear"/>
            <w:vAlign w:val="bottom"/>
          </w:tcPr>
          <w:p>
            <w:pPr>
              <w:pStyle w:val="TableContents"/>
              <w:spacing w:before="0" w:after="283"/>
              <w:jc w:val="left"/>
              <w:rPr/>
            </w:pPr>
            <w:r>
              <w:rPr/>
              <w:t xml:space="preserve">  </w:t>
            </w:r>
          </w:p>
        </w:tc>
      </w:tr>
      <w:tr>
        <w:trPr/>
        <w:tc>
          <w:tcPr>
            <w:tcW w:w="8761" w:type="dxa"/>
            <w:tcBorders/>
            <w:shd w:fill="FFFFFF" w:val="clear"/>
            <w:vAlign w:val="bottom"/>
          </w:tcPr>
          <w:p>
            <w:pPr>
              <w:pStyle w:val="TableContents"/>
              <w:spacing w:before="0" w:after="0"/>
              <w:ind w:left="1000" w:right="0" w:hanging="200"/>
              <w:jc w:val="left"/>
              <w:rPr>
                <w:sz w:val="17"/>
              </w:rPr>
            </w:pPr>
            <w:r>
              <w:rPr>
                <w:sz w:val="17"/>
              </w:rPr>
              <w:t xml:space="preserve">2010 </w:t>
            </w:r>
          </w:p>
        </w:tc>
        <w:tc>
          <w:tcPr>
            <w:tcW w:w="317"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755" w:type="dxa"/>
            <w:tcBorders/>
            <w:shd w:fill="FFFFFF" w:val="clear"/>
            <w:vAlign w:val="bottom"/>
          </w:tcPr>
          <w:p>
            <w:pPr>
              <w:pStyle w:val="TableContents"/>
              <w:spacing w:before="0" w:after="283"/>
              <w:jc w:val="right"/>
              <w:rPr/>
            </w:pPr>
            <w:r>
              <w:rPr/>
              <w:t xml:space="preserve">6.6 </w:t>
            </w:r>
          </w:p>
        </w:tc>
        <w:tc>
          <w:tcPr>
            <w:tcW w:w="165" w:type="dxa"/>
            <w:tcBorders/>
            <w:shd w:fill="FFFFFF" w:val="clear"/>
            <w:vAlign w:val="bottom"/>
          </w:tcPr>
          <w:p>
            <w:pPr>
              <w:pStyle w:val="TableContents"/>
              <w:spacing w:before="0" w:after="283"/>
              <w:jc w:val="left"/>
              <w:rPr/>
            </w:pPr>
            <w:r>
              <w:rPr/>
              <w:t xml:space="preserve">  </w:t>
            </w:r>
          </w:p>
        </w:tc>
      </w:tr>
      <w:tr>
        <w:trPr/>
        <w:tc>
          <w:tcPr>
            <w:tcW w:w="8761" w:type="dxa"/>
            <w:tcBorders/>
            <w:shd w:fill="CCEEFF" w:val="clear"/>
            <w:vAlign w:val="bottom"/>
          </w:tcPr>
          <w:p>
            <w:pPr>
              <w:pStyle w:val="TableContents"/>
              <w:spacing w:before="0" w:after="0"/>
              <w:ind w:left="1000" w:right="0" w:hanging="200"/>
              <w:jc w:val="left"/>
              <w:rPr>
                <w:sz w:val="17"/>
              </w:rPr>
            </w:pPr>
            <w:r>
              <w:rPr>
                <w:sz w:val="17"/>
              </w:rPr>
              <w:t xml:space="preserve">2011 </w:t>
            </w:r>
          </w:p>
        </w:tc>
        <w:tc>
          <w:tcPr>
            <w:tcW w:w="317"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755" w:type="dxa"/>
            <w:tcBorders/>
            <w:shd w:fill="CCEEFF" w:val="clear"/>
            <w:vAlign w:val="bottom"/>
          </w:tcPr>
          <w:p>
            <w:pPr>
              <w:pStyle w:val="TableContents"/>
              <w:spacing w:before="0" w:after="283"/>
              <w:jc w:val="right"/>
              <w:rPr/>
            </w:pPr>
            <w:r>
              <w:rPr/>
              <w:t xml:space="preserve">5.6 </w:t>
            </w:r>
          </w:p>
        </w:tc>
        <w:tc>
          <w:tcPr>
            <w:tcW w:w="165" w:type="dxa"/>
            <w:tcBorders/>
            <w:shd w:fill="CCEEFF" w:val="clear"/>
            <w:vAlign w:val="bottom"/>
          </w:tcPr>
          <w:p>
            <w:pPr>
              <w:pStyle w:val="TableContents"/>
              <w:spacing w:before="0" w:after="283"/>
              <w:jc w:val="left"/>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Other assets, net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assets, net of accumulated amortization consist of the following: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709"/>
        <w:gridCol w:w="199"/>
        <w:gridCol w:w="203"/>
        <w:gridCol w:w="704"/>
        <w:gridCol w:w="176"/>
        <w:gridCol w:w="281"/>
        <w:gridCol w:w="203"/>
        <w:gridCol w:w="549"/>
        <w:gridCol w:w="181"/>
      </w:tblGrid>
      <w:tr>
        <w:trPr/>
        <w:tc>
          <w:tcPr>
            <w:tcW w:w="7709"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704"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8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549"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r>
      <w:tr>
        <w:trPr/>
        <w:tc>
          <w:tcPr>
            <w:tcW w:w="7709"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11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7709"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9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75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7709"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116" w:type="dxa"/>
            <w:gridSpan w:val="6"/>
            <w:tcBorders/>
            <w:shd w:fill="FFFFFF" w:val="clear"/>
            <w:vAlign w:val="bottom"/>
          </w:tcPr>
          <w:p>
            <w:pPr>
              <w:pStyle w:val="TableContents"/>
              <w:spacing w:before="0" w:after="283"/>
              <w:jc w:val="center"/>
              <w:rPr/>
            </w:pPr>
            <w:r>
              <w:rPr>
                <w:b/>
              </w:rPr>
              <w:t>(In millions)</w:t>
            </w:r>
            <w:r>
              <w:rPr/>
              <w:t xml:space="preserve"> </w:t>
            </w:r>
          </w:p>
        </w:tc>
        <w:tc>
          <w:tcPr>
            <w:tcW w:w="181" w:type="dxa"/>
            <w:tcBorders/>
            <w:shd w:fill="FFFFFF" w:val="clear"/>
            <w:vAlign w:val="bottom"/>
          </w:tcPr>
          <w:p>
            <w:pPr>
              <w:pStyle w:val="TableContents"/>
              <w:spacing w:before="0" w:after="283"/>
              <w:jc w:val="center"/>
              <w:rPr/>
            </w:pPr>
            <w:r>
              <w:rPr/>
              <w:t xml:space="preserve">  </w:t>
            </w:r>
          </w:p>
        </w:tc>
      </w:tr>
      <w:tr>
        <w:trPr/>
        <w:tc>
          <w:tcPr>
            <w:tcW w:w="7709" w:type="dxa"/>
            <w:tcBorders/>
            <w:shd w:fill="FFFFFF" w:val="clear"/>
            <w:vAlign w:val="center"/>
          </w:tcPr>
          <w:p>
            <w:pPr>
              <w:pStyle w:val="TableContents"/>
              <w:spacing w:before="0" w:after="283"/>
              <w:rPr/>
            </w:pPr>
            <w:r>
              <w:rPr/>
              <w:t xml:space="preserve">  </w:t>
            </w:r>
          </w:p>
        </w:tc>
        <w:tc>
          <w:tcPr>
            <w:tcW w:w="2496" w:type="dxa"/>
            <w:gridSpan w:val="8"/>
            <w:tcBorders/>
            <w:shd w:fill="FFFFFF" w:val="clear"/>
          </w:tcPr>
          <w:p>
            <w:pPr>
              <w:pStyle w:val="TableContents"/>
              <w:spacing w:before="0" w:after="283"/>
              <w:rPr>
                <w:sz w:val="4"/>
                <w:szCs w:val="4"/>
              </w:rPr>
            </w:pPr>
            <w:r>
              <w:rPr>
                <w:sz w:val="4"/>
                <w:szCs w:val="4"/>
              </w:rPr>
            </w:r>
          </w:p>
        </w:tc>
      </w:tr>
      <w:tr>
        <w:trPr/>
        <w:tc>
          <w:tcPr>
            <w:tcW w:w="7709" w:type="dxa"/>
            <w:tcBorders/>
            <w:shd w:fill="CCEEFF" w:val="clear"/>
            <w:vAlign w:val="bottom"/>
          </w:tcPr>
          <w:p>
            <w:pPr>
              <w:pStyle w:val="TableContents"/>
              <w:spacing w:before="0" w:after="0"/>
              <w:ind w:left="200" w:right="0" w:hanging="200"/>
              <w:jc w:val="left"/>
              <w:rPr>
                <w:sz w:val="17"/>
              </w:rPr>
            </w:pPr>
            <w:r>
              <w:rPr>
                <w:sz w:val="17"/>
              </w:rPr>
              <w:t xml:space="preserve">Debt issue costs </w:t>
            </w:r>
          </w:p>
        </w:tc>
        <w:tc>
          <w:tcPr>
            <w:tcW w:w="19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29.3 </w:t>
            </w:r>
          </w:p>
        </w:tc>
        <w:tc>
          <w:tcPr>
            <w:tcW w:w="176"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9" w:type="dxa"/>
            <w:tcBorders/>
            <w:shd w:fill="CCEEFF" w:val="clear"/>
            <w:vAlign w:val="bottom"/>
          </w:tcPr>
          <w:p>
            <w:pPr>
              <w:pStyle w:val="TableContents"/>
              <w:spacing w:before="0" w:after="283"/>
              <w:jc w:val="right"/>
              <w:rPr/>
            </w:pPr>
            <w:r>
              <w:rPr/>
              <w:t xml:space="preserve">17.4 </w:t>
            </w:r>
          </w:p>
        </w:tc>
        <w:tc>
          <w:tcPr>
            <w:tcW w:w="181" w:type="dxa"/>
            <w:tcBorders/>
            <w:shd w:fill="CCEE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0"/>
              <w:ind w:left="200" w:right="0" w:hanging="200"/>
              <w:jc w:val="left"/>
              <w:rPr>
                <w:sz w:val="17"/>
              </w:rPr>
            </w:pPr>
            <w:r>
              <w:rPr>
                <w:sz w:val="17"/>
              </w:rPr>
              <w:t xml:space="preserve">Fair value of derivative instruments </w:t>
            </w:r>
          </w:p>
        </w:tc>
        <w:tc>
          <w:tcPr>
            <w:tcW w:w="19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9.1 </w:t>
            </w:r>
          </w:p>
        </w:tc>
        <w:tc>
          <w:tcPr>
            <w:tcW w:w="176"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9" w:type="dxa"/>
            <w:tcBorders/>
            <w:shd w:fill="FFFFFF" w:val="clear"/>
            <w:vAlign w:val="bottom"/>
          </w:tcPr>
          <w:p>
            <w:pPr>
              <w:pStyle w:val="TableContents"/>
              <w:spacing w:before="0" w:after="283"/>
              <w:jc w:val="right"/>
              <w:rPr/>
            </w:pPr>
            <w:r>
              <w:rPr/>
              <w:t xml:space="preserve">5.5 </w:t>
            </w:r>
          </w:p>
        </w:tc>
        <w:tc>
          <w:tcPr>
            <w:tcW w:w="181" w:type="dxa"/>
            <w:tcBorders/>
            <w:shd w:fill="FFFFFF" w:val="clear"/>
            <w:vAlign w:val="bottom"/>
          </w:tcPr>
          <w:p>
            <w:pPr>
              <w:pStyle w:val="TableContents"/>
              <w:spacing w:before="0" w:after="283"/>
              <w:jc w:val="left"/>
              <w:rPr/>
            </w:pPr>
            <w:r>
              <w:rPr/>
              <w:t xml:space="preserve">  </w:t>
            </w:r>
          </w:p>
        </w:tc>
      </w:tr>
      <w:tr>
        <w:trPr/>
        <w:tc>
          <w:tcPr>
            <w:tcW w:w="7709" w:type="dxa"/>
            <w:tcBorders/>
            <w:shd w:fill="CCEEFF" w:val="clear"/>
            <w:vAlign w:val="bottom"/>
          </w:tcPr>
          <w:p>
            <w:pPr>
              <w:pStyle w:val="TableContents"/>
              <w:spacing w:before="0" w:after="0"/>
              <w:ind w:left="200" w:right="0" w:hanging="200"/>
              <w:jc w:val="left"/>
              <w:rPr>
                <w:sz w:val="17"/>
              </w:rPr>
            </w:pPr>
            <w:r>
              <w:rPr>
                <w:sz w:val="17"/>
              </w:rPr>
              <w:t xml:space="preserve">Intangible assets(1) </w:t>
            </w:r>
          </w:p>
        </w:tc>
        <w:tc>
          <w:tcPr>
            <w:tcW w:w="19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123.5 </w:t>
            </w:r>
          </w:p>
        </w:tc>
        <w:tc>
          <w:tcPr>
            <w:tcW w:w="176"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9" w:type="dxa"/>
            <w:tcBorders/>
            <w:shd w:fill="CCEEFF" w:val="clear"/>
            <w:vAlign w:val="bottom"/>
          </w:tcPr>
          <w:p>
            <w:pPr>
              <w:pStyle w:val="TableContents"/>
              <w:spacing w:before="0" w:after="283"/>
              <w:jc w:val="right"/>
              <w:rPr/>
            </w:pPr>
            <w:r>
              <w:rPr/>
              <w:t xml:space="preserve">2.8 </w:t>
            </w:r>
          </w:p>
        </w:tc>
        <w:tc>
          <w:tcPr>
            <w:tcW w:w="181" w:type="dxa"/>
            <w:tcBorders/>
            <w:shd w:fill="CCEE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0"/>
              <w:ind w:left="200" w:right="0" w:hanging="200"/>
              <w:jc w:val="left"/>
              <w:rPr>
                <w:sz w:val="17"/>
              </w:rPr>
            </w:pPr>
            <w:r>
              <w:rPr>
                <w:sz w:val="17"/>
              </w:rPr>
              <w:t xml:space="preserve">Other </w:t>
            </w:r>
          </w:p>
        </w:tc>
        <w:tc>
          <w:tcPr>
            <w:tcW w:w="19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17.9 </w:t>
            </w:r>
          </w:p>
        </w:tc>
        <w:tc>
          <w:tcPr>
            <w:tcW w:w="176"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9" w:type="dxa"/>
            <w:tcBorders/>
            <w:shd w:fill="FFFFFF" w:val="clear"/>
            <w:vAlign w:val="bottom"/>
          </w:tcPr>
          <w:p>
            <w:pPr>
              <w:pStyle w:val="TableContents"/>
              <w:spacing w:before="0" w:after="283"/>
              <w:jc w:val="right"/>
              <w:rPr/>
            </w:pPr>
            <w:r>
              <w:rPr/>
              <w:t xml:space="preserve">18.5 </w:t>
            </w:r>
          </w:p>
        </w:tc>
        <w:tc>
          <w:tcPr>
            <w:tcW w:w="181" w:type="dxa"/>
            <w:tcBorders/>
            <w:shd w:fill="FFFF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4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7709" w:type="dxa"/>
            <w:tcBorders/>
            <w:shd w:fill="CCEEFF" w:val="clear"/>
            <w:vAlign w:val="bottom"/>
          </w:tcPr>
          <w:p>
            <w:pPr>
              <w:pStyle w:val="TableContents"/>
              <w:spacing w:before="0" w:after="283"/>
              <w:jc w:val="left"/>
              <w:rPr/>
            </w:pPr>
            <w:r>
              <w:rPr/>
              <w:t xml:space="preserve">  </w:t>
            </w:r>
          </w:p>
        </w:tc>
        <w:tc>
          <w:tcPr>
            <w:tcW w:w="19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179.8 </w:t>
            </w:r>
          </w:p>
        </w:tc>
        <w:tc>
          <w:tcPr>
            <w:tcW w:w="176"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9" w:type="dxa"/>
            <w:tcBorders/>
            <w:shd w:fill="CCEEFF" w:val="clear"/>
            <w:vAlign w:val="bottom"/>
          </w:tcPr>
          <w:p>
            <w:pPr>
              <w:pStyle w:val="TableContents"/>
              <w:spacing w:before="0" w:after="283"/>
              <w:jc w:val="right"/>
              <w:rPr/>
            </w:pPr>
            <w:r>
              <w:rPr/>
              <w:t xml:space="preserve">44.2 </w:t>
            </w:r>
          </w:p>
        </w:tc>
        <w:tc>
          <w:tcPr>
            <w:tcW w:w="181" w:type="dxa"/>
            <w:tcBorders/>
            <w:shd w:fill="CCEE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0"/>
              <w:ind w:left="200" w:right="0" w:hanging="200"/>
              <w:jc w:val="left"/>
              <w:rPr>
                <w:sz w:val="17"/>
              </w:rPr>
            </w:pPr>
            <w:r>
              <w:rPr>
                <w:sz w:val="17"/>
              </w:rPr>
              <w:t xml:space="preserve">Less accumulated amortization </w:t>
            </w:r>
          </w:p>
        </w:tc>
        <w:tc>
          <w:tcPr>
            <w:tcW w:w="199"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04" w:type="dxa"/>
            <w:tcBorders/>
            <w:shd w:fill="FFFFFF" w:val="clear"/>
            <w:vAlign w:val="bottom"/>
          </w:tcPr>
          <w:p>
            <w:pPr>
              <w:pStyle w:val="TableContents"/>
              <w:spacing w:before="0" w:after="283"/>
              <w:jc w:val="right"/>
              <w:rPr/>
            </w:pPr>
            <w:r>
              <w:rPr/>
              <w:t xml:space="preserve">(14.9 </w:t>
            </w:r>
          </w:p>
        </w:tc>
        <w:tc>
          <w:tcPr>
            <w:tcW w:w="176"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549" w:type="dxa"/>
            <w:tcBorders/>
            <w:shd w:fill="FFFFFF" w:val="clear"/>
            <w:vAlign w:val="bottom"/>
          </w:tcPr>
          <w:p>
            <w:pPr>
              <w:pStyle w:val="TableContents"/>
              <w:spacing w:before="0" w:after="283"/>
              <w:jc w:val="right"/>
              <w:rPr/>
            </w:pPr>
            <w:r>
              <w:rPr/>
              <w:t xml:space="preserve">(7.1 </w:t>
            </w:r>
          </w:p>
        </w:tc>
        <w:tc>
          <w:tcPr>
            <w:tcW w:w="181" w:type="dxa"/>
            <w:tcBorders/>
            <w:shd w:fill="FFFF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4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7709" w:type="dxa"/>
            <w:tcBorders/>
            <w:shd w:fill="CCEEFF" w:val="clear"/>
            <w:vAlign w:val="bottom"/>
          </w:tcPr>
          <w:p>
            <w:pPr>
              <w:pStyle w:val="TableContents"/>
              <w:spacing w:before="0" w:after="283"/>
              <w:jc w:val="left"/>
              <w:rPr/>
            </w:pPr>
            <w:r>
              <w:rPr/>
              <w:t xml:space="preserve">  </w:t>
            </w:r>
          </w:p>
        </w:tc>
        <w:tc>
          <w:tcPr>
            <w:tcW w:w="199"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04" w:type="dxa"/>
            <w:tcBorders/>
            <w:shd w:fill="CCEEFF" w:val="clear"/>
            <w:vAlign w:val="bottom"/>
          </w:tcPr>
          <w:p>
            <w:pPr>
              <w:pStyle w:val="TableContents"/>
              <w:spacing w:before="0" w:after="283"/>
              <w:jc w:val="right"/>
              <w:rPr/>
            </w:pPr>
            <w:r>
              <w:rPr/>
              <w:t xml:space="preserve">164.9 </w:t>
            </w:r>
          </w:p>
        </w:tc>
        <w:tc>
          <w:tcPr>
            <w:tcW w:w="176"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549" w:type="dxa"/>
            <w:tcBorders/>
            <w:shd w:fill="CCEEFF" w:val="clear"/>
            <w:vAlign w:val="bottom"/>
          </w:tcPr>
          <w:p>
            <w:pPr>
              <w:pStyle w:val="TableContents"/>
              <w:spacing w:before="0" w:after="283"/>
              <w:jc w:val="right"/>
              <w:rPr/>
            </w:pPr>
            <w:r>
              <w:rPr/>
              <w:t xml:space="preserve">37.1 </w:t>
            </w:r>
          </w:p>
        </w:tc>
        <w:tc>
          <w:tcPr>
            <w:tcW w:w="181" w:type="dxa"/>
            <w:tcBorders/>
            <w:shd w:fill="CCEEFF" w:val="clear"/>
            <w:vAlign w:val="bottom"/>
          </w:tcPr>
          <w:p>
            <w:pPr>
              <w:pStyle w:val="TableContents"/>
              <w:spacing w:before="0" w:after="283"/>
              <w:jc w:val="left"/>
              <w:rPr/>
            </w:pPr>
            <w:r>
              <w:rPr/>
              <w:t xml:space="preserve">  </w:t>
            </w:r>
          </w:p>
        </w:tc>
      </w:tr>
      <w:tr>
        <w:trPr/>
        <w:tc>
          <w:tcPr>
            <w:tcW w:w="7709"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The majority of the increase in 2006 relates to acquisitions. See the table above and Note 3.</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$13.2 million, $3.3 million and $5.9 million in 2006, 2005 and 2004, respectively. In addition, during 2006 we wrote off approximately $1.4 million of fully amortized costs and the related accumulated amortization. During 2006, 2005 and 2004, we wrote off unamortized costs totaling $0, $1.4 million and $0.7 million, respectively.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Amortization expense related to other assets (including finite-lived intangible assets) for each of the three years in the period ended December 31, 2006, was $9.1 million, $4.3 million and $3.9 million, respectively. </w:t>
      </w:r>
    </w:p>
    <w:p>
      <w:pPr>
        <w:pStyle w:val="TextBody"/>
        <w:spacing w:before="16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Environmental Matters</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also record receivables for amounts recoverable from insurance or from third parties under indemnification agreements in the period that we determine the costs are probable of recovery. </w:t>
      </w:r>
    </w:p>
    <w:p>
      <w:pPr>
        <w:pStyle w:val="TextBody"/>
        <w:spacing w:before="8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expense expenditures that relate to an existing condition caused by past operations, which do not contribute to current or future revenue generation. We record environmental liabilities assumed in business combinations based on the estimated fair value of the environmental obligations caused by past operations of the acquired company. See Note 13.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6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Income and Other Taxes</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provision for U.S. federal income taxes related to our operations is included in the accompanying consolidated financial statements. As a partnership we are not subject to federal or state income tax and the tax effect of our activities accrues to the unitholders. Except for the Canadian operations acquired in the Pacific acquisition, the Partnerships Canadian operations are conducted through an operating limited partnership, of which our wholly owned subsidiary PMC (Nova Scotia) Company is the general partner. For Canadian tax purposes, the general partner is taxed as a corporation, subject to income taxes and a capital-based tax at federal and provincial levels. For the years presented, these amounts were immaterial. The Canadian entities acquired in the Pacific acquisition are corporations for Canadian tax purposes, thus their operations are subject to income taxes in Canada. For 2006, the income tax provision associated with these operations was not material.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estimate (a) income taxes in the jurisdictions in which we operate, (b) net deferred tax assets and liabilities based on expected future taxes in the jurisdictions in which we operate, (c) valuation allowances for deferred tax assets and (d) contingent tax liabilities for estimated exposures related to our current tax positions. These estimates are considered a critical accounting estimate because they require projecting future operating results (which is inherently imprecise). Also, these estimates depend on assumptions regarding our ability to generate future taxable income during the periods in which temporary differences are deductible. See Note 7.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we have not recorded a valuation allowance against our deferred tax assets for federal net operating loss carryforwards. Management believes that it is more likely than not that we will realize the deferred tax assets associated with the federal net operating loss. Key factors in this assessment include an evaluation of our recent history of taxable earnings and losses (as adjusted), future reversals of temporary differences and identification of other sources of future taxable income, including the identification of tax planning strategies. </w:t>
      </w:r>
    </w:p>
    <w:p>
      <w:pPr>
        <w:pStyle w:val="TextBody"/>
        <w:spacing w:before="16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Recent Accounting Pronouncements</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February 2007, the FASB issued SFAS No. 159 The Fair Value Option for Financial Assets and Financial Liabilities  including an amendment of FAS 115 (SFAS 159). SFAS 159 allows entities to choose, at specified election dates, to measure eligible financial assets and liabilities at fair value in situations in which they are not otherwise required to be measured at fair value. If a company elects the fair value option for an eligible item, changes in that items fair value in subsequent reporting periods must be recognized in current earnings. The provisions of SFAS 159 will be effective for fiscal years beginning after November 15, 2007. We are evaluating the impact of adoption of SFAS 159 but do not currently expect the adoption to have a material impact on our financial position, results of operations or cash flows.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2006, the SEC staff issued Staff Accounting Bulletin (SAB) Topic 1N, Financial Statements  Considering the Effects of Prior Year Misstatements When Quantifying Misstatements in Current Year Financial Statements (SAB 108). SAB 108 addresses how the effects of prior-year 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The provisions of SAB 108 are effective for the fiscal years ending after November 15, 2006. The adoption of SAB 108 did not have a material impact on our consolidated financial position, results of operations or cash flows. </w:t>
      </w:r>
    </w:p>
    <w:p>
      <w:pPr>
        <w:pStyle w:val="TextBody"/>
        <w:spacing w:before="8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2006, the FASB issued SFAS No. 157, Fair Value Measurements (SFAS 157). SFAS 157 defines fair value, establishes a framework for measuring fair value and requires enhanced disclosures regarding fair value measurements. SFAS 157 does not add any new fair value measurements, but it does change current practice and is intended to increase consistency and comparability in such measurement. The provisions of SFAS 157 will be effective for financial statements issued for fiscal years beginning after November 15, 2007 and interim periods within those fiscal years. The impact, if any, to the company from the adoption of FAS 157 in 2008 will depend on the companys assets and liabilities that are required to be measured at fair value at that time.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July 2006, the FASB issued FASB Interpretation No. 48, Accounting for Uncertainty in Income Taxes  An Interpretation of FASB Statement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In addition, FIN 48 provides guidance on derecognition, classification, interest and penalties, accounting in interim periods, disclosure and transition. The provisions of FIN 48 are to be applied to all tax positions upon initial adoption of this standard. Only tax positions that meet the more-likely-than-not recognition threshold at the effective date may be recognized or continue to be recognized as an adjustment to the opening balance of retained earnings (or other appropriate components of equity) for that fiscal year. The provisions of FIN 48 are effective for fiscal years beginning after December 15, 2006. We are evaluating the impact of the adoption of FIN 48 but do not currently expect the adoption of this new standard to have a material impact on our financial position, results of operations or cash flows. </w:t>
      </w:r>
    </w:p>
    <w:p>
      <w:pPr>
        <w:pStyle w:val="TextBody"/>
        <w:spacing w:before="8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Derivative Instruments and Hedging Activities</w:t>
      </w:r>
      <w:r>
        <w:rPr>
          <w:rFonts w:ascii="Arial;Helvetica" w:hAnsi="Arial;Helvetica"/>
          <w:color w:val="000000"/>
          <w:sz w:val="17"/>
          <w:highlight w:val="white"/>
        </w:rPr>
        <w:t xml:space="preserv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utilize various derivative instruments to (i) manage our exposure to commodity price risk, (ii) engage in a controlled commodity trading program, (iii) manage our exposure to interest rate risk and (iv) manage our exposure to currency exchange rate risk. We record all derivative instruments on the balance sheet as either assets or liabilities measured at their fair value under the provisions of SFAS 133. SFAS 133 requires that changes in derivative instruments fair value be recognized currently in earnings unless specific hedge accounting criteria are met, in which case, changes in fair value are deferred to Accumulated Other Comprehensive Income (AOCI) and reclassified into earnings when the underlying transaction affects earnings. Accordingly, changes in fair value are included in the current period for (i) derivatives characterized as fair value hedges, (ii) derivatives that do not qualify for hedge accounting and (iii) the portion of cash flow hedges that are not highly effective in offsetting changes in cash flows of hedged items. See Note 6 for further discussion. </w:t>
      </w:r>
    </w:p>
    <w:p>
      <w:pPr>
        <w:pStyle w:val="TextBody"/>
        <w:spacing w:before="8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Net Income Per Unit</w:t>
      </w:r>
      <w:r>
        <w:rPr>
          <w:rFonts w:ascii="Arial;Helvetica" w:hAnsi="Arial;Helvetica"/>
          <w:color w:val="000000"/>
          <w:sz w:val="17"/>
          <w:highlight w:val="white"/>
        </w:rPr>
        <w:t xml:space="preserv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discussed in the following paragraph, basic and diluted net income per limited partner unit is determined by dividing net income after deducting the amount allocated to the general partner interest (including its incentive distribution in excess of its 2% interest) by the weighted average number of outstanding limited partner units during the period. Subject to applicability of Emerging Issues Task Force Issue No. 03-06 (EITF 03-06), Participating Securities and the Two-Class Method under FASB Statement No. 128, as discussed below, Partnership income is first allocated to the general partner based on the amount of incentive distributions. The remainder is then allocated between the limited partners and general partner based on percentage ownership in the Partnership. </w:t>
      </w:r>
    </w:p>
    <w:p>
      <w:pPr>
        <w:pStyle w:val="TextBody"/>
        <w:spacing w:before="8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EITF 03-06 addresses the computation of earnings per share by entities that have issued securities other than common stock that contractually entitle the holder to participate in dividends and earnings of the entity when, and if, it declares dividends on its common stock. Essentially, EITF 03-06 provides that in any accounting period where our aggregate net income exceeds our aggregate distribution for such period, we are required to present earnings per unit as if all of the earnings for the periods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(as if distributed) to our general partner, even though we make cash distributions on the basis of cash available for distributions, not earnings, in any given accounting period. In accounting periods where aggregate net income does not exceed our aggregate distributions for such period, EITF 03-06 does not have any impact on our earnings per unit calculation.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sets forth the computation of basic and diluted earnings per limited partner unit. The net income available to limited partners and the weighted average limited partner units outstanding have been adjusted for instruments considered common unit equivalents at 2006, 2005 and 2004. </w:t>
      </w:r>
    </w:p>
    <w:p>
      <w:pPr>
        <w:pStyle w:val="TextBody"/>
        <w:spacing w:before="80" w:after="283"/>
        <w:rPr/>
      </w:pPr>
      <w:r>
        <w:rPr/>
        <w:t> </w:t>
      </w:r>
    </w:p>
    <w:tbl>
      <w:tblPr>
        <w:tblW w:w="5000" w:type="pct"/>
        <w:jc w:val="center"/>
        <w:tblInd w:w="0" w:type="dxa"/>
        <w:shd w:fill="FFFFFF" w:val="clear"/>
        <w:tblCellMar>
          <w:top w:w="0" w:type="dxa"/>
          <w:left w:w="0" w:type="dxa"/>
          <w:bottom w:w="0" w:type="dxa"/>
          <w:right w:w="0" w:type="dxa"/>
        </w:tblCellMar>
      </w:tblPr>
      <w:tblGrid>
        <w:gridCol w:w="6446"/>
        <w:gridCol w:w="189"/>
        <w:gridCol w:w="205"/>
        <w:gridCol w:w="631"/>
        <w:gridCol w:w="176"/>
        <w:gridCol w:w="264"/>
        <w:gridCol w:w="205"/>
        <w:gridCol w:w="631"/>
        <w:gridCol w:w="176"/>
        <w:gridCol w:w="264"/>
        <w:gridCol w:w="205"/>
        <w:gridCol w:w="631"/>
        <w:gridCol w:w="182"/>
      </w:tblGrid>
      <w:tr>
        <w:trPr/>
        <w:tc>
          <w:tcPr>
            <w:tcW w:w="6446"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jc w:val="right"/>
              <w:rPr/>
            </w:pPr>
            <w:r>
              <w:rPr/>
              <w:t> </w:t>
            </w:r>
          </w:p>
        </w:tc>
        <w:tc>
          <w:tcPr>
            <w:tcW w:w="631"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64"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jc w:val="right"/>
              <w:rPr/>
            </w:pPr>
            <w:r>
              <w:rPr/>
              <w:t> </w:t>
            </w:r>
          </w:p>
        </w:tc>
        <w:tc>
          <w:tcPr>
            <w:tcW w:w="631"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64"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jc w:val="right"/>
              <w:rPr/>
            </w:pPr>
            <w:r>
              <w:rPr/>
              <w:t> </w:t>
            </w:r>
          </w:p>
        </w:tc>
        <w:tc>
          <w:tcPr>
            <w:tcW w:w="631"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r>
      <w:tr>
        <w:trPr/>
        <w:tc>
          <w:tcPr>
            <w:tcW w:w="6446"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3388"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82" w:type="dxa"/>
            <w:tcBorders/>
            <w:shd w:fill="FFFFFF" w:val="clear"/>
            <w:vAlign w:val="bottom"/>
          </w:tcPr>
          <w:p>
            <w:pPr>
              <w:pStyle w:val="TableContents"/>
              <w:spacing w:before="0" w:after="283"/>
              <w:jc w:val="center"/>
              <w:rPr/>
            </w:pPr>
            <w:r>
              <w:rPr/>
              <w:t xml:space="preserve">  </w:t>
            </w:r>
          </w:p>
        </w:tc>
      </w:tr>
      <w:tr>
        <w:trPr/>
        <w:tc>
          <w:tcPr>
            <w:tcW w:w="6446"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8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64" w:type="dxa"/>
            <w:tcBorders/>
            <w:shd w:fill="FFFFFF" w:val="clear"/>
            <w:vAlign w:val="bottom"/>
          </w:tcPr>
          <w:p>
            <w:pPr>
              <w:pStyle w:val="TableContents"/>
              <w:spacing w:before="0" w:after="283"/>
              <w:jc w:val="center"/>
              <w:rPr/>
            </w:pPr>
            <w:r>
              <w:rPr/>
              <w:t xml:space="preserve">  </w:t>
            </w:r>
          </w:p>
        </w:tc>
        <w:tc>
          <w:tcPr>
            <w:tcW w:w="8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64" w:type="dxa"/>
            <w:tcBorders/>
            <w:shd w:fill="FFFFFF" w:val="clear"/>
            <w:vAlign w:val="bottom"/>
          </w:tcPr>
          <w:p>
            <w:pPr>
              <w:pStyle w:val="TableContents"/>
              <w:spacing w:before="0" w:after="283"/>
              <w:jc w:val="center"/>
              <w:rPr/>
            </w:pPr>
            <w:r>
              <w:rPr/>
              <w:t xml:space="preserve">  </w:t>
            </w:r>
          </w:p>
        </w:tc>
        <w:tc>
          <w:tcPr>
            <w:tcW w:w="8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82" w:type="dxa"/>
            <w:tcBorders/>
            <w:shd w:fill="FFFFFF" w:val="clear"/>
            <w:vAlign w:val="bottom"/>
          </w:tcPr>
          <w:p>
            <w:pPr>
              <w:pStyle w:val="TableContents"/>
              <w:spacing w:before="0" w:after="283"/>
              <w:jc w:val="center"/>
              <w:rPr/>
            </w:pPr>
            <w:r>
              <w:rPr/>
              <w:t xml:space="preserve">  </w:t>
            </w:r>
          </w:p>
        </w:tc>
      </w:tr>
      <w:tr>
        <w:trPr/>
        <w:tc>
          <w:tcPr>
            <w:tcW w:w="6446"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3388" w:type="dxa"/>
            <w:gridSpan w:val="10"/>
            <w:tcBorders/>
            <w:shd w:fill="FFFFFF" w:val="clear"/>
            <w:vAlign w:val="bottom"/>
          </w:tcPr>
          <w:p>
            <w:pPr>
              <w:pStyle w:val="TableContents"/>
              <w:spacing w:before="0" w:after="283"/>
              <w:jc w:val="center"/>
              <w:rPr/>
            </w:pPr>
            <w:r>
              <w:rPr>
                <w:b/>
              </w:rPr>
              <w:t>(In millions, except per unit data)</w:t>
            </w:r>
            <w:r>
              <w:rPr/>
              <w:t xml:space="preserve"> </w:t>
            </w:r>
          </w:p>
        </w:tc>
        <w:tc>
          <w:tcPr>
            <w:tcW w:w="182" w:type="dxa"/>
            <w:tcBorders/>
            <w:shd w:fill="FFFFFF" w:val="clear"/>
            <w:vAlign w:val="bottom"/>
          </w:tcPr>
          <w:p>
            <w:pPr>
              <w:pStyle w:val="TableContents"/>
              <w:spacing w:before="0" w:after="283"/>
              <w:jc w:val="center"/>
              <w:rPr/>
            </w:pPr>
            <w:r>
              <w:rPr/>
              <w:t xml:space="preserve">  </w:t>
            </w:r>
          </w:p>
        </w:tc>
      </w:tr>
      <w:tr>
        <w:trPr/>
        <w:tc>
          <w:tcPr>
            <w:tcW w:w="6446" w:type="dxa"/>
            <w:tcBorders/>
            <w:shd w:fill="CCEEFF" w:val="clear"/>
            <w:vAlign w:val="bottom"/>
          </w:tcPr>
          <w:p>
            <w:pPr>
              <w:pStyle w:val="TableContents"/>
              <w:spacing w:before="0" w:after="0"/>
              <w:ind w:left="200" w:right="0" w:hanging="200"/>
              <w:jc w:val="left"/>
              <w:rPr>
                <w:sz w:val="17"/>
              </w:rPr>
            </w:pPr>
            <w:r>
              <w:rPr>
                <w:sz w:val="17"/>
              </w:rPr>
              <w:t xml:space="preserve">Numerator: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0"/>
              <w:ind w:left="400" w:right="0" w:hanging="200"/>
              <w:jc w:val="left"/>
              <w:rPr>
                <w:sz w:val="17"/>
              </w:rPr>
            </w:pPr>
            <w:r>
              <w:rPr>
                <w:sz w:val="17"/>
              </w:rPr>
              <w:t xml:space="preserve">Net income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285.1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217.8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130.0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600" w:right="0" w:hanging="200"/>
              <w:jc w:val="left"/>
              <w:rPr>
                <w:sz w:val="17"/>
              </w:rPr>
            </w:pPr>
            <w:r>
              <w:rPr>
                <w:sz w:val="17"/>
              </w:rPr>
              <w:t xml:space="preserve">Less: General partners incentive distribution paid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(33.1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(14.9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(8.3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600" w:right="0" w:hanging="200"/>
              <w:jc w:val="left"/>
              <w:rPr>
                <w:sz w:val="17"/>
              </w:rPr>
            </w:pPr>
            <w:r>
              <w:rPr>
                <w:sz w:val="17"/>
              </w:rPr>
              <w:t xml:space="preserve">Subtotal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252.0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202.9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121.7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600" w:right="0" w:hanging="200"/>
              <w:jc w:val="left"/>
              <w:rPr>
                <w:sz w:val="17"/>
              </w:rPr>
            </w:pPr>
            <w:r>
              <w:rPr>
                <w:sz w:val="17"/>
              </w:rPr>
              <w:t xml:space="preserve">Less: General partner 2% ownership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(5.1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(4.1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(2.4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600" w:right="0" w:hanging="200"/>
              <w:jc w:val="left"/>
              <w:rPr>
                <w:sz w:val="17"/>
              </w:rPr>
            </w:pPr>
            <w:r>
              <w:rPr>
                <w:sz w:val="17"/>
              </w:rPr>
              <w:t xml:space="preserve">Net income available to limited partners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246.9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198.8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119.3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600" w:right="0" w:hanging="200"/>
              <w:jc w:val="left"/>
              <w:rPr>
                <w:sz w:val="17"/>
              </w:rPr>
            </w:pPr>
            <w:r>
              <w:rPr>
                <w:sz w:val="17"/>
              </w:rPr>
              <w:t xml:space="preserve">Less: EITF 03-06 additional general partners distribution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(10.8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(7.2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600" w:right="0" w:hanging="200"/>
              <w:jc w:val="left"/>
              <w:rPr>
                <w:sz w:val="17"/>
              </w:rPr>
            </w:pPr>
            <w:r>
              <w:rPr>
                <w:sz w:val="17"/>
              </w:rPr>
              <w:t xml:space="preserve">Net income available to limited partners under EITF 03-06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236.1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191.6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119.3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400" w:right="0" w:hanging="200"/>
              <w:jc w:val="left"/>
              <w:rPr>
                <w:sz w:val="17"/>
              </w:rPr>
            </w:pPr>
            <w:r>
              <w:rPr>
                <w:sz w:val="17"/>
              </w:rPr>
              <w:t xml:space="preserve">Less: Limited partner 98% portion of cumulative effect of change in accounting principle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(6.2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3.0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600" w:right="0" w:hanging="200"/>
              <w:jc w:val="left"/>
              <w:rPr>
                <w:sz w:val="17"/>
              </w:rPr>
            </w:pPr>
            <w:r>
              <w:rPr>
                <w:sz w:val="17"/>
              </w:rPr>
              <w:t xml:space="preserve">Limited partner net income before cumulative effect of change in accounting principle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229.9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191.6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122.3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CCEEFF" w:val="clear"/>
            <w:vAlign w:val="bottom"/>
          </w:tcPr>
          <w:p>
            <w:pPr>
              <w:pStyle w:val="TableContents"/>
              <w:spacing w:before="0" w:after="0"/>
              <w:ind w:left="200" w:right="0" w:hanging="200"/>
              <w:jc w:val="left"/>
              <w:rPr>
                <w:sz w:val="17"/>
              </w:rPr>
            </w:pPr>
            <w:r>
              <w:rPr>
                <w:sz w:val="17"/>
              </w:rPr>
              <w:t xml:space="preserve">Denominator: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0"/>
              <w:ind w:left="400" w:right="0" w:hanging="200"/>
              <w:jc w:val="left"/>
              <w:rPr>
                <w:sz w:val="17"/>
              </w:rPr>
            </w:pPr>
            <w:r>
              <w:rPr>
                <w:sz w:val="17"/>
              </w:rPr>
              <w:t xml:space="preserve">Basic earnings per limited partner unit (weighed average number of limited partner units outstanding)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81.1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69.3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63.3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400" w:right="0" w:hanging="200"/>
              <w:jc w:val="left"/>
              <w:rPr>
                <w:sz w:val="17"/>
              </w:rPr>
            </w:pPr>
            <w:r>
              <w:rPr>
                <w:sz w:val="17"/>
              </w:rPr>
              <w:t xml:space="preserve">Effect of dilutive securities: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0"/>
              <w:ind w:left="600" w:right="0" w:hanging="200"/>
              <w:jc w:val="left"/>
              <w:rPr>
                <w:sz w:val="17"/>
              </w:rPr>
            </w:pPr>
            <w:r>
              <w:rPr>
                <w:sz w:val="17"/>
              </w:rPr>
              <w:t xml:space="preserve">Weighted average LTIP units outstanding(1)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0.8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1.2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CCEEFF" w:val="clear"/>
            <w:vAlign w:val="bottom"/>
          </w:tcPr>
          <w:p>
            <w:pPr>
              <w:pStyle w:val="TableContents"/>
              <w:spacing w:before="0" w:after="0"/>
              <w:ind w:left="400" w:right="0" w:hanging="200"/>
              <w:jc w:val="left"/>
              <w:rPr>
                <w:sz w:val="17"/>
              </w:rPr>
            </w:pPr>
            <w:r>
              <w:rPr>
                <w:sz w:val="17"/>
              </w:rPr>
              <w:t xml:space="preserve">Diluted earnings per limited partner unit (weighed average number of limited partner units outstanding)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81.9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70.5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63.3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before cumulative effect of change in accounting principle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2.84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2.77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1.94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0.07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(0.05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2.91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2.77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1.89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CCEEFF" w:val="clear"/>
            <w:vAlign w:val="bottom"/>
          </w:tcPr>
          <w:p>
            <w:pPr>
              <w:pStyle w:val="TableContents"/>
              <w:spacing w:before="0" w:after="0"/>
              <w:ind w:left="200" w:right="0" w:hanging="200"/>
              <w:jc w:val="left"/>
              <w:rPr>
                <w:sz w:val="17"/>
              </w:rPr>
            </w:pPr>
            <w:r>
              <w:rPr>
                <w:sz w:val="17"/>
              </w:rPr>
              <w:t xml:space="preserve">Diluted net income per limited partner unit before cumulative effect of change in accounting principle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2.81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2.72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1.94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89"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0.07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631" w:type="dxa"/>
            <w:tcBorders/>
            <w:shd w:fill="FFFFFF" w:val="clear"/>
            <w:vAlign w:val="bottom"/>
          </w:tcPr>
          <w:p>
            <w:pPr>
              <w:pStyle w:val="TableContents"/>
              <w:spacing w:before="0" w:after="283"/>
              <w:jc w:val="right"/>
              <w:rPr/>
            </w:pPr>
            <w:r>
              <w:rPr/>
              <w:t xml:space="preserve">(0.05 </w:t>
            </w:r>
          </w:p>
        </w:tc>
        <w:tc>
          <w:tcPr>
            <w:tcW w:w="182" w:type="dxa"/>
            <w:tcBorders/>
            <w:shd w:fill="FFFF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r>
        <w:trPr/>
        <w:tc>
          <w:tcPr>
            <w:tcW w:w="6446" w:type="dxa"/>
            <w:tcBorders/>
            <w:shd w:fill="CCEE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89"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2.88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2.72 </w:t>
            </w:r>
          </w:p>
        </w:tc>
        <w:tc>
          <w:tcPr>
            <w:tcW w:w="176" w:type="dxa"/>
            <w:tcBorders/>
            <w:shd w:fill="CCEEFF" w:val="clear"/>
            <w:vAlign w:val="bottom"/>
          </w:tcPr>
          <w:p>
            <w:pPr>
              <w:pStyle w:val="TableContents"/>
              <w:spacing w:before="0" w:after="283"/>
              <w:jc w:val="left"/>
              <w:rPr/>
            </w:pPr>
            <w:r>
              <w:rPr/>
              <w:t xml:space="preserve">  </w:t>
            </w:r>
          </w:p>
        </w:tc>
        <w:tc>
          <w:tcPr>
            <w:tcW w:w="264"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631" w:type="dxa"/>
            <w:tcBorders/>
            <w:shd w:fill="CCEEFF" w:val="clear"/>
            <w:vAlign w:val="bottom"/>
          </w:tcPr>
          <w:p>
            <w:pPr>
              <w:pStyle w:val="TableContents"/>
              <w:spacing w:before="0" w:after="283"/>
              <w:jc w:val="right"/>
              <w:rPr/>
            </w:pPr>
            <w:r>
              <w:rPr/>
              <w:t xml:space="preserve">1.89 </w:t>
            </w:r>
          </w:p>
        </w:tc>
        <w:tc>
          <w:tcPr>
            <w:tcW w:w="182" w:type="dxa"/>
            <w:tcBorders/>
            <w:shd w:fill="CCEEFF" w:val="clear"/>
            <w:vAlign w:val="bottom"/>
          </w:tcPr>
          <w:p>
            <w:pPr>
              <w:pStyle w:val="TableContents"/>
              <w:spacing w:before="0" w:after="283"/>
              <w:jc w:val="left"/>
              <w:rPr/>
            </w:pPr>
            <w:r>
              <w:rPr/>
              <w:t xml:space="preserve">  </w:t>
            </w:r>
          </w:p>
        </w:tc>
      </w:tr>
      <w:tr>
        <w:trPr/>
        <w:tc>
          <w:tcPr>
            <w:tcW w:w="6446"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8"/>
        <w:gridCol w:w="101"/>
        <w:gridCol w:w="9696"/>
      </w:tblGrid>
      <w:tr>
        <w:trPr/>
        <w:tc>
          <w:tcPr>
            <w:tcW w:w="408"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Our LTIP awards described in Note 10 that contemplate the issuance of common units are considered dilutive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SFAS 128, Earnings per Share.</w:t>
            </w:r>
          </w:p>
        </w:tc>
      </w:tr>
    </w:tbl>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92"/>
        <w:gridCol w:w="9213"/>
      </w:tblGrid>
      <w:tr>
        <w:trPr/>
        <w:tc>
          <w:tcPr>
            <w:tcW w:w="992" w:type="dxa"/>
            <w:tcBorders/>
            <w:shd w:fill="FFFFFF" w:val="clear"/>
            <w:vAlign w:val="center"/>
          </w:tcPr>
          <w:p>
            <w:pPr>
              <w:pStyle w:val="TableContents"/>
              <w:spacing w:before="0" w:after="283"/>
              <w:rPr>
                <w:sz w:val="4"/>
                <w:szCs w:val="4"/>
              </w:rPr>
            </w:pPr>
            <w:r>
              <w:rPr>
                <w:sz w:val="4"/>
                <w:szCs w:val="4"/>
              </w:rPr>
            </w:r>
          </w:p>
        </w:tc>
        <w:tc>
          <w:tcPr>
            <w:tcW w:w="9213" w:type="dxa"/>
            <w:tcBorders/>
            <w:shd w:fill="FFFFFF" w:val="clear"/>
            <w:vAlign w:val="center"/>
          </w:tcPr>
          <w:p>
            <w:pPr>
              <w:pStyle w:val="TableContents"/>
              <w:spacing w:before="0" w:after="283"/>
              <w:rPr>
                <w:sz w:val="4"/>
                <w:szCs w:val="4"/>
              </w:rPr>
            </w:pPr>
            <w:r>
              <w:rPr>
                <w:sz w:val="4"/>
                <w:szCs w:val="4"/>
              </w:rPr>
            </w:r>
          </w:p>
        </w:tc>
      </w:tr>
      <w:tr>
        <w:trPr/>
        <w:tc>
          <w:tcPr>
            <w:tcW w:w="992"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3  </w:t>
            </w:r>
          </w:p>
        </w:tc>
        <w:tc>
          <w:tcPr>
            <w:tcW w:w="9213" w:type="dxa"/>
            <w:tcBorders/>
            <w:shd w:fill="FFFFFF" w:val="clear"/>
          </w:tcPr>
          <w:p>
            <w:pPr>
              <w:pStyle w:val="TableContents"/>
              <w:spacing w:before="0" w:after="283"/>
              <w:rPr/>
            </w:pPr>
            <w:r>
              <w:rPr>
                <w:rFonts w:ascii="Times New Roman;Times" w:hAnsi="Times New Roman;Times"/>
                <w:b/>
              </w:rPr>
              <w:t>Acquisitions and Dispositions</w:t>
            </w:r>
            <w:r>
              <w:rPr/>
              <w:t xml:space="preserve">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acquisitions were accounted for using the purchase method of accounting and the purchase price was allocated in accordance with such method.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Significant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Pacific Energy Partners, 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15, 2006 we completed our acquisition of Pacific Energy Partners, L.P. (Pacific) pursuant to an Agreement and Plan of Merger dated June 11, 2006. The merger-related transactions included: (i) the acquisition from LB Pacific, LP and its affiliates (LB Pacific) of the general partner interest and incentive distribution rights of Pacific as well as approximately 5.2 million Pacific common units and approximately 5.2 million Pacific subordinated units for a total of $700 million and (ii) the acquisition of the balance of Pacifics equity through a unit-for-unit exchange in which each Pacific unitholder (other than LB Pacific) received 0.77 newly issued common units of the Partnership for each Pacific common unit. The total value of the transaction was approximately $2.5 billion, including the assumption of debt and estimated transaction costs. Upon completion of the merger-related transactions, the general partner and limited partner ownership interests in Pacific were extinguished and Pacific was merged with and into the Partnership. The assets acquired in the Pacific acquisition included approximately 4,500 miles of active crude oil pipeline and gathering systems and 550 miles of refined products pipelines, over 13 million barrels of active crude oil and 9 million barrels of refined products storage capacity, a fleet of approximately 75 owned or leased trucks and approximately 1.9 million barrels of crude oil and refined products linefill and working inventory. The Pacific assets complement our existing asset base in California, the Rocky Mountains and Canada, with minimal asset overlap but attractive potential vertical integration opportunities. The results of operations and assets and liabilities from this acquisition (the Pacific acquisition) have been included in our consolidated financial statements and all three of our segments since November 15, 2006. The purchase price allocation related to the Pacific acquisition is preliminary and subject to change, pending finalization of the valuation of the assets and liabilities acquired.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 price was calculated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40"/>
        <w:gridCol w:w="216"/>
        <w:gridCol w:w="200"/>
        <w:gridCol w:w="988"/>
        <w:gridCol w:w="161"/>
      </w:tblGrid>
      <w:tr>
        <w:trPr/>
        <w:tc>
          <w:tcPr>
            <w:tcW w:w="864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8"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640" w:type="dxa"/>
            <w:tcBorders/>
            <w:shd w:fill="CCEEFF" w:val="clear"/>
            <w:vAlign w:val="bottom"/>
          </w:tcPr>
          <w:p>
            <w:pPr>
              <w:pStyle w:val="TableContents"/>
              <w:spacing w:before="0" w:after="0"/>
              <w:ind w:left="200" w:right="0" w:hanging="200"/>
              <w:jc w:val="left"/>
              <w:rPr>
                <w:sz w:val="17"/>
              </w:rPr>
            </w:pPr>
            <w:r>
              <w:rPr>
                <w:sz w:val="17"/>
              </w:rPr>
              <w:t xml:space="preserve">Cash payment to LB Pacific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700.0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0"/>
              <w:ind w:left="200" w:right="0" w:hanging="200"/>
              <w:jc w:val="left"/>
              <w:rPr>
                <w:sz w:val="17"/>
              </w:rPr>
            </w:pPr>
            <w:r>
              <w:rPr>
                <w:sz w:val="17"/>
              </w:rPr>
              <w:t xml:space="preserve">Value of Plains common units issued in exchange for Pacific common units(1) </w:t>
            </w:r>
          </w:p>
        </w:tc>
        <w:tc>
          <w:tcPr>
            <w:tcW w:w="21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8" w:type="dxa"/>
            <w:tcBorders/>
            <w:shd w:fill="FFFFFF" w:val="clear"/>
            <w:vAlign w:val="bottom"/>
          </w:tcPr>
          <w:p>
            <w:pPr>
              <w:pStyle w:val="TableContents"/>
              <w:spacing w:before="0" w:after="283"/>
              <w:jc w:val="right"/>
              <w:rPr/>
            </w:pPr>
            <w:r>
              <w:rPr/>
              <w:t xml:space="preserve">1,001.6 </w:t>
            </w:r>
          </w:p>
        </w:tc>
        <w:tc>
          <w:tcPr>
            <w:tcW w:w="161" w:type="dxa"/>
            <w:tcBorders/>
            <w:shd w:fill="FFFFFF" w:val="clear"/>
            <w:vAlign w:val="bottom"/>
          </w:tcPr>
          <w:p>
            <w:pPr>
              <w:pStyle w:val="TableContents"/>
              <w:spacing w:before="0" w:after="283"/>
              <w:jc w:val="left"/>
              <w:rPr/>
            </w:pPr>
            <w:r>
              <w:rPr/>
              <w:t xml:space="preserve">  </w:t>
            </w:r>
          </w:p>
        </w:tc>
      </w:tr>
      <w:tr>
        <w:trPr/>
        <w:tc>
          <w:tcPr>
            <w:tcW w:w="8640" w:type="dxa"/>
            <w:tcBorders/>
            <w:shd w:fill="CCEEFF" w:val="clear"/>
            <w:vAlign w:val="bottom"/>
          </w:tcPr>
          <w:p>
            <w:pPr>
              <w:pStyle w:val="TableContents"/>
              <w:spacing w:before="0" w:after="0"/>
              <w:ind w:left="200" w:right="0" w:hanging="200"/>
              <w:jc w:val="left"/>
              <w:rPr>
                <w:sz w:val="17"/>
              </w:rPr>
            </w:pPr>
            <w:r>
              <w:rPr>
                <w:sz w:val="17"/>
              </w:rPr>
              <w:t xml:space="preserve">Assumption of Pacific debt (at fair value)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723.8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0"/>
              <w:ind w:left="200" w:right="0" w:hanging="200"/>
              <w:jc w:val="left"/>
              <w:rPr>
                <w:sz w:val="17"/>
              </w:rPr>
            </w:pPr>
            <w:r>
              <w:rPr>
                <w:sz w:val="17"/>
              </w:rPr>
              <w:t xml:space="preserve">Estimated transaction costs(2) </w:t>
            </w:r>
          </w:p>
        </w:tc>
        <w:tc>
          <w:tcPr>
            <w:tcW w:w="21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8" w:type="dxa"/>
            <w:tcBorders/>
            <w:shd w:fill="FFFFFF" w:val="clear"/>
            <w:vAlign w:val="bottom"/>
          </w:tcPr>
          <w:p>
            <w:pPr>
              <w:pStyle w:val="TableContents"/>
              <w:spacing w:before="0" w:after="283"/>
              <w:jc w:val="right"/>
              <w:rPr/>
            </w:pPr>
            <w:r>
              <w:rPr/>
              <w:t xml:space="preserve">30.3 </w:t>
            </w:r>
          </w:p>
        </w:tc>
        <w:tc>
          <w:tcPr>
            <w:tcW w:w="161" w:type="dxa"/>
            <w:tcBorders/>
            <w:shd w:fill="FFFF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40" w:type="dxa"/>
            <w:tcBorders/>
            <w:shd w:fill="CCEEFF" w:val="clear"/>
            <w:vAlign w:val="bottom"/>
          </w:tcPr>
          <w:p>
            <w:pPr>
              <w:pStyle w:val="TableContents"/>
              <w:spacing w:before="0" w:after="0"/>
              <w:ind w:left="400" w:right="0" w:hanging="200"/>
              <w:jc w:val="left"/>
              <w:rPr>
                <w:sz w:val="17"/>
              </w:rPr>
            </w:pPr>
            <w:r>
              <w:rPr>
                <w:sz w:val="17"/>
              </w:rPr>
              <w:t xml:space="preserve">Total purchase price </w:t>
            </w:r>
          </w:p>
        </w:tc>
        <w:tc>
          <w:tcPr>
            <w:tcW w:w="21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8" w:type="dxa"/>
            <w:tcBorders/>
            <w:shd w:fill="CCEEFF" w:val="clear"/>
            <w:vAlign w:val="bottom"/>
          </w:tcPr>
          <w:p>
            <w:pPr>
              <w:pStyle w:val="TableContents"/>
              <w:spacing w:before="0" w:after="283"/>
              <w:jc w:val="right"/>
              <w:rPr/>
            </w:pPr>
            <w:r>
              <w:rPr/>
              <w:t xml:space="preserve">2,455.7 </w:t>
            </w:r>
          </w:p>
        </w:tc>
        <w:tc>
          <w:tcPr>
            <w:tcW w:w="161" w:type="dxa"/>
            <w:tcBorders/>
            <w:shd w:fill="CCEEFF" w:val="clear"/>
            <w:vAlign w:val="bottom"/>
          </w:tcPr>
          <w:p>
            <w:pPr>
              <w:pStyle w:val="TableContents"/>
              <w:spacing w:before="0" w:after="283"/>
              <w:jc w:val="left"/>
              <w:rPr/>
            </w:pPr>
            <w:r>
              <w:rPr/>
              <w:t xml:space="preserve">  </w:t>
            </w:r>
          </w:p>
        </w:tc>
      </w:tr>
      <w:tr>
        <w:trPr/>
        <w:tc>
          <w:tcPr>
            <w:tcW w:w="864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Valued at $45.02, which represents the average closing price of Plains common units two days immediately prior and two days immediately after the merger was announced on June 12, 2006.</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Includes investment banking fees, costs associated with a severance plan in conjunction with the acquisition and various other direct acquisition costs.</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33"/>
        <w:gridCol w:w="209"/>
        <w:gridCol w:w="206"/>
        <w:gridCol w:w="997"/>
        <w:gridCol w:w="160"/>
      </w:tblGrid>
      <w:tr>
        <w:trPr/>
        <w:tc>
          <w:tcPr>
            <w:tcW w:w="8633"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pPr>
            <w:r>
              <w:rPr/>
              <w:t> </w:t>
            </w:r>
          </w:p>
        </w:tc>
        <w:tc>
          <w:tcPr>
            <w:tcW w:w="997"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r>
      <w:tr>
        <w:trPr/>
        <w:tc>
          <w:tcPr>
            <w:tcW w:w="8633" w:type="dxa"/>
            <w:tcBorders/>
            <w:shd w:fill="CCEEFF" w:val="clear"/>
            <w:vAlign w:val="bottom"/>
          </w:tcPr>
          <w:p>
            <w:pPr>
              <w:pStyle w:val="TableContents"/>
              <w:spacing w:before="0" w:after="0"/>
              <w:ind w:left="200" w:right="0" w:hanging="200"/>
              <w:jc w:val="left"/>
              <w:rPr/>
            </w:pPr>
            <w:r>
              <w:rPr>
                <w:b/>
                <w:sz w:val="17"/>
              </w:rPr>
              <w:t>Purchase Price Allocation</w:t>
            </w:r>
            <w:r>
              <w:rPr/>
              <w:t xml:space="preserve"> </w:t>
            </w:r>
          </w:p>
        </w:tc>
        <w:tc>
          <w:tcPr>
            <w:tcW w:w="209"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997"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0"/>
              <w:ind w:left="200" w:right="0" w:hanging="200"/>
              <w:jc w:val="left"/>
              <w:rPr>
                <w:sz w:val="17"/>
              </w:rPr>
            </w:pPr>
            <w:r>
              <w:rPr>
                <w:sz w:val="17"/>
              </w:rPr>
              <w:t xml:space="preserve">Property, plant and equipment, net </w:t>
            </w:r>
          </w:p>
        </w:tc>
        <w:tc>
          <w:tcPr>
            <w:tcW w:w="20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997" w:type="dxa"/>
            <w:tcBorders/>
            <w:shd w:fill="FFFFFF" w:val="clear"/>
            <w:vAlign w:val="bottom"/>
          </w:tcPr>
          <w:p>
            <w:pPr>
              <w:pStyle w:val="TableContents"/>
              <w:spacing w:before="0" w:after="283"/>
              <w:jc w:val="right"/>
              <w:rPr/>
            </w:pPr>
            <w:r>
              <w:rPr/>
              <w:t xml:space="preserve">1,411.7 </w:t>
            </w:r>
          </w:p>
        </w:tc>
        <w:tc>
          <w:tcPr>
            <w:tcW w:w="160" w:type="dxa"/>
            <w:tcBorders/>
            <w:shd w:fill="FFFFFF" w:val="clear"/>
            <w:vAlign w:val="bottom"/>
          </w:tcPr>
          <w:p>
            <w:pPr>
              <w:pStyle w:val="TableContents"/>
              <w:spacing w:before="0" w:after="283"/>
              <w:jc w:val="left"/>
              <w:rPr/>
            </w:pPr>
            <w:r>
              <w:rPr/>
              <w:t xml:space="preserve">  </w:t>
            </w:r>
          </w:p>
        </w:tc>
      </w:tr>
      <w:tr>
        <w:trPr/>
        <w:tc>
          <w:tcPr>
            <w:tcW w:w="8633" w:type="dxa"/>
            <w:tcBorders/>
            <w:shd w:fill="CCEEFF" w:val="clear"/>
            <w:vAlign w:val="bottom"/>
          </w:tcPr>
          <w:p>
            <w:pPr>
              <w:pStyle w:val="TableContents"/>
              <w:spacing w:before="0" w:after="0"/>
              <w:ind w:left="200" w:right="0" w:hanging="200"/>
              <w:jc w:val="left"/>
              <w:rPr>
                <w:sz w:val="17"/>
              </w:rPr>
            </w:pPr>
            <w:r>
              <w:rPr>
                <w:sz w:val="17"/>
              </w:rPr>
              <w:t xml:space="preserve">Investment in Frontier </w:t>
            </w:r>
          </w:p>
        </w:tc>
        <w:tc>
          <w:tcPr>
            <w:tcW w:w="209"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997" w:type="dxa"/>
            <w:tcBorders/>
            <w:shd w:fill="CCEEFF" w:val="clear"/>
            <w:vAlign w:val="bottom"/>
          </w:tcPr>
          <w:p>
            <w:pPr>
              <w:pStyle w:val="TableContents"/>
              <w:spacing w:before="0" w:after="283"/>
              <w:jc w:val="right"/>
              <w:rPr/>
            </w:pPr>
            <w:r>
              <w:rPr/>
              <w:t xml:space="preserve">8.7 </w:t>
            </w:r>
          </w:p>
        </w:tc>
        <w:tc>
          <w:tcPr>
            <w:tcW w:w="160" w:type="dxa"/>
            <w:tcBorders/>
            <w:shd w:fill="CCEE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0"/>
              <w:ind w:left="200" w:right="0" w:hanging="200"/>
              <w:jc w:val="left"/>
              <w:rPr>
                <w:sz w:val="17"/>
              </w:rPr>
            </w:pPr>
            <w:r>
              <w:rPr>
                <w:sz w:val="17"/>
              </w:rPr>
              <w:t xml:space="preserve">Inventory </w:t>
            </w:r>
          </w:p>
        </w:tc>
        <w:tc>
          <w:tcPr>
            <w:tcW w:w="20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997" w:type="dxa"/>
            <w:tcBorders/>
            <w:shd w:fill="FFFFFF" w:val="clear"/>
            <w:vAlign w:val="bottom"/>
          </w:tcPr>
          <w:p>
            <w:pPr>
              <w:pStyle w:val="TableContents"/>
              <w:spacing w:before="0" w:after="283"/>
              <w:jc w:val="right"/>
              <w:rPr/>
            </w:pPr>
            <w:r>
              <w:rPr/>
              <w:t xml:space="preserve">32.6 </w:t>
            </w:r>
          </w:p>
        </w:tc>
        <w:tc>
          <w:tcPr>
            <w:tcW w:w="160" w:type="dxa"/>
            <w:tcBorders/>
            <w:shd w:fill="FFFFFF" w:val="clear"/>
            <w:vAlign w:val="bottom"/>
          </w:tcPr>
          <w:p>
            <w:pPr>
              <w:pStyle w:val="TableContents"/>
              <w:spacing w:before="0" w:after="283"/>
              <w:jc w:val="left"/>
              <w:rPr/>
            </w:pPr>
            <w:r>
              <w:rPr/>
              <w:t xml:space="preserve">  </w:t>
            </w:r>
          </w:p>
        </w:tc>
      </w:tr>
      <w:tr>
        <w:trPr/>
        <w:tc>
          <w:tcPr>
            <w:tcW w:w="8633" w:type="dxa"/>
            <w:tcBorders/>
            <w:shd w:fill="CCEEFF" w:val="clear"/>
            <w:vAlign w:val="bottom"/>
          </w:tcPr>
          <w:p>
            <w:pPr>
              <w:pStyle w:val="TableContents"/>
              <w:spacing w:before="0" w:after="0"/>
              <w:ind w:left="200" w:right="0" w:hanging="200"/>
              <w:jc w:val="left"/>
              <w:rPr>
                <w:sz w:val="17"/>
              </w:rPr>
            </w:pPr>
            <w:r>
              <w:rPr>
                <w:sz w:val="17"/>
              </w:rPr>
              <w:t xml:space="preserve">Pipeline linefill and inventory in third party assets </w:t>
            </w:r>
          </w:p>
        </w:tc>
        <w:tc>
          <w:tcPr>
            <w:tcW w:w="209"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997" w:type="dxa"/>
            <w:tcBorders/>
            <w:shd w:fill="CCEEFF" w:val="clear"/>
            <w:vAlign w:val="bottom"/>
          </w:tcPr>
          <w:p>
            <w:pPr>
              <w:pStyle w:val="TableContents"/>
              <w:spacing w:before="0" w:after="283"/>
              <w:jc w:val="right"/>
              <w:rPr/>
            </w:pPr>
            <w:r>
              <w:rPr/>
              <w:t xml:space="preserve">63.6 </w:t>
            </w:r>
          </w:p>
        </w:tc>
        <w:tc>
          <w:tcPr>
            <w:tcW w:w="160" w:type="dxa"/>
            <w:tcBorders/>
            <w:shd w:fill="CCEE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0"/>
              <w:ind w:left="200" w:right="0" w:hanging="200"/>
              <w:jc w:val="left"/>
              <w:rPr>
                <w:sz w:val="17"/>
              </w:rPr>
            </w:pPr>
            <w:r>
              <w:rPr>
                <w:sz w:val="17"/>
              </w:rPr>
              <w:t xml:space="preserve">Intangible assets(1) </w:t>
            </w:r>
          </w:p>
        </w:tc>
        <w:tc>
          <w:tcPr>
            <w:tcW w:w="20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997" w:type="dxa"/>
            <w:tcBorders/>
            <w:shd w:fill="FFFFFF" w:val="clear"/>
            <w:vAlign w:val="bottom"/>
          </w:tcPr>
          <w:p>
            <w:pPr>
              <w:pStyle w:val="TableContents"/>
              <w:spacing w:before="0" w:after="283"/>
              <w:jc w:val="right"/>
              <w:rPr/>
            </w:pPr>
            <w:r>
              <w:rPr/>
              <w:t xml:space="preserve">72.3 </w:t>
            </w:r>
          </w:p>
        </w:tc>
        <w:tc>
          <w:tcPr>
            <w:tcW w:w="160" w:type="dxa"/>
            <w:tcBorders/>
            <w:shd w:fill="FFFFFF" w:val="clear"/>
            <w:vAlign w:val="bottom"/>
          </w:tcPr>
          <w:p>
            <w:pPr>
              <w:pStyle w:val="TableContents"/>
              <w:spacing w:before="0" w:after="283"/>
              <w:jc w:val="left"/>
              <w:rPr/>
            </w:pPr>
            <w:r>
              <w:rPr/>
              <w:t xml:space="preserve">  </w:t>
            </w:r>
          </w:p>
        </w:tc>
      </w:tr>
      <w:tr>
        <w:trPr/>
        <w:tc>
          <w:tcPr>
            <w:tcW w:w="8633" w:type="dxa"/>
            <w:tcBorders/>
            <w:shd w:fill="CCEEFF" w:val="clear"/>
            <w:vAlign w:val="bottom"/>
          </w:tcPr>
          <w:p>
            <w:pPr>
              <w:pStyle w:val="TableContents"/>
              <w:spacing w:before="0" w:after="0"/>
              <w:ind w:left="200" w:right="0" w:hanging="200"/>
              <w:jc w:val="left"/>
              <w:rPr>
                <w:sz w:val="17"/>
              </w:rPr>
            </w:pPr>
            <w:r>
              <w:rPr>
                <w:sz w:val="17"/>
              </w:rPr>
              <w:t xml:space="preserve">Goodwill(2) </w:t>
            </w:r>
          </w:p>
        </w:tc>
        <w:tc>
          <w:tcPr>
            <w:tcW w:w="209"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997" w:type="dxa"/>
            <w:tcBorders/>
            <w:shd w:fill="CCEEFF" w:val="clear"/>
            <w:vAlign w:val="bottom"/>
          </w:tcPr>
          <w:p>
            <w:pPr>
              <w:pStyle w:val="TableContents"/>
              <w:spacing w:before="0" w:after="283"/>
              <w:jc w:val="right"/>
              <w:rPr/>
            </w:pPr>
            <w:r>
              <w:rPr/>
              <w:t xml:space="preserve">843.2 </w:t>
            </w:r>
          </w:p>
        </w:tc>
        <w:tc>
          <w:tcPr>
            <w:tcW w:w="160" w:type="dxa"/>
            <w:tcBorders/>
            <w:shd w:fill="CCEE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0"/>
              <w:ind w:left="200" w:right="0" w:hanging="200"/>
              <w:jc w:val="left"/>
              <w:rPr>
                <w:sz w:val="17"/>
              </w:rPr>
            </w:pPr>
            <w:r>
              <w:rPr>
                <w:sz w:val="17"/>
              </w:rPr>
              <w:t xml:space="preserve">Assumption of working capital and other long-term assets and liabilities, including $20.0 of cash </w:t>
            </w:r>
          </w:p>
        </w:tc>
        <w:tc>
          <w:tcPr>
            <w:tcW w:w="20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997" w:type="dxa"/>
            <w:tcBorders/>
            <w:shd w:fill="FFFFFF" w:val="clear"/>
            <w:vAlign w:val="bottom"/>
          </w:tcPr>
          <w:p>
            <w:pPr>
              <w:pStyle w:val="TableContents"/>
              <w:spacing w:before="0" w:after="283"/>
              <w:jc w:val="right"/>
              <w:rPr/>
            </w:pPr>
            <w:r>
              <w:rPr/>
              <w:t xml:space="preserve">23.6 </w:t>
            </w:r>
          </w:p>
        </w:tc>
        <w:tc>
          <w:tcPr>
            <w:tcW w:w="160" w:type="dxa"/>
            <w:tcBorders/>
            <w:shd w:fill="FFFF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9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8633" w:type="dxa"/>
            <w:tcBorders/>
            <w:shd w:fill="CCEEFF" w:val="clear"/>
            <w:vAlign w:val="bottom"/>
          </w:tcPr>
          <w:p>
            <w:pPr>
              <w:pStyle w:val="TableContents"/>
              <w:spacing w:before="0" w:after="0"/>
              <w:ind w:left="400" w:right="0" w:hanging="200"/>
              <w:jc w:val="left"/>
              <w:rPr>
                <w:sz w:val="17"/>
              </w:rPr>
            </w:pPr>
            <w:r>
              <w:rPr>
                <w:sz w:val="17"/>
              </w:rPr>
              <w:t xml:space="preserve">Total purchase price </w:t>
            </w:r>
          </w:p>
        </w:tc>
        <w:tc>
          <w:tcPr>
            <w:tcW w:w="209"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997" w:type="dxa"/>
            <w:tcBorders/>
            <w:shd w:fill="CCEEFF" w:val="clear"/>
            <w:vAlign w:val="bottom"/>
          </w:tcPr>
          <w:p>
            <w:pPr>
              <w:pStyle w:val="TableContents"/>
              <w:spacing w:before="0" w:after="283"/>
              <w:jc w:val="right"/>
              <w:rPr/>
            </w:pPr>
            <w:r>
              <w:rPr/>
              <w:t xml:space="preserve">2,455.7 </w:t>
            </w:r>
          </w:p>
        </w:tc>
        <w:tc>
          <w:tcPr>
            <w:tcW w:w="160" w:type="dxa"/>
            <w:tcBorders/>
            <w:shd w:fill="CCEEFF" w:val="clear"/>
            <w:vAlign w:val="bottom"/>
          </w:tcPr>
          <w:p>
            <w:pPr>
              <w:pStyle w:val="TableContents"/>
              <w:spacing w:before="0" w:after="283"/>
              <w:jc w:val="left"/>
              <w:rPr/>
            </w:pPr>
            <w:r>
              <w:rPr/>
              <w:t xml:space="preserve">  </w:t>
            </w:r>
          </w:p>
        </w:tc>
      </w:tr>
      <w:tr>
        <w:trPr/>
        <w:tc>
          <w:tcPr>
            <w:tcW w:w="8633"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0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Consists of customer relationships, emissions credits and environmental permits.</w:t>
            </w:r>
          </w:p>
        </w:tc>
      </w:tr>
      <w:tr>
        <w:trPr/>
        <w:tc>
          <w:tcPr>
            <w:tcW w:w="305"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Represents the preliminary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 See Note 2.</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majority of the acquisition costs associated with the Pacific acquisition was incurred as of December 31, 2006, resulting in total cash paid during 2006 of approximately $723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our calculation of the sources of funding for the acquisition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32"/>
        <w:gridCol w:w="216"/>
        <w:gridCol w:w="202"/>
        <w:gridCol w:w="994"/>
        <w:gridCol w:w="161"/>
      </w:tblGrid>
      <w:tr>
        <w:trPr/>
        <w:tc>
          <w:tcPr>
            <w:tcW w:w="8632"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99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8632" w:type="dxa"/>
            <w:tcBorders/>
            <w:shd w:fill="CCEEFF" w:val="clear"/>
            <w:vAlign w:val="bottom"/>
          </w:tcPr>
          <w:p>
            <w:pPr>
              <w:pStyle w:val="TableContents"/>
              <w:spacing w:before="0" w:after="0"/>
              <w:ind w:left="200" w:right="0" w:hanging="200"/>
              <w:jc w:val="left"/>
              <w:rPr>
                <w:sz w:val="17"/>
              </w:rPr>
            </w:pPr>
            <w:r>
              <w:rPr>
                <w:sz w:val="17"/>
              </w:rPr>
              <w:t xml:space="preserve">Fair value of Plains common units issued in exchange for Pacific common units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1,001.6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0"/>
              <w:ind w:left="200" w:right="0" w:hanging="200"/>
              <w:jc w:val="left"/>
              <w:rPr>
                <w:sz w:val="17"/>
              </w:rPr>
            </w:pPr>
            <w:r>
              <w:rPr>
                <w:sz w:val="17"/>
              </w:rPr>
              <w:t xml:space="preserve">Plains general partner capital contribution </w:t>
            </w:r>
          </w:p>
        </w:tc>
        <w:tc>
          <w:tcPr>
            <w:tcW w:w="21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94" w:type="dxa"/>
            <w:tcBorders/>
            <w:shd w:fill="FFFFFF" w:val="clear"/>
            <w:vAlign w:val="bottom"/>
          </w:tcPr>
          <w:p>
            <w:pPr>
              <w:pStyle w:val="TableContents"/>
              <w:spacing w:before="0" w:after="283"/>
              <w:jc w:val="right"/>
              <w:rPr/>
            </w:pPr>
            <w:r>
              <w:rPr/>
              <w:t xml:space="preserve">21.6 </w:t>
            </w:r>
          </w:p>
        </w:tc>
        <w:tc>
          <w:tcPr>
            <w:tcW w:w="161" w:type="dxa"/>
            <w:tcBorders/>
            <w:shd w:fill="FFFFFF" w:val="clear"/>
            <w:vAlign w:val="bottom"/>
          </w:tcPr>
          <w:p>
            <w:pPr>
              <w:pStyle w:val="TableContents"/>
              <w:spacing w:before="0" w:after="283"/>
              <w:jc w:val="left"/>
              <w:rPr/>
            </w:pPr>
            <w:r>
              <w:rPr/>
              <w:t xml:space="preserve">  </w:t>
            </w:r>
          </w:p>
        </w:tc>
      </w:tr>
      <w:tr>
        <w:trPr/>
        <w:tc>
          <w:tcPr>
            <w:tcW w:w="8632" w:type="dxa"/>
            <w:tcBorders/>
            <w:shd w:fill="CCEEFF" w:val="clear"/>
            <w:vAlign w:val="bottom"/>
          </w:tcPr>
          <w:p>
            <w:pPr>
              <w:pStyle w:val="TableContents"/>
              <w:spacing w:before="0" w:after="0"/>
              <w:ind w:left="200" w:right="0" w:hanging="200"/>
              <w:jc w:val="left"/>
              <w:rPr>
                <w:sz w:val="17"/>
              </w:rPr>
            </w:pPr>
            <w:r>
              <w:rPr>
                <w:sz w:val="17"/>
              </w:rPr>
              <w:t xml:space="preserve">Assumption of Pacific debt (at estimated fair value), net of repayment of Pacific credit facility(1)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433.1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0"/>
              <w:ind w:left="200" w:right="0" w:hanging="200"/>
              <w:jc w:val="left"/>
              <w:rPr>
                <w:sz w:val="17"/>
              </w:rPr>
            </w:pPr>
            <w:r>
              <w:rPr>
                <w:sz w:val="17"/>
              </w:rPr>
              <w:t xml:space="preserve">Plains new debt incurred </w:t>
            </w:r>
          </w:p>
        </w:tc>
        <w:tc>
          <w:tcPr>
            <w:tcW w:w="21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94" w:type="dxa"/>
            <w:tcBorders/>
            <w:shd w:fill="FFFFFF" w:val="clear"/>
            <w:vAlign w:val="bottom"/>
          </w:tcPr>
          <w:p>
            <w:pPr>
              <w:pStyle w:val="TableContents"/>
              <w:spacing w:before="0" w:after="283"/>
              <w:jc w:val="right"/>
              <w:rPr/>
            </w:pPr>
            <w:r>
              <w:rPr/>
              <w:t xml:space="preserve">999.4 </w:t>
            </w:r>
          </w:p>
        </w:tc>
        <w:tc>
          <w:tcPr>
            <w:tcW w:w="161" w:type="dxa"/>
            <w:tcBorders/>
            <w:shd w:fill="FFFF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8632" w:type="dxa"/>
            <w:tcBorders/>
            <w:shd w:fill="CCEEFF" w:val="clear"/>
            <w:vAlign w:val="bottom"/>
          </w:tcPr>
          <w:p>
            <w:pPr>
              <w:pStyle w:val="TableContents"/>
              <w:spacing w:before="0" w:after="0"/>
              <w:ind w:left="400" w:right="0" w:hanging="200"/>
              <w:jc w:val="left"/>
              <w:rPr>
                <w:sz w:val="17"/>
              </w:rPr>
            </w:pPr>
            <w:r>
              <w:rPr>
                <w:sz w:val="17"/>
              </w:rPr>
              <w:t xml:space="preserve">Total sources of funding </w:t>
            </w:r>
          </w:p>
        </w:tc>
        <w:tc>
          <w:tcPr>
            <w:tcW w:w="21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94" w:type="dxa"/>
            <w:tcBorders/>
            <w:shd w:fill="CCEEFF" w:val="clear"/>
            <w:vAlign w:val="bottom"/>
          </w:tcPr>
          <w:p>
            <w:pPr>
              <w:pStyle w:val="TableContents"/>
              <w:spacing w:before="0" w:after="283"/>
              <w:jc w:val="right"/>
              <w:rPr/>
            </w:pPr>
            <w:r>
              <w:rPr/>
              <w:t xml:space="preserve">2,455.7 </w:t>
            </w:r>
          </w:p>
        </w:tc>
        <w:tc>
          <w:tcPr>
            <w:tcW w:w="161" w:type="dxa"/>
            <w:tcBorders/>
            <w:shd w:fill="CCEEFF" w:val="clear"/>
            <w:vAlign w:val="bottom"/>
          </w:tcPr>
          <w:p>
            <w:pPr>
              <w:pStyle w:val="TableContents"/>
              <w:spacing w:before="0" w:after="283"/>
              <w:jc w:val="left"/>
              <w:rPr/>
            </w:pPr>
            <w:r>
              <w:rPr/>
              <w:t xml:space="preserve">  </w:t>
            </w:r>
          </w:p>
        </w:tc>
      </w:tr>
      <w:tr>
        <w:trPr/>
        <w:tc>
          <w:tcPr>
            <w:tcW w:w="8632"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1"/>
        <w:gridCol w:w="9799"/>
      </w:tblGrid>
      <w:tr>
        <w:trPr/>
        <w:tc>
          <w:tcPr>
            <w:tcW w:w="3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The assumption of Pacifics debt and credit facility at fair value was $433.1 million and $290.7 million, respectively. We paid off the credit facility in connection with closing of the transaction.</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Link Energy LLC</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April 1, 2004, we completed the acquisition of all of the North American crude oil and pipeline operations of Link Energy LLC (Link) for approximately $332.3 million, including $268 million of cash (net of approximately $5.5 million subsequently returned to us from an indemnity escrow account) and approximately $64 million of net liabilities assumed and acquisition-related costs. The Link crude oil business consists of approximately 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 The results of operations and assets and liabilities from this acquisition have been included in our consolidated financial statements and in all three of our segments since April 1, 2004.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 price was allocated as follows and includes goodwill primarily attributed to Links gathering and marketing operations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769"/>
        <w:gridCol w:w="206"/>
        <w:gridCol w:w="205"/>
        <w:gridCol w:w="844"/>
        <w:gridCol w:w="181"/>
      </w:tblGrid>
      <w:tr>
        <w:trPr/>
        <w:tc>
          <w:tcPr>
            <w:tcW w:w="8769"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jc w:val="right"/>
              <w:rPr/>
            </w:pPr>
            <w:r>
              <w:rPr/>
              <w:t> </w:t>
            </w:r>
          </w:p>
        </w:tc>
        <w:tc>
          <w:tcPr>
            <w:tcW w:w="844"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r>
      <w:tr>
        <w:trPr/>
        <w:tc>
          <w:tcPr>
            <w:tcW w:w="8769" w:type="dxa"/>
            <w:tcBorders/>
            <w:shd w:fill="CCEEFF" w:val="clear"/>
            <w:vAlign w:val="bottom"/>
          </w:tcPr>
          <w:p>
            <w:pPr>
              <w:pStyle w:val="TableContents"/>
              <w:spacing w:before="0" w:after="0"/>
              <w:ind w:left="200" w:right="0" w:hanging="200"/>
              <w:jc w:val="left"/>
              <w:rPr/>
            </w:pPr>
            <w:r>
              <w:rPr>
                <w:b/>
                <w:sz w:val="17"/>
              </w:rPr>
              <w:t>Cash paid for acquisition(1)</w:t>
            </w:r>
            <w:r>
              <w:rPr/>
              <w:t xml:space="preserve"> </w:t>
            </w:r>
          </w:p>
        </w:tc>
        <w:tc>
          <w:tcPr>
            <w:tcW w:w="206"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268.0 </w:t>
            </w:r>
          </w:p>
        </w:tc>
        <w:tc>
          <w:tcPr>
            <w:tcW w:w="181" w:type="dxa"/>
            <w:tcBorders/>
            <w:shd w:fill="CCEE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0"/>
              <w:ind w:left="200" w:right="0" w:hanging="200"/>
              <w:jc w:val="left"/>
              <w:rPr/>
            </w:pPr>
            <w:r>
              <w:rPr>
                <w:b/>
                <w:sz w:val="17"/>
              </w:rPr>
              <w:t>Fair value of net liabilities assumed:</w:t>
            </w:r>
            <w:r>
              <w:rPr/>
              <w:t xml:space="preserve"> </w:t>
            </w:r>
          </w:p>
        </w:tc>
        <w:tc>
          <w:tcPr>
            <w:tcW w:w="206"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81" w:type="dxa"/>
            <w:tcBorders/>
            <w:shd w:fill="FFFFFF" w:val="clear"/>
            <w:vAlign w:val="bottom"/>
          </w:tcPr>
          <w:p>
            <w:pPr>
              <w:pStyle w:val="TableContents"/>
              <w:spacing w:before="0" w:after="283"/>
              <w:jc w:val="left"/>
              <w:rPr/>
            </w:pPr>
            <w:r>
              <w:rPr/>
              <w:t xml:space="preserve">  </w:t>
            </w:r>
          </w:p>
        </w:tc>
      </w:tr>
      <w:tr>
        <w:trPr/>
        <w:tc>
          <w:tcPr>
            <w:tcW w:w="8769" w:type="dxa"/>
            <w:tcBorders/>
            <w:shd w:fill="CCEEFF" w:val="clear"/>
            <w:vAlign w:val="bottom"/>
          </w:tcPr>
          <w:p>
            <w:pPr>
              <w:pStyle w:val="TableContents"/>
              <w:spacing w:before="0" w:after="0"/>
              <w:ind w:left="200" w:right="0" w:hanging="200"/>
              <w:jc w:val="left"/>
              <w:rPr>
                <w:sz w:val="17"/>
              </w:rPr>
            </w:pPr>
            <w:r>
              <w:rPr>
                <w:sz w:val="17"/>
              </w:rPr>
              <w:t xml:space="preserve">Accounts receivable(2) </w:t>
            </w:r>
          </w:p>
        </w:tc>
        <w:tc>
          <w:tcPr>
            <w:tcW w:w="206"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409.4 </w:t>
            </w:r>
          </w:p>
        </w:tc>
        <w:tc>
          <w:tcPr>
            <w:tcW w:w="181" w:type="dxa"/>
            <w:tcBorders/>
            <w:shd w:fill="CCEE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0"/>
              <w:ind w:left="200" w:right="0" w:hanging="200"/>
              <w:jc w:val="left"/>
              <w:rPr>
                <w:sz w:val="17"/>
              </w:rPr>
            </w:pPr>
            <w:r>
              <w:rPr>
                <w:sz w:val="17"/>
              </w:rPr>
              <w:t xml:space="preserve">Other current assets </w:t>
            </w:r>
          </w:p>
        </w:tc>
        <w:tc>
          <w:tcPr>
            <w:tcW w:w="206"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1.8 </w:t>
            </w:r>
          </w:p>
        </w:tc>
        <w:tc>
          <w:tcPr>
            <w:tcW w:w="181" w:type="dxa"/>
            <w:tcBorders/>
            <w:shd w:fill="FFFFFF" w:val="clear"/>
            <w:vAlign w:val="bottom"/>
          </w:tcPr>
          <w:p>
            <w:pPr>
              <w:pStyle w:val="TableContents"/>
              <w:spacing w:before="0" w:after="283"/>
              <w:jc w:val="left"/>
              <w:rPr/>
            </w:pPr>
            <w:r>
              <w:rPr/>
              <w:t xml:space="preserve">  </w:t>
            </w:r>
          </w:p>
        </w:tc>
      </w:tr>
      <w:tr>
        <w:trPr/>
        <w:tc>
          <w:tcPr>
            <w:tcW w:w="8769" w:type="dxa"/>
            <w:tcBorders/>
            <w:shd w:fill="CCEEFF" w:val="clear"/>
            <w:vAlign w:val="bottom"/>
          </w:tcPr>
          <w:p>
            <w:pPr>
              <w:pStyle w:val="TableContents"/>
              <w:spacing w:before="0" w:after="0"/>
              <w:ind w:left="200" w:right="0" w:hanging="200"/>
              <w:jc w:val="left"/>
              <w:rPr>
                <w:sz w:val="17"/>
              </w:rPr>
            </w:pPr>
            <w:r>
              <w:rPr>
                <w:sz w:val="17"/>
              </w:rPr>
              <w:t xml:space="preserve">Accounts payable and accrued liabilities(2) </w:t>
            </w:r>
          </w:p>
        </w:tc>
        <w:tc>
          <w:tcPr>
            <w:tcW w:w="206"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(459.6 </w:t>
            </w:r>
          </w:p>
        </w:tc>
        <w:tc>
          <w:tcPr>
            <w:tcW w:w="181" w:type="dxa"/>
            <w:tcBorders/>
            <w:shd w:fill="CCEE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0"/>
              <w:ind w:left="200" w:right="0" w:hanging="200"/>
              <w:jc w:val="left"/>
              <w:rPr>
                <w:sz w:val="17"/>
              </w:rPr>
            </w:pPr>
            <w:r>
              <w:rPr>
                <w:sz w:val="17"/>
              </w:rPr>
              <w:t xml:space="preserve">Other current liabilities </w:t>
            </w:r>
          </w:p>
        </w:tc>
        <w:tc>
          <w:tcPr>
            <w:tcW w:w="206"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(8.5 </w:t>
            </w:r>
          </w:p>
        </w:tc>
        <w:tc>
          <w:tcPr>
            <w:tcW w:w="181" w:type="dxa"/>
            <w:tcBorders/>
            <w:shd w:fill="FFFFFF" w:val="clear"/>
            <w:vAlign w:val="bottom"/>
          </w:tcPr>
          <w:p>
            <w:pPr>
              <w:pStyle w:val="TableContents"/>
              <w:spacing w:before="0" w:after="283"/>
              <w:jc w:val="left"/>
              <w:rPr/>
            </w:pPr>
            <w:r>
              <w:rPr/>
              <w:t xml:space="preserve">) </w:t>
            </w:r>
          </w:p>
        </w:tc>
      </w:tr>
      <w:tr>
        <w:trPr/>
        <w:tc>
          <w:tcPr>
            <w:tcW w:w="8769" w:type="dxa"/>
            <w:tcBorders/>
            <w:shd w:fill="CCEEFF" w:val="clear"/>
            <w:vAlign w:val="bottom"/>
          </w:tcPr>
          <w:p>
            <w:pPr>
              <w:pStyle w:val="TableContents"/>
              <w:spacing w:before="0" w:after="0"/>
              <w:ind w:left="200" w:right="0" w:hanging="200"/>
              <w:jc w:val="left"/>
              <w:rPr>
                <w:sz w:val="17"/>
              </w:rPr>
            </w:pPr>
            <w:r>
              <w:rPr>
                <w:sz w:val="17"/>
              </w:rPr>
              <w:t xml:space="preserve">Other long-term liabilities </w:t>
            </w:r>
          </w:p>
        </w:tc>
        <w:tc>
          <w:tcPr>
            <w:tcW w:w="206"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(7.4 </w:t>
            </w:r>
          </w:p>
        </w:tc>
        <w:tc>
          <w:tcPr>
            <w:tcW w:w="181" w:type="dxa"/>
            <w:tcBorders/>
            <w:shd w:fill="CCEE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8769" w:type="dxa"/>
            <w:tcBorders/>
            <w:shd w:fill="FFFFFF" w:val="clear"/>
            <w:vAlign w:val="bottom"/>
          </w:tcPr>
          <w:p>
            <w:pPr>
              <w:pStyle w:val="TableContents"/>
              <w:spacing w:before="0" w:after="0"/>
              <w:ind w:left="400" w:right="0" w:hanging="200"/>
              <w:jc w:val="left"/>
              <w:rPr>
                <w:sz w:val="17"/>
              </w:rPr>
            </w:pPr>
            <w:r>
              <w:rPr>
                <w:sz w:val="17"/>
              </w:rPr>
              <w:t xml:space="preserve">Total net liabilities assumed </w:t>
            </w:r>
          </w:p>
        </w:tc>
        <w:tc>
          <w:tcPr>
            <w:tcW w:w="206" w:type="dxa"/>
            <w:tcBorders/>
            <w:shd w:fill="FFFFFF" w:val="clear"/>
            <w:vAlign w:val="bottom"/>
          </w:tcPr>
          <w:p>
            <w:pPr>
              <w:pStyle w:val="TableContents"/>
              <w:spacing w:before="0" w:after="283"/>
              <w:rPr/>
            </w:pPr>
            <w:r>
              <w:rPr/>
              <w:t xml:space="preserve">  </w:t>
            </w:r>
          </w:p>
        </w:tc>
        <w:tc>
          <w:tcPr>
            <w:tcW w:w="205"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(64.3 </w:t>
            </w:r>
          </w:p>
        </w:tc>
        <w:tc>
          <w:tcPr>
            <w:tcW w:w="181" w:type="dxa"/>
            <w:tcBorders/>
            <w:shd w:fill="FFFF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r>
        <w:trPr/>
        <w:tc>
          <w:tcPr>
            <w:tcW w:w="8769" w:type="dxa"/>
            <w:tcBorders/>
            <w:shd w:fill="CCEEFF" w:val="clear"/>
            <w:vAlign w:val="bottom"/>
          </w:tcPr>
          <w:p>
            <w:pPr>
              <w:pStyle w:val="TableContents"/>
              <w:spacing w:before="0" w:after="0"/>
              <w:ind w:left="200" w:right="0" w:hanging="200"/>
              <w:jc w:val="left"/>
              <w:rPr/>
            </w:pPr>
            <w:r>
              <w:rPr>
                <w:b/>
                <w:sz w:val="17"/>
              </w:rPr>
              <w:t>Total purchase price</w:t>
            </w:r>
            <w:r>
              <w:rPr/>
              <w:t xml:space="preserve"> </w:t>
            </w:r>
          </w:p>
        </w:tc>
        <w:tc>
          <w:tcPr>
            <w:tcW w:w="206" w:type="dxa"/>
            <w:tcBorders/>
            <w:shd w:fill="CCEEFF" w:val="clear"/>
            <w:vAlign w:val="bottom"/>
          </w:tcPr>
          <w:p>
            <w:pPr>
              <w:pStyle w:val="TableContents"/>
              <w:spacing w:before="0" w:after="283"/>
              <w:rPr/>
            </w:pPr>
            <w:r>
              <w:rPr/>
              <w:t xml:space="preserve">  </w:t>
            </w:r>
          </w:p>
        </w:tc>
        <w:tc>
          <w:tcPr>
            <w:tcW w:w="205"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332.3 </w:t>
            </w:r>
          </w:p>
        </w:tc>
        <w:tc>
          <w:tcPr>
            <w:tcW w:w="181" w:type="dxa"/>
            <w:tcBorders/>
            <w:shd w:fill="CCEEFF" w:val="clear"/>
            <w:vAlign w:val="bottom"/>
          </w:tcPr>
          <w:p>
            <w:pPr>
              <w:pStyle w:val="TableContents"/>
              <w:spacing w:before="0" w:after="283"/>
              <w:jc w:val="left"/>
              <w:rPr/>
            </w:pPr>
            <w:r>
              <w:rPr/>
              <w:t xml:space="preserve">  </w:t>
            </w:r>
          </w:p>
        </w:tc>
      </w:tr>
      <w:tr>
        <w:trPr/>
        <w:tc>
          <w:tcPr>
            <w:tcW w:w="8769"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c>
          <w:tcPr>
            <w:tcW w:w="2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tbl>
      <w:tblPr>
        <w:tblW w:w="5000" w:type="pct"/>
        <w:jc w:val="center"/>
        <w:tblInd w:w="0" w:type="dxa"/>
        <w:shd w:fill="FFFFFF" w:val="clear"/>
        <w:tblCellMar>
          <w:top w:w="0" w:type="dxa"/>
          <w:left w:w="0" w:type="dxa"/>
          <w:bottom w:w="0" w:type="dxa"/>
          <w:right w:w="0" w:type="dxa"/>
        </w:tblCellMar>
      </w:tblPr>
      <w:tblGrid>
        <w:gridCol w:w="8796"/>
        <w:gridCol w:w="218"/>
        <w:gridCol w:w="207"/>
        <w:gridCol w:w="819"/>
        <w:gridCol w:w="165"/>
      </w:tblGrid>
      <w:tr>
        <w:trPr/>
        <w:tc>
          <w:tcPr>
            <w:tcW w:w="8796"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jc w:val="right"/>
              <w:rPr/>
            </w:pPr>
            <w:r>
              <w:rPr/>
              <w:t> </w:t>
            </w:r>
          </w:p>
        </w:tc>
        <w:tc>
          <w:tcPr>
            <w:tcW w:w="819"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r>
      <w:tr>
        <w:trPr/>
        <w:tc>
          <w:tcPr>
            <w:tcW w:w="8796" w:type="dxa"/>
            <w:tcBorders/>
            <w:shd w:fill="CCEEFF" w:val="clear"/>
            <w:vAlign w:val="bottom"/>
          </w:tcPr>
          <w:p>
            <w:pPr>
              <w:pStyle w:val="TableContents"/>
              <w:spacing w:before="0" w:after="0"/>
              <w:ind w:left="200" w:right="0" w:hanging="200"/>
              <w:jc w:val="left"/>
              <w:rPr/>
            </w:pPr>
            <w:r>
              <w:rPr>
                <w:b/>
                <w:sz w:val="17"/>
              </w:rPr>
              <w:t>Purchase price allocation</w:t>
            </w:r>
            <w:r>
              <w:rPr/>
              <w:t xml:space="preserve"> </w:t>
            </w:r>
          </w:p>
        </w:tc>
        <w:tc>
          <w:tcPr>
            <w:tcW w:w="218"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19" w:type="dxa"/>
            <w:tcBorders/>
            <w:shd w:fill="CCEEFF" w:val="clear"/>
            <w:vAlign w:val="bottom"/>
          </w:tcPr>
          <w:p>
            <w:pPr>
              <w:pStyle w:val="TableContents"/>
              <w:spacing w:before="0" w:after="283"/>
              <w:jc w:val="right"/>
              <w:rPr/>
            </w:pPr>
            <w:r>
              <w:rPr/>
              <w:t xml:space="preserve">  </w:t>
            </w:r>
          </w:p>
        </w:tc>
        <w:tc>
          <w:tcPr>
            <w:tcW w:w="165" w:type="dxa"/>
            <w:tcBorders/>
            <w:shd w:fill="CCEEFF" w:val="clear"/>
            <w:vAlign w:val="bottom"/>
          </w:tcPr>
          <w:p>
            <w:pPr>
              <w:pStyle w:val="TableContents"/>
              <w:spacing w:before="0" w:after="283"/>
              <w:jc w:val="left"/>
              <w:rPr/>
            </w:pPr>
            <w:r>
              <w:rPr/>
              <w:t xml:space="preserve">  </w:t>
            </w:r>
          </w:p>
        </w:tc>
      </w:tr>
      <w:tr>
        <w:trPr/>
        <w:tc>
          <w:tcPr>
            <w:tcW w:w="8796" w:type="dxa"/>
            <w:tcBorders/>
            <w:shd w:fill="FFFFFF" w:val="clear"/>
            <w:vAlign w:val="bottom"/>
          </w:tcPr>
          <w:p>
            <w:pPr>
              <w:pStyle w:val="TableContents"/>
              <w:spacing w:before="0" w:after="0"/>
              <w:ind w:left="200" w:right="0" w:hanging="200"/>
              <w:jc w:val="left"/>
              <w:rPr>
                <w:sz w:val="17"/>
              </w:rPr>
            </w:pPr>
            <w:r>
              <w:rPr>
                <w:sz w:val="17"/>
              </w:rPr>
              <w:t xml:space="preserve">Property and equipment </w:t>
            </w:r>
          </w:p>
        </w:tc>
        <w:tc>
          <w:tcPr>
            <w:tcW w:w="218"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19" w:type="dxa"/>
            <w:tcBorders/>
            <w:shd w:fill="FFFFFF" w:val="clear"/>
            <w:vAlign w:val="bottom"/>
          </w:tcPr>
          <w:p>
            <w:pPr>
              <w:pStyle w:val="TableContents"/>
              <w:spacing w:before="0" w:after="283"/>
              <w:jc w:val="right"/>
              <w:rPr/>
            </w:pPr>
            <w:r>
              <w:rPr/>
              <w:t xml:space="preserve">260.2 </w:t>
            </w:r>
          </w:p>
        </w:tc>
        <w:tc>
          <w:tcPr>
            <w:tcW w:w="165" w:type="dxa"/>
            <w:tcBorders/>
            <w:shd w:fill="FFFFFF" w:val="clear"/>
            <w:vAlign w:val="bottom"/>
          </w:tcPr>
          <w:p>
            <w:pPr>
              <w:pStyle w:val="TableContents"/>
              <w:spacing w:before="0" w:after="283"/>
              <w:jc w:val="left"/>
              <w:rPr/>
            </w:pPr>
            <w:r>
              <w:rPr/>
              <w:t xml:space="preserve">  </w:t>
            </w:r>
          </w:p>
        </w:tc>
      </w:tr>
      <w:tr>
        <w:trPr/>
        <w:tc>
          <w:tcPr>
            <w:tcW w:w="8796" w:type="dxa"/>
            <w:tcBorders/>
            <w:shd w:fill="CCEEFF" w:val="clear"/>
            <w:vAlign w:val="bottom"/>
          </w:tcPr>
          <w:p>
            <w:pPr>
              <w:pStyle w:val="TableContents"/>
              <w:spacing w:before="0" w:after="0"/>
              <w:ind w:left="200" w:right="0" w:hanging="200"/>
              <w:jc w:val="left"/>
              <w:rPr>
                <w:sz w:val="17"/>
              </w:rPr>
            </w:pPr>
            <w:r>
              <w:rPr>
                <w:sz w:val="17"/>
              </w:rPr>
              <w:t xml:space="preserve">Inventory </w:t>
            </w:r>
          </w:p>
        </w:tc>
        <w:tc>
          <w:tcPr>
            <w:tcW w:w="218"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19" w:type="dxa"/>
            <w:tcBorders/>
            <w:shd w:fill="CCEEFF" w:val="clear"/>
            <w:vAlign w:val="bottom"/>
          </w:tcPr>
          <w:p>
            <w:pPr>
              <w:pStyle w:val="TableContents"/>
              <w:spacing w:before="0" w:after="283"/>
              <w:jc w:val="right"/>
              <w:rPr/>
            </w:pPr>
            <w:r>
              <w:rPr/>
              <w:t xml:space="preserve">3.4 </w:t>
            </w:r>
          </w:p>
        </w:tc>
        <w:tc>
          <w:tcPr>
            <w:tcW w:w="165" w:type="dxa"/>
            <w:tcBorders/>
            <w:shd w:fill="CCEEFF" w:val="clear"/>
            <w:vAlign w:val="bottom"/>
          </w:tcPr>
          <w:p>
            <w:pPr>
              <w:pStyle w:val="TableContents"/>
              <w:spacing w:before="0" w:after="283"/>
              <w:jc w:val="left"/>
              <w:rPr/>
            </w:pPr>
            <w:r>
              <w:rPr/>
              <w:t xml:space="preserve">  </w:t>
            </w:r>
          </w:p>
        </w:tc>
      </w:tr>
      <w:tr>
        <w:trPr/>
        <w:tc>
          <w:tcPr>
            <w:tcW w:w="8796" w:type="dxa"/>
            <w:tcBorders/>
            <w:shd w:fill="FFFFFF" w:val="clear"/>
            <w:vAlign w:val="bottom"/>
          </w:tcPr>
          <w:p>
            <w:pPr>
              <w:pStyle w:val="TableContents"/>
              <w:spacing w:before="0" w:after="0"/>
              <w:ind w:left="200" w:right="0" w:hanging="200"/>
              <w:jc w:val="left"/>
              <w:rPr>
                <w:sz w:val="17"/>
              </w:rPr>
            </w:pPr>
            <w:r>
              <w:rPr>
                <w:sz w:val="17"/>
              </w:rPr>
              <w:t xml:space="preserve">Linefill </w:t>
            </w:r>
          </w:p>
        </w:tc>
        <w:tc>
          <w:tcPr>
            <w:tcW w:w="218"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19" w:type="dxa"/>
            <w:tcBorders/>
            <w:shd w:fill="FFFFFF" w:val="clear"/>
            <w:vAlign w:val="bottom"/>
          </w:tcPr>
          <w:p>
            <w:pPr>
              <w:pStyle w:val="TableContents"/>
              <w:spacing w:before="0" w:after="283"/>
              <w:jc w:val="right"/>
              <w:rPr/>
            </w:pPr>
            <w:r>
              <w:rPr/>
              <w:t xml:space="preserve">55.4 </w:t>
            </w:r>
          </w:p>
        </w:tc>
        <w:tc>
          <w:tcPr>
            <w:tcW w:w="165" w:type="dxa"/>
            <w:tcBorders/>
            <w:shd w:fill="FFFFFF" w:val="clear"/>
            <w:vAlign w:val="bottom"/>
          </w:tcPr>
          <w:p>
            <w:pPr>
              <w:pStyle w:val="TableContents"/>
              <w:spacing w:before="0" w:after="283"/>
              <w:jc w:val="left"/>
              <w:rPr/>
            </w:pPr>
            <w:r>
              <w:rPr/>
              <w:t xml:space="preserve">  </w:t>
            </w:r>
          </w:p>
        </w:tc>
      </w:tr>
      <w:tr>
        <w:trPr/>
        <w:tc>
          <w:tcPr>
            <w:tcW w:w="8796" w:type="dxa"/>
            <w:tcBorders/>
            <w:shd w:fill="CCEEFF" w:val="clear"/>
            <w:vAlign w:val="bottom"/>
          </w:tcPr>
          <w:p>
            <w:pPr>
              <w:pStyle w:val="TableContents"/>
              <w:spacing w:before="0" w:after="0"/>
              <w:ind w:left="200" w:right="0" w:hanging="200"/>
              <w:jc w:val="left"/>
              <w:rPr>
                <w:sz w:val="17"/>
              </w:rPr>
            </w:pPr>
            <w:r>
              <w:rPr>
                <w:sz w:val="17"/>
              </w:rPr>
              <w:t xml:space="preserve">Inventory in third party assets </w:t>
            </w:r>
          </w:p>
        </w:tc>
        <w:tc>
          <w:tcPr>
            <w:tcW w:w="218"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19" w:type="dxa"/>
            <w:tcBorders/>
            <w:shd w:fill="CCEEFF" w:val="clear"/>
            <w:vAlign w:val="bottom"/>
          </w:tcPr>
          <w:p>
            <w:pPr>
              <w:pStyle w:val="TableContents"/>
              <w:spacing w:before="0" w:after="283"/>
              <w:jc w:val="right"/>
              <w:rPr/>
            </w:pPr>
            <w:r>
              <w:rPr/>
              <w:t xml:space="preserve">8.1 </w:t>
            </w:r>
          </w:p>
        </w:tc>
        <w:tc>
          <w:tcPr>
            <w:tcW w:w="165" w:type="dxa"/>
            <w:tcBorders/>
            <w:shd w:fill="CCEEFF" w:val="clear"/>
            <w:vAlign w:val="bottom"/>
          </w:tcPr>
          <w:p>
            <w:pPr>
              <w:pStyle w:val="TableContents"/>
              <w:spacing w:before="0" w:after="283"/>
              <w:jc w:val="left"/>
              <w:rPr/>
            </w:pPr>
            <w:r>
              <w:rPr/>
              <w:t xml:space="preserve">  </w:t>
            </w:r>
          </w:p>
        </w:tc>
      </w:tr>
      <w:tr>
        <w:trPr/>
        <w:tc>
          <w:tcPr>
            <w:tcW w:w="8796" w:type="dxa"/>
            <w:tcBorders/>
            <w:shd w:fill="FFFFFF" w:val="clear"/>
            <w:vAlign w:val="bottom"/>
          </w:tcPr>
          <w:p>
            <w:pPr>
              <w:pStyle w:val="TableContents"/>
              <w:spacing w:before="0" w:after="0"/>
              <w:ind w:left="200" w:right="0" w:hanging="200"/>
              <w:jc w:val="left"/>
              <w:rPr>
                <w:sz w:val="17"/>
              </w:rPr>
            </w:pPr>
            <w:r>
              <w:rPr>
                <w:sz w:val="17"/>
              </w:rPr>
              <w:t xml:space="preserve">Goodwill </w:t>
            </w:r>
          </w:p>
        </w:tc>
        <w:tc>
          <w:tcPr>
            <w:tcW w:w="218"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19" w:type="dxa"/>
            <w:tcBorders/>
            <w:shd w:fill="FFFFFF" w:val="clear"/>
            <w:vAlign w:val="bottom"/>
          </w:tcPr>
          <w:p>
            <w:pPr>
              <w:pStyle w:val="TableContents"/>
              <w:spacing w:before="0" w:after="283"/>
              <w:jc w:val="right"/>
              <w:rPr/>
            </w:pPr>
            <w:r>
              <w:rPr/>
              <w:t xml:space="preserve">5.0 </w:t>
            </w:r>
          </w:p>
        </w:tc>
        <w:tc>
          <w:tcPr>
            <w:tcW w:w="165" w:type="dxa"/>
            <w:tcBorders/>
            <w:shd w:fill="FFFFFF" w:val="clear"/>
            <w:vAlign w:val="bottom"/>
          </w:tcPr>
          <w:p>
            <w:pPr>
              <w:pStyle w:val="TableContents"/>
              <w:spacing w:before="0" w:after="283"/>
              <w:jc w:val="left"/>
              <w:rPr/>
            </w:pPr>
            <w:r>
              <w:rPr/>
              <w:t xml:space="preserve">  </w:t>
            </w:r>
          </w:p>
        </w:tc>
      </w:tr>
      <w:tr>
        <w:trPr/>
        <w:tc>
          <w:tcPr>
            <w:tcW w:w="8796" w:type="dxa"/>
            <w:tcBorders/>
            <w:shd w:fill="CCEEFF" w:val="clear"/>
            <w:vAlign w:val="bottom"/>
          </w:tcPr>
          <w:p>
            <w:pPr>
              <w:pStyle w:val="TableContents"/>
              <w:spacing w:before="0" w:after="0"/>
              <w:ind w:left="200" w:right="0" w:hanging="200"/>
              <w:jc w:val="left"/>
              <w:rPr>
                <w:sz w:val="17"/>
              </w:rPr>
            </w:pPr>
            <w:r>
              <w:rPr>
                <w:sz w:val="17"/>
              </w:rPr>
              <w:t xml:space="preserve">Other long-term assets </w:t>
            </w:r>
          </w:p>
        </w:tc>
        <w:tc>
          <w:tcPr>
            <w:tcW w:w="218" w:type="dxa"/>
            <w:tcBorders/>
            <w:shd w:fill="CCEEFF" w:val="clear"/>
            <w:vAlign w:val="bottom"/>
          </w:tcPr>
          <w:p>
            <w:pPr>
              <w:pStyle w:val="TableContents"/>
              <w:spacing w:before="0" w:after="283"/>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819" w:type="dxa"/>
            <w:tcBorders/>
            <w:shd w:fill="CCEEFF" w:val="clear"/>
            <w:vAlign w:val="bottom"/>
          </w:tcPr>
          <w:p>
            <w:pPr>
              <w:pStyle w:val="TableContents"/>
              <w:spacing w:before="0" w:after="283"/>
              <w:jc w:val="right"/>
              <w:rPr/>
            </w:pPr>
            <w:r>
              <w:rPr/>
              <w:t xml:space="preserve">0.2 </w:t>
            </w:r>
          </w:p>
        </w:tc>
        <w:tc>
          <w:tcPr>
            <w:tcW w:w="165" w:type="dxa"/>
            <w:tcBorders/>
            <w:shd w:fill="CCEEFF" w:val="clear"/>
            <w:vAlign w:val="bottom"/>
          </w:tcPr>
          <w:p>
            <w:pPr>
              <w:pStyle w:val="TableContents"/>
              <w:spacing w:before="0" w:after="283"/>
              <w:jc w:val="left"/>
              <w:rPr/>
            </w:pPr>
            <w:r>
              <w:rPr/>
              <w:t xml:space="preserve">  </w:t>
            </w:r>
          </w:p>
        </w:tc>
      </w:tr>
      <w:tr>
        <w:trPr/>
        <w:tc>
          <w:tcPr>
            <w:tcW w:w="8796"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r>
        <w:trPr/>
        <w:tc>
          <w:tcPr>
            <w:tcW w:w="8796" w:type="dxa"/>
            <w:tcBorders/>
            <w:shd w:fill="FFFFFF" w:val="clear"/>
            <w:vAlign w:val="bottom"/>
          </w:tcPr>
          <w:p>
            <w:pPr>
              <w:pStyle w:val="TableContents"/>
              <w:spacing w:before="0" w:after="0"/>
              <w:ind w:left="400" w:right="0" w:hanging="200"/>
              <w:jc w:val="left"/>
              <w:rPr>
                <w:sz w:val="17"/>
              </w:rPr>
            </w:pPr>
            <w:r>
              <w:rPr>
                <w:sz w:val="17"/>
              </w:rPr>
              <w:t xml:space="preserve">Total </w:t>
            </w:r>
          </w:p>
        </w:tc>
        <w:tc>
          <w:tcPr>
            <w:tcW w:w="218" w:type="dxa"/>
            <w:tcBorders/>
            <w:shd w:fill="FFFFFF" w:val="cle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819" w:type="dxa"/>
            <w:tcBorders/>
            <w:shd w:fill="FFFFFF" w:val="clear"/>
            <w:vAlign w:val="bottom"/>
          </w:tcPr>
          <w:p>
            <w:pPr>
              <w:pStyle w:val="TableContents"/>
              <w:spacing w:before="0" w:after="283"/>
              <w:jc w:val="right"/>
              <w:rPr/>
            </w:pPr>
            <w:r>
              <w:rPr/>
              <w:t xml:space="preserve">332.3 </w:t>
            </w:r>
          </w:p>
        </w:tc>
        <w:tc>
          <w:tcPr>
            <w:tcW w:w="165" w:type="dxa"/>
            <w:tcBorders/>
            <w:shd w:fill="FFFFFF" w:val="clear"/>
            <w:vAlign w:val="bottom"/>
          </w:tcPr>
          <w:p>
            <w:pPr>
              <w:pStyle w:val="TableContents"/>
              <w:spacing w:before="0" w:after="283"/>
              <w:jc w:val="left"/>
              <w:rPr/>
            </w:pPr>
            <w:r>
              <w:rPr/>
              <w:t xml:space="preserve">  </w:t>
            </w:r>
          </w:p>
        </w:tc>
      </w:tr>
      <w:tr>
        <w:trPr/>
        <w:tc>
          <w:tcPr>
            <w:tcW w:w="8796"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rPr/>
            </w:pPr>
            <w:r>
              <w:rPr/>
              <w:t xml:space="preserve">  </w:t>
            </w:r>
          </w:p>
        </w:tc>
        <w:tc>
          <w:tcPr>
            <w:tcW w:w="2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Cash paid does not include the subsequent payment of various transaction and other acquisition related costs.</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Accounts receivable and accounts payable are gross and do not reflect the adjustment of approximately $250 million to net settle, based on contractual agreements with our counterparties.</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total purchase price included (i) approximately $9.4 million in transaction costs, (ii) approximately $7.4 million related to a plan to terminate and relocate employees in conjunction with the acquisition, and (iii) approximately $11.0 million related to costs to terminate a contract assumed in the acquisition. These activities were substantially complete and the majority of the related costs were incurred as of December 31, 2004, resulting in total cash paid during 2004 of approximately $294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acquisition was initially funded with cash on hand, borrowings under our then existing revolving credit facilities and under a new $200 million, 364-day credit facility. In connection with the acquisition, on April 15, 2004, we completed the private placement of 3,245,700 Class C common units to a group of institutional investors. During the third quarter of 2004, we completed a public offering of common units and the sale of an aggregate of $350 million of senior notes. A portion of the proceeds from these transactions was used to retire the $200 million, 364-day credit facility.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Capline and Capwood Pipeline Systems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March 2004, we completed the acquisition of all of Shell Pipeline Company LPs interests in two entities for approximately $158.5 million in cash (including a deposit of approximately $16 million paid in December 2003) and approximately $0.5 million of transaction and other costs. In December 2003, subsequent to the announcement of the acquisition and in anticipation of closing, we issued approximately 2.8 million common units for net proceeds of approximately $88.4 million, after paying approximately $4.1 million of transaction costs. The proceeds from this issuance were used to pay down our revolving credit facility. At closing, the cash portion of this acquisition was funded from cash on hand and borrowings under our revolving credit facility.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principal assets of these entities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Capwood Pipeline System is a 58-mile, 20-inch mainline crude oil pipeline originating in Patoka, Illinois, and terminating in Wood River, Illinois. The results of operations and assets and liabilities from this acquisition have been included in our consolidated financial statements and in our transportation segment since March 1, 2004. These pipelines provide one of the primary transportation routes for crude oil shipped into the Midwestern U.S., and delivered to several refineries and other pipelines.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F-25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 price was allocated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879"/>
        <w:gridCol w:w="220"/>
        <w:gridCol w:w="209"/>
        <w:gridCol w:w="732"/>
        <w:gridCol w:w="165"/>
      </w:tblGrid>
      <w:tr>
        <w:trPr/>
        <w:tc>
          <w:tcPr>
            <w:tcW w:w="8879" w:type="dxa"/>
            <w:tcBorders/>
            <w:shd w:fill="FFFFFF" w:val="clear"/>
            <w:vAlign w:val="bottom"/>
          </w:tcPr>
          <w:p>
            <w:pPr>
              <w:pStyle w:val="TableContents"/>
              <w:spacing w:before="0" w:after="283"/>
              <w:rPr/>
            </w:pPr>
            <w:r>
              <w:rPr/>
              <w:t> </w:t>
            </w:r>
          </w:p>
        </w:tc>
        <w:tc>
          <w:tcPr>
            <w:tcW w:w="220"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right"/>
              <w:rPr/>
            </w:pPr>
            <w:r>
              <w:rPr/>
              <w:t> </w:t>
            </w:r>
          </w:p>
        </w:tc>
        <w:tc>
          <w:tcPr>
            <w:tcW w:w="732"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r>
      <w:tr>
        <w:trPr/>
        <w:tc>
          <w:tcPr>
            <w:tcW w:w="8879" w:type="dxa"/>
            <w:tcBorders/>
            <w:shd w:fill="CCEEFF" w:val="clear"/>
            <w:vAlign w:val="bottom"/>
          </w:tcPr>
          <w:p>
            <w:pPr>
              <w:pStyle w:val="TableContents"/>
              <w:spacing w:before="0" w:after="0"/>
              <w:ind w:left="200" w:right="0" w:hanging="200"/>
              <w:jc w:val="left"/>
              <w:rPr>
                <w:sz w:val="17"/>
              </w:rPr>
            </w:pPr>
            <w:r>
              <w:rPr>
                <w:sz w:val="17"/>
              </w:rPr>
              <w:t xml:space="preserve">Crude oil pipelines and facilities </w:t>
            </w:r>
          </w:p>
        </w:tc>
        <w:tc>
          <w:tcPr>
            <w:tcW w:w="220"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151.4 </w:t>
            </w:r>
          </w:p>
        </w:tc>
        <w:tc>
          <w:tcPr>
            <w:tcW w:w="165" w:type="dxa"/>
            <w:tcBorders/>
            <w:shd w:fill="CCEEFF" w:val="clear"/>
            <w:vAlign w:val="bottom"/>
          </w:tcPr>
          <w:p>
            <w:pPr>
              <w:pStyle w:val="TableContents"/>
              <w:spacing w:before="0" w:after="283"/>
              <w:jc w:val="left"/>
              <w:rPr/>
            </w:pPr>
            <w:r>
              <w:rPr/>
              <w:t xml:space="preserve">  </w:t>
            </w:r>
          </w:p>
        </w:tc>
      </w:tr>
      <w:tr>
        <w:trPr/>
        <w:tc>
          <w:tcPr>
            <w:tcW w:w="8879" w:type="dxa"/>
            <w:tcBorders/>
            <w:shd w:fill="FFFFFF" w:val="clear"/>
            <w:vAlign w:val="bottom"/>
          </w:tcPr>
          <w:p>
            <w:pPr>
              <w:pStyle w:val="TableContents"/>
              <w:spacing w:before="0" w:after="0"/>
              <w:ind w:left="200" w:right="0" w:hanging="200"/>
              <w:jc w:val="left"/>
              <w:rPr>
                <w:sz w:val="17"/>
              </w:rPr>
            </w:pPr>
            <w:r>
              <w:rPr>
                <w:sz w:val="17"/>
              </w:rPr>
              <w:t xml:space="preserve">Crude oil storage and terminal facilities </w:t>
            </w:r>
          </w:p>
        </w:tc>
        <w:tc>
          <w:tcPr>
            <w:tcW w:w="220"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5.7 </w:t>
            </w:r>
          </w:p>
        </w:tc>
        <w:tc>
          <w:tcPr>
            <w:tcW w:w="165" w:type="dxa"/>
            <w:tcBorders/>
            <w:shd w:fill="FFFFFF" w:val="clear"/>
            <w:vAlign w:val="bottom"/>
          </w:tcPr>
          <w:p>
            <w:pPr>
              <w:pStyle w:val="TableContents"/>
              <w:spacing w:before="0" w:after="283"/>
              <w:jc w:val="left"/>
              <w:rPr/>
            </w:pPr>
            <w:r>
              <w:rPr/>
              <w:t xml:space="preserve">  </w:t>
            </w:r>
          </w:p>
        </w:tc>
      </w:tr>
      <w:tr>
        <w:trPr/>
        <w:tc>
          <w:tcPr>
            <w:tcW w:w="8879" w:type="dxa"/>
            <w:tcBorders/>
            <w:shd w:fill="CCEEFF" w:val="clear"/>
            <w:vAlign w:val="bottom"/>
          </w:tcPr>
          <w:p>
            <w:pPr>
              <w:pStyle w:val="TableContents"/>
              <w:spacing w:before="0" w:after="0"/>
              <w:ind w:left="200" w:right="0" w:hanging="200"/>
              <w:jc w:val="left"/>
              <w:rPr>
                <w:sz w:val="17"/>
              </w:rPr>
            </w:pPr>
            <w:r>
              <w:rPr>
                <w:sz w:val="17"/>
              </w:rPr>
              <w:t xml:space="preserve">Land </w:t>
            </w:r>
          </w:p>
        </w:tc>
        <w:tc>
          <w:tcPr>
            <w:tcW w:w="220"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1.3 </w:t>
            </w:r>
          </w:p>
        </w:tc>
        <w:tc>
          <w:tcPr>
            <w:tcW w:w="165" w:type="dxa"/>
            <w:tcBorders/>
            <w:shd w:fill="CCEEFF" w:val="clear"/>
            <w:vAlign w:val="bottom"/>
          </w:tcPr>
          <w:p>
            <w:pPr>
              <w:pStyle w:val="TableContents"/>
              <w:spacing w:before="0" w:after="283"/>
              <w:jc w:val="left"/>
              <w:rPr/>
            </w:pPr>
            <w:r>
              <w:rPr/>
              <w:t xml:space="preserve">  </w:t>
            </w:r>
          </w:p>
        </w:tc>
      </w:tr>
      <w:tr>
        <w:trPr/>
        <w:tc>
          <w:tcPr>
            <w:tcW w:w="8879" w:type="dxa"/>
            <w:tcBorders/>
            <w:shd w:fill="FFFFFF" w:val="clear"/>
            <w:vAlign w:val="bottom"/>
          </w:tcPr>
          <w:p>
            <w:pPr>
              <w:pStyle w:val="TableContents"/>
              <w:spacing w:before="0" w:after="0"/>
              <w:ind w:left="200" w:right="0" w:hanging="200"/>
              <w:jc w:val="left"/>
              <w:rPr>
                <w:sz w:val="17"/>
              </w:rPr>
            </w:pPr>
            <w:r>
              <w:rPr>
                <w:sz w:val="17"/>
              </w:rPr>
              <w:t xml:space="preserve">Office equipment and other </w:t>
            </w:r>
          </w:p>
        </w:tc>
        <w:tc>
          <w:tcPr>
            <w:tcW w:w="220"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732" w:type="dxa"/>
            <w:tcBorders/>
            <w:shd w:fill="FFFFFF" w:val="clear"/>
            <w:vAlign w:val="bottom"/>
          </w:tcPr>
          <w:p>
            <w:pPr>
              <w:pStyle w:val="TableContents"/>
              <w:spacing w:before="0" w:after="283"/>
              <w:jc w:val="right"/>
              <w:rPr/>
            </w:pPr>
            <w:r>
              <w:rPr/>
              <w:t xml:space="preserve">0.1 </w:t>
            </w:r>
          </w:p>
        </w:tc>
        <w:tc>
          <w:tcPr>
            <w:tcW w:w="165" w:type="dxa"/>
            <w:tcBorders/>
            <w:shd w:fill="FFFFFF" w:val="clear"/>
            <w:vAlign w:val="bottom"/>
          </w:tcPr>
          <w:p>
            <w:pPr>
              <w:pStyle w:val="TableContents"/>
              <w:spacing w:before="0" w:after="283"/>
              <w:jc w:val="left"/>
              <w:rPr/>
            </w:pPr>
            <w:r>
              <w:rPr/>
              <w:t xml:space="preserve">  </w:t>
            </w:r>
          </w:p>
        </w:tc>
      </w:tr>
      <w:tr>
        <w:trPr/>
        <w:tc>
          <w:tcPr>
            <w:tcW w:w="8879"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2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r>
        <w:trPr/>
        <w:tc>
          <w:tcPr>
            <w:tcW w:w="8879"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220"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2" w:type="dxa"/>
            <w:tcBorders/>
            <w:shd w:fill="CCEEFF" w:val="clear"/>
            <w:vAlign w:val="bottom"/>
          </w:tcPr>
          <w:p>
            <w:pPr>
              <w:pStyle w:val="TableContents"/>
              <w:spacing w:before="0" w:after="283"/>
              <w:jc w:val="right"/>
              <w:rPr/>
            </w:pPr>
            <w:r>
              <w:rPr/>
              <w:t xml:space="preserve">158.5 </w:t>
            </w:r>
          </w:p>
        </w:tc>
        <w:tc>
          <w:tcPr>
            <w:tcW w:w="165" w:type="dxa"/>
            <w:tcBorders/>
            <w:shd w:fill="CCEEFF" w:val="clear"/>
            <w:vAlign w:val="bottom"/>
          </w:tcPr>
          <w:p>
            <w:pPr>
              <w:pStyle w:val="TableContents"/>
              <w:spacing w:before="0" w:after="283"/>
              <w:jc w:val="left"/>
              <w:rPr/>
            </w:pPr>
            <w:r>
              <w:rPr/>
              <w:t xml:space="preserve">  </w:t>
            </w:r>
          </w:p>
        </w:tc>
      </w:tr>
      <w:tr>
        <w:trPr/>
        <w:tc>
          <w:tcPr>
            <w:tcW w:w="8879" w:type="dxa"/>
            <w:tcBorders/>
            <w:shd w:fill="FFFFFF" w:val="clear"/>
            <w:vAlign w:val="bottom"/>
          </w:tcPr>
          <w:p>
            <w:pPr>
              <w:pStyle w:val="TableContents"/>
              <w:spacing w:before="0" w:after="283"/>
              <w:rPr/>
            </w:pPr>
            <w:r>
              <w:rPr/>
              <w:t xml:space="preserve">  </w:t>
            </w:r>
          </w:p>
        </w:tc>
        <w:tc>
          <w:tcPr>
            <w:tcW w:w="220" w:type="dxa"/>
            <w:tcBorders/>
            <w:shd w:fill="FFFFFF" w:val="clear"/>
            <w:vAlign w:val="bottom"/>
          </w:tcPr>
          <w:p>
            <w:pPr>
              <w:pStyle w:val="TableContents"/>
              <w:spacing w:before="0" w:after="283"/>
              <w:rPr/>
            </w:pPr>
            <w:r>
              <w:rPr/>
              <w:t xml:space="preserve">  </w:t>
            </w:r>
          </w:p>
        </w:tc>
        <w:tc>
          <w:tcPr>
            <w:tcW w:w="2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2006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in addition to the Pacific acquisition, we completed six additional acquisitions for aggregate consideration of approximately $565 million. These acquisitions included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(SemCrude), (iii) interests in various crude oil pipeline systems in Canada and the U.S. including a 100% interest in the Bay Marchand-to-Ostrica-to-Alliance (BOA) Pipeline, 64.35% interest in the Clovelly-to-Meraux (CAM) Pipeline system and various interests in the High Island Pipeline System (HIPS), and (iv) three refined products pipeline systems from Chevron Pipe Line Company.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purchase prices of these acquisitions, in aggregate were allocated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897"/>
        <w:gridCol w:w="214"/>
        <w:gridCol w:w="203"/>
        <w:gridCol w:w="711"/>
        <w:gridCol w:w="180"/>
      </w:tblGrid>
      <w:tr>
        <w:trPr/>
        <w:tc>
          <w:tcPr>
            <w:tcW w:w="8897"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711"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r>
      <w:tr>
        <w:trPr/>
        <w:tc>
          <w:tcPr>
            <w:tcW w:w="8897" w:type="dxa"/>
            <w:tcBorders/>
            <w:shd w:fill="CCEEFF" w:val="clear"/>
            <w:vAlign w:val="bottom"/>
          </w:tcPr>
          <w:p>
            <w:pPr>
              <w:pStyle w:val="TableContents"/>
              <w:spacing w:before="0" w:after="0"/>
              <w:ind w:left="200" w:right="0" w:hanging="200"/>
              <w:jc w:val="left"/>
              <w:rPr>
                <w:sz w:val="17"/>
              </w:rPr>
            </w:pPr>
            <w:r>
              <w:rPr>
                <w:sz w:val="17"/>
              </w:rPr>
              <w:t xml:space="preserve">Inventory </w:t>
            </w:r>
          </w:p>
        </w:tc>
        <w:tc>
          <w:tcPr>
            <w:tcW w:w="214"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35.1 </w:t>
            </w:r>
          </w:p>
        </w:tc>
        <w:tc>
          <w:tcPr>
            <w:tcW w:w="180" w:type="dxa"/>
            <w:tcBorders/>
            <w:shd w:fill="CCEEFF" w:val="clear"/>
            <w:vAlign w:val="bottom"/>
          </w:tcPr>
          <w:p>
            <w:pPr>
              <w:pStyle w:val="TableContents"/>
              <w:spacing w:before="0" w:after="283"/>
              <w:jc w:val="left"/>
              <w:rPr/>
            </w:pPr>
            <w:r>
              <w:rPr/>
              <w:t xml:space="preserve">  </w:t>
            </w:r>
          </w:p>
        </w:tc>
      </w:tr>
      <w:tr>
        <w:trPr/>
        <w:tc>
          <w:tcPr>
            <w:tcW w:w="8897" w:type="dxa"/>
            <w:tcBorders/>
            <w:shd w:fill="FFFFFF" w:val="clear"/>
            <w:vAlign w:val="bottom"/>
          </w:tcPr>
          <w:p>
            <w:pPr>
              <w:pStyle w:val="TableContents"/>
              <w:spacing w:before="0" w:after="0"/>
              <w:ind w:left="200" w:right="0" w:hanging="200"/>
              <w:jc w:val="left"/>
              <w:rPr>
                <w:sz w:val="17"/>
              </w:rPr>
            </w:pPr>
            <w:r>
              <w:rPr>
                <w:sz w:val="17"/>
              </w:rPr>
              <w:t xml:space="preserve">Linefill </w:t>
            </w:r>
          </w:p>
        </w:tc>
        <w:tc>
          <w:tcPr>
            <w:tcW w:w="21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19.1 </w:t>
            </w:r>
          </w:p>
        </w:tc>
        <w:tc>
          <w:tcPr>
            <w:tcW w:w="180" w:type="dxa"/>
            <w:tcBorders/>
            <w:shd w:fill="FFFFFF" w:val="clear"/>
            <w:vAlign w:val="bottom"/>
          </w:tcPr>
          <w:p>
            <w:pPr>
              <w:pStyle w:val="TableContents"/>
              <w:spacing w:before="0" w:after="283"/>
              <w:jc w:val="left"/>
              <w:rPr/>
            </w:pPr>
            <w:r>
              <w:rPr/>
              <w:t xml:space="preserve">  </w:t>
            </w:r>
          </w:p>
        </w:tc>
      </w:tr>
      <w:tr>
        <w:trPr/>
        <w:tc>
          <w:tcPr>
            <w:tcW w:w="8897" w:type="dxa"/>
            <w:tcBorders/>
            <w:shd w:fill="CCEEFF" w:val="clear"/>
            <w:vAlign w:val="bottom"/>
          </w:tcPr>
          <w:p>
            <w:pPr>
              <w:pStyle w:val="TableContents"/>
              <w:spacing w:before="0" w:after="0"/>
              <w:ind w:left="200" w:right="0" w:hanging="200"/>
              <w:jc w:val="left"/>
              <w:rPr>
                <w:sz w:val="17"/>
              </w:rPr>
            </w:pPr>
            <w:r>
              <w:rPr>
                <w:sz w:val="17"/>
              </w:rPr>
              <w:t xml:space="preserve">Inventory in third party assets </w:t>
            </w:r>
          </w:p>
        </w:tc>
        <w:tc>
          <w:tcPr>
            <w:tcW w:w="214"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2.3 </w:t>
            </w:r>
          </w:p>
        </w:tc>
        <w:tc>
          <w:tcPr>
            <w:tcW w:w="180" w:type="dxa"/>
            <w:tcBorders/>
            <w:shd w:fill="CCEEFF" w:val="clear"/>
            <w:vAlign w:val="bottom"/>
          </w:tcPr>
          <w:p>
            <w:pPr>
              <w:pStyle w:val="TableContents"/>
              <w:spacing w:before="0" w:after="283"/>
              <w:jc w:val="left"/>
              <w:rPr/>
            </w:pPr>
            <w:r>
              <w:rPr/>
              <w:t xml:space="preserve">  </w:t>
            </w:r>
          </w:p>
        </w:tc>
      </w:tr>
      <w:tr>
        <w:trPr/>
        <w:tc>
          <w:tcPr>
            <w:tcW w:w="8897" w:type="dxa"/>
            <w:tcBorders/>
            <w:shd w:fill="FFFFFF" w:val="clear"/>
            <w:vAlign w:val="bottom"/>
          </w:tcPr>
          <w:p>
            <w:pPr>
              <w:pStyle w:val="TableContents"/>
              <w:spacing w:before="0" w:after="0"/>
              <w:ind w:left="200" w:right="0" w:hanging="200"/>
              <w:jc w:val="left"/>
              <w:rPr>
                <w:sz w:val="17"/>
              </w:rPr>
            </w:pPr>
            <w:r>
              <w:rPr>
                <w:sz w:val="17"/>
              </w:rPr>
              <w:t xml:space="preserve">Property and equipment </w:t>
            </w:r>
          </w:p>
        </w:tc>
        <w:tc>
          <w:tcPr>
            <w:tcW w:w="21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327.4 </w:t>
            </w:r>
          </w:p>
        </w:tc>
        <w:tc>
          <w:tcPr>
            <w:tcW w:w="180" w:type="dxa"/>
            <w:tcBorders/>
            <w:shd w:fill="FFFFFF" w:val="clear"/>
            <w:vAlign w:val="bottom"/>
          </w:tcPr>
          <w:p>
            <w:pPr>
              <w:pStyle w:val="TableContents"/>
              <w:spacing w:before="0" w:after="283"/>
              <w:jc w:val="left"/>
              <w:rPr/>
            </w:pPr>
            <w:r>
              <w:rPr/>
              <w:t xml:space="preserve">  </w:t>
            </w:r>
          </w:p>
        </w:tc>
      </w:tr>
      <w:tr>
        <w:trPr/>
        <w:tc>
          <w:tcPr>
            <w:tcW w:w="8897" w:type="dxa"/>
            <w:tcBorders/>
            <w:shd w:fill="CCEEFF" w:val="clear"/>
            <w:vAlign w:val="bottom"/>
          </w:tcPr>
          <w:p>
            <w:pPr>
              <w:pStyle w:val="TableContents"/>
              <w:spacing w:before="0" w:after="0"/>
              <w:ind w:left="200" w:right="0" w:hanging="200"/>
              <w:jc w:val="left"/>
              <w:rPr>
                <w:sz w:val="17"/>
              </w:rPr>
            </w:pPr>
            <w:r>
              <w:rPr>
                <w:sz w:val="17"/>
              </w:rPr>
              <w:t xml:space="preserve">Goodwill(1) </w:t>
            </w:r>
          </w:p>
        </w:tc>
        <w:tc>
          <w:tcPr>
            <w:tcW w:w="214"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133.1 </w:t>
            </w:r>
          </w:p>
        </w:tc>
        <w:tc>
          <w:tcPr>
            <w:tcW w:w="180" w:type="dxa"/>
            <w:tcBorders/>
            <w:shd w:fill="CCEEFF" w:val="clear"/>
            <w:vAlign w:val="bottom"/>
          </w:tcPr>
          <w:p>
            <w:pPr>
              <w:pStyle w:val="TableContents"/>
              <w:spacing w:before="0" w:after="283"/>
              <w:jc w:val="left"/>
              <w:rPr/>
            </w:pPr>
            <w:r>
              <w:rPr/>
              <w:t xml:space="preserve">  </w:t>
            </w:r>
          </w:p>
        </w:tc>
      </w:tr>
      <w:tr>
        <w:trPr/>
        <w:tc>
          <w:tcPr>
            <w:tcW w:w="8897" w:type="dxa"/>
            <w:tcBorders/>
            <w:shd w:fill="FFFFFF" w:val="clear"/>
            <w:vAlign w:val="bottom"/>
          </w:tcPr>
          <w:p>
            <w:pPr>
              <w:pStyle w:val="TableContents"/>
              <w:spacing w:before="0" w:after="0"/>
              <w:ind w:left="200" w:right="0" w:hanging="200"/>
              <w:jc w:val="left"/>
              <w:rPr>
                <w:sz w:val="17"/>
              </w:rPr>
            </w:pPr>
            <w:r>
              <w:rPr>
                <w:sz w:val="17"/>
              </w:rPr>
              <w:t xml:space="preserve">Intangibles(2) </w:t>
            </w:r>
          </w:p>
        </w:tc>
        <w:tc>
          <w:tcPr>
            <w:tcW w:w="21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48.7 </w:t>
            </w:r>
          </w:p>
        </w:tc>
        <w:tc>
          <w:tcPr>
            <w:tcW w:w="180" w:type="dxa"/>
            <w:tcBorders/>
            <w:shd w:fill="FFFFFF" w:val="clear"/>
            <w:vAlign w:val="bottom"/>
          </w:tcPr>
          <w:p>
            <w:pPr>
              <w:pStyle w:val="TableContents"/>
              <w:spacing w:before="0" w:after="283"/>
              <w:jc w:val="left"/>
              <w:rPr/>
            </w:pPr>
            <w:r>
              <w:rPr/>
              <w:t xml:space="preserve">  </w:t>
            </w:r>
          </w:p>
        </w:tc>
      </w:tr>
      <w:tr>
        <w:trPr/>
        <w:tc>
          <w:tcPr>
            <w:tcW w:w="8897" w:type="dxa"/>
            <w:tcBorders/>
            <w:shd w:fill="CCEEFF" w:val="clear"/>
            <w:vAlign w:val="bottom"/>
          </w:tcPr>
          <w:p>
            <w:pPr>
              <w:pStyle w:val="TableContents"/>
              <w:spacing w:before="0" w:after="0"/>
              <w:ind w:left="200" w:right="0" w:hanging="200"/>
              <w:jc w:val="left"/>
              <w:rPr>
                <w:sz w:val="17"/>
              </w:rPr>
            </w:pPr>
            <w:r>
              <w:rPr>
                <w:sz w:val="17"/>
              </w:rPr>
              <w:t xml:space="preserve">Net other assets and liabilities </w:t>
            </w:r>
          </w:p>
        </w:tc>
        <w:tc>
          <w:tcPr>
            <w:tcW w:w="214"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(0.3 </w:t>
            </w:r>
          </w:p>
        </w:tc>
        <w:tc>
          <w:tcPr>
            <w:tcW w:w="180" w:type="dxa"/>
            <w:tcBorders/>
            <w:shd w:fill="CCEEFF" w:val="clear"/>
            <w:vAlign w:val="bottom"/>
          </w:tcPr>
          <w:p>
            <w:pPr>
              <w:pStyle w:val="TableContents"/>
              <w:spacing w:before="0" w:after="283"/>
              <w:jc w:val="left"/>
              <w:rPr/>
            </w:pPr>
            <w:r>
              <w:rPr/>
              <w:t xml:space="preserve">) </w:t>
            </w:r>
          </w:p>
        </w:tc>
      </w:tr>
      <w:tr>
        <w:trPr/>
        <w:tc>
          <w:tcPr>
            <w:tcW w:w="8897"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8897" w:type="dxa"/>
            <w:tcBorders/>
            <w:shd w:fill="FFFFFF" w:val="clear"/>
            <w:vAlign w:val="bottom"/>
          </w:tcPr>
          <w:p>
            <w:pPr>
              <w:pStyle w:val="TableContents"/>
              <w:spacing w:before="0" w:after="0"/>
              <w:ind w:left="200" w:right="0" w:hanging="200"/>
              <w:jc w:val="left"/>
              <w:rPr>
                <w:sz w:val="17"/>
              </w:rPr>
            </w:pPr>
            <w:r>
              <w:rPr>
                <w:sz w:val="17"/>
              </w:rPr>
              <w:t xml:space="preserve">Total Purchase Price </w:t>
            </w:r>
          </w:p>
        </w:tc>
        <w:tc>
          <w:tcPr>
            <w:tcW w:w="214"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565.4 </w:t>
            </w:r>
          </w:p>
        </w:tc>
        <w:tc>
          <w:tcPr>
            <w:tcW w:w="180" w:type="dxa"/>
            <w:tcBorders/>
            <w:shd w:fill="FFFFFF" w:val="clear"/>
            <w:vAlign w:val="bottom"/>
          </w:tcPr>
          <w:p>
            <w:pPr>
              <w:pStyle w:val="TableContents"/>
              <w:spacing w:before="0" w:after="283"/>
              <w:jc w:val="left"/>
              <w:rPr/>
            </w:pPr>
            <w:r>
              <w:rPr/>
              <w:t xml:space="preserve">  </w:t>
            </w:r>
          </w:p>
        </w:tc>
      </w:tr>
      <w:tr>
        <w:trPr/>
        <w:tc>
          <w:tcPr>
            <w:tcW w:w="8897"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Represents the preliminary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 See Note 2.</w:t>
            </w:r>
          </w:p>
        </w:tc>
      </w:tr>
      <w:tr>
        <w:trPr/>
        <w:tc>
          <w:tcPr>
            <w:tcW w:w="407" w:type="dxa"/>
            <w:tcBorders/>
            <w:shd w:fill="FFFFFF" w:val="clear"/>
          </w:tcPr>
          <w:p>
            <w:pPr>
              <w:pStyle w:val="TableContents"/>
              <w:spacing w:before="0" w:after="283"/>
              <w:jc w:val="right"/>
              <w:rPr/>
            </w:pPr>
            <w:r>
              <w:rPr/>
              <w:t xml:space="preserve">(2)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Consists of customer relationships.</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in November 2006, we acquired a 50% interest in Settoon Towing for approximately $33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Pro Forma Data</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presents selected unaudited pro forma financial information incorporating the historical (pre-merger) results of Pacific and our other 2006 business combination transactions. The following pro forma information has been prepared as if the Pacific Merger and our other business combination transactions in 2006 had been completed on January 1, 2005 as opposed to the actual dates that these acquisitions occurred. The pro forma information is based upon available data and includes certain estimates and assumptions made by management. As a result, this pro forma information is not necessarily indicative of our financial results had the transactions actually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occurred on this date. Likewise, the following unaudited pro forma financial information is not necessarily indicative of our future financial results.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439"/>
        <w:gridCol w:w="192"/>
        <w:gridCol w:w="231"/>
        <w:gridCol w:w="1251"/>
        <w:gridCol w:w="169"/>
        <w:gridCol w:w="274"/>
        <w:gridCol w:w="231"/>
        <w:gridCol w:w="1255"/>
        <w:gridCol w:w="163"/>
      </w:tblGrid>
      <w:tr>
        <w:trPr/>
        <w:tc>
          <w:tcPr>
            <w:tcW w:w="6439"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jc w:val="right"/>
              <w:rPr/>
            </w:pPr>
            <w:r>
              <w:rPr/>
              <w:t> </w:t>
            </w:r>
          </w:p>
        </w:tc>
        <w:tc>
          <w:tcPr>
            <w:tcW w:w="1251"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274"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jc w:val="right"/>
              <w:rPr/>
            </w:pPr>
            <w:r>
              <w:rPr/>
              <w:t> </w:t>
            </w:r>
          </w:p>
        </w:tc>
        <w:tc>
          <w:tcPr>
            <w:tcW w:w="1255"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6439"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341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6439"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14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9" w:type="dxa"/>
            <w:tcBorders/>
            <w:shd w:fill="FFFFFF" w:val="clear"/>
            <w:vAlign w:val="bottom"/>
          </w:tcPr>
          <w:p>
            <w:pPr>
              <w:pStyle w:val="TableContents"/>
              <w:spacing w:before="0" w:after="283"/>
              <w:jc w:val="center"/>
              <w:rPr/>
            </w:pPr>
            <w:r>
              <w:rPr/>
              <w:t xml:space="preserve">  </w:t>
            </w:r>
          </w:p>
        </w:tc>
        <w:tc>
          <w:tcPr>
            <w:tcW w:w="274" w:type="dxa"/>
            <w:tcBorders/>
            <w:shd w:fill="FFFFFF" w:val="clear"/>
            <w:vAlign w:val="bottom"/>
          </w:tcPr>
          <w:p>
            <w:pPr>
              <w:pStyle w:val="TableContents"/>
              <w:spacing w:before="0" w:after="283"/>
              <w:jc w:val="center"/>
              <w:rPr/>
            </w:pPr>
            <w:r>
              <w:rPr/>
              <w:t xml:space="preserve">  </w:t>
            </w:r>
          </w:p>
        </w:tc>
        <w:tc>
          <w:tcPr>
            <w:tcW w:w="14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6439"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3411" w:type="dxa"/>
            <w:gridSpan w:val="6"/>
            <w:tcBorders/>
            <w:shd w:fill="FFFFFF" w:val="clear"/>
            <w:vAlign w:val="bottom"/>
          </w:tcPr>
          <w:p>
            <w:pPr>
              <w:pStyle w:val="TableContents"/>
              <w:spacing w:before="0" w:after="283"/>
              <w:jc w:val="center"/>
              <w:rPr/>
            </w:pPr>
            <w:r>
              <w:rPr>
                <w:b/>
              </w:rPr>
              <w:t>(Unaudited)</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6439"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3411" w:type="dxa"/>
            <w:gridSpan w:val="6"/>
            <w:tcBorders/>
            <w:shd w:fill="FFFFFF" w:val="clear"/>
            <w:vAlign w:val="bottom"/>
          </w:tcPr>
          <w:p>
            <w:pPr>
              <w:pStyle w:val="TableContents"/>
              <w:spacing w:before="0" w:after="283"/>
              <w:jc w:val="center"/>
              <w:rPr>
                <w:b/>
              </w:rPr>
            </w:pPr>
            <w:r>
              <w:rPr>
                <w:b/>
              </w:rPr>
              <w:t>(In millions, except</w:t>
            </w:r>
          </w:p>
        </w:tc>
        <w:tc>
          <w:tcPr>
            <w:tcW w:w="163" w:type="dxa"/>
            <w:tcBorders/>
            <w:shd w:fill="FFFFFF" w:val="clear"/>
            <w:vAlign w:val="bottom"/>
          </w:tcPr>
          <w:p>
            <w:pPr>
              <w:pStyle w:val="TableContents"/>
              <w:spacing w:before="0" w:after="283"/>
              <w:jc w:val="center"/>
              <w:rPr/>
            </w:pPr>
            <w:r>
              <w:rPr/>
              <w:t xml:space="preserve">  </w:t>
            </w:r>
          </w:p>
        </w:tc>
      </w:tr>
      <w:tr>
        <w:trPr/>
        <w:tc>
          <w:tcPr>
            <w:tcW w:w="6439" w:type="dxa"/>
            <w:tcBorders/>
            <w:shd w:fill="FFFFFF" w:val="clear"/>
            <w:vAlign w:val="bottom"/>
          </w:tcPr>
          <w:p>
            <w:pPr>
              <w:pStyle w:val="TableContents"/>
              <w:spacing w:before="0" w:after="283"/>
              <w:jc w:val="center"/>
              <w:rPr/>
            </w:pPr>
            <w:r>
              <w:rPr/>
              <w:t xml:space="preserve">  </w:t>
            </w:r>
          </w:p>
        </w:tc>
        <w:tc>
          <w:tcPr>
            <w:tcW w:w="192" w:type="dxa"/>
            <w:tcBorders/>
            <w:shd w:fill="FFFFFF" w:val="clear"/>
            <w:vAlign w:val="bottom"/>
          </w:tcPr>
          <w:p>
            <w:pPr>
              <w:pStyle w:val="TableContents"/>
              <w:spacing w:before="0" w:after="283"/>
              <w:jc w:val="center"/>
              <w:rPr/>
            </w:pPr>
            <w:r>
              <w:rPr/>
              <w:t xml:space="preserve">  </w:t>
            </w:r>
          </w:p>
        </w:tc>
        <w:tc>
          <w:tcPr>
            <w:tcW w:w="3411" w:type="dxa"/>
            <w:gridSpan w:val="6"/>
            <w:tcBorders/>
            <w:shd w:fill="FFFFFF" w:val="clear"/>
            <w:vAlign w:val="bottom"/>
          </w:tcPr>
          <w:p>
            <w:pPr>
              <w:pStyle w:val="TableContents"/>
              <w:spacing w:before="0" w:after="283"/>
              <w:jc w:val="center"/>
              <w:rPr/>
            </w:pPr>
            <w:r>
              <w:rPr>
                <w:b/>
              </w:rPr>
              <w:t>per unit amounts)</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6439" w:type="dxa"/>
            <w:tcBorders/>
            <w:shd w:fill="FFFFFF" w:val="clear"/>
            <w:vAlign w:val="center"/>
          </w:tcPr>
          <w:p>
            <w:pPr>
              <w:pStyle w:val="TableContents"/>
              <w:spacing w:before="0" w:after="283"/>
              <w:rPr/>
            </w:pPr>
            <w:r>
              <w:rPr/>
              <w:t xml:space="preserve">  </w:t>
            </w:r>
          </w:p>
        </w:tc>
        <w:tc>
          <w:tcPr>
            <w:tcW w:w="3766" w:type="dxa"/>
            <w:gridSpan w:val="8"/>
            <w:tcBorders/>
            <w:shd w:fill="FFFFFF" w:val="clear"/>
          </w:tcPr>
          <w:p>
            <w:pPr>
              <w:pStyle w:val="TableContents"/>
              <w:spacing w:before="0" w:after="283"/>
              <w:rPr>
                <w:sz w:val="4"/>
                <w:szCs w:val="4"/>
              </w:rPr>
            </w:pPr>
            <w:r>
              <w:rPr>
                <w:sz w:val="4"/>
                <w:szCs w:val="4"/>
              </w:rPr>
            </w:r>
          </w:p>
        </w:tc>
      </w:tr>
      <w:tr>
        <w:trPr/>
        <w:tc>
          <w:tcPr>
            <w:tcW w:w="6439" w:type="dxa"/>
            <w:tcBorders/>
            <w:shd w:fill="CCEEFF" w:val="clear"/>
            <w:vAlign w:val="bottom"/>
          </w:tcPr>
          <w:p>
            <w:pPr>
              <w:pStyle w:val="TableContents"/>
              <w:spacing w:before="0" w:after="0"/>
              <w:ind w:left="200" w:right="0" w:hanging="200"/>
              <w:jc w:val="left"/>
              <w:rPr>
                <w:sz w:val="17"/>
              </w:rPr>
            </w:pPr>
            <w:r>
              <w:rPr>
                <w:sz w:val="17"/>
              </w:rPr>
              <w:t xml:space="preserve">Revenues </w:t>
            </w:r>
          </w:p>
        </w:tc>
        <w:tc>
          <w:tcPr>
            <w:tcW w:w="192"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1" w:type="dxa"/>
            <w:tcBorders/>
            <w:shd w:fill="CCEEFF" w:val="clear"/>
            <w:vAlign w:val="bottom"/>
          </w:tcPr>
          <w:p>
            <w:pPr>
              <w:pStyle w:val="TableContents"/>
              <w:spacing w:before="0" w:after="283"/>
              <w:jc w:val="right"/>
              <w:rPr/>
            </w:pPr>
            <w:r>
              <w:rPr/>
              <w:t xml:space="preserve">22,996.4 </w:t>
            </w:r>
          </w:p>
        </w:tc>
        <w:tc>
          <w:tcPr>
            <w:tcW w:w="169" w:type="dxa"/>
            <w:tcBorders/>
            <w:shd w:fill="CCEEFF" w:val="clear"/>
            <w:vAlign w:val="bottom"/>
          </w:tcPr>
          <w:p>
            <w:pPr>
              <w:pStyle w:val="TableContents"/>
              <w:spacing w:before="0" w:after="283"/>
              <w:jc w:val="left"/>
              <w:rPr/>
            </w:pPr>
            <w:r>
              <w:rPr/>
              <w:t xml:space="preserve">  </w:t>
            </w:r>
          </w:p>
        </w:tc>
        <w:tc>
          <w:tcPr>
            <w:tcW w:w="274"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32,354.9 </w:t>
            </w:r>
          </w:p>
        </w:tc>
        <w:tc>
          <w:tcPr>
            <w:tcW w:w="163" w:type="dxa"/>
            <w:tcBorders/>
            <w:shd w:fill="CCEEFF" w:val="clear"/>
            <w:vAlign w:val="bottom"/>
          </w:tcPr>
          <w:p>
            <w:pPr>
              <w:pStyle w:val="TableContents"/>
              <w:spacing w:before="0" w:after="283"/>
              <w:jc w:val="left"/>
              <w:rPr/>
            </w:pPr>
            <w:r>
              <w:rPr/>
              <w:t xml:space="preserve">  </w:t>
            </w:r>
          </w:p>
        </w:tc>
      </w:tr>
      <w:tr>
        <w:trPr/>
        <w:tc>
          <w:tcPr>
            <w:tcW w:w="6439"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92"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1" w:type="dxa"/>
            <w:tcBorders/>
            <w:shd w:fill="FFFFFF" w:val="clear"/>
            <w:vAlign w:val="bottom"/>
          </w:tcPr>
          <w:p>
            <w:pPr>
              <w:pStyle w:val="TableContents"/>
              <w:spacing w:before="0" w:after="283"/>
              <w:jc w:val="right"/>
              <w:rPr/>
            </w:pPr>
            <w:r>
              <w:rPr/>
              <w:t xml:space="preserve">309.2 </w:t>
            </w:r>
          </w:p>
        </w:tc>
        <w:tc>
          <w:tcPr>
            <w:tcW w:w="169" w:type="dxa"/>
            <w:tcBorders/>
            <w:shd w:fill="FFFFFF" w:val="clear"/>
            <w:vAlign w:val="bottom"/>
          </w:tcPr>
          <w:p>
            <w:pPr>
              <w:pStyle w:val="TableContents"/>
              <w:spacing w:before="0" w:after="283"/>
              <w:jc w:val="left"/>
              <w:rPr/>
            </w:pPr>
            <w:r>
              <w:rPr/>
              <w:t xml:space="preserve">  </w:t>
            </w:r>
          </w:p>
        </w:tc>
        <w:tc>
          <w:tcPr>
            <w:tcW w:w="274"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225.8 </w:t>
            </w:r>
          </w:p>
        </w:tc>
        <w:tc>
          <w:tcPr>
            <w:tcW w:w="163" w:type="dxa"/>
            <w:tcBorders/>
            <w:shd w:fill="FFFFFF" w:val="clear"/>
            <w:vAlign w:val="bottom"/>
          </w:tcPr>
          <w:p>
            <w:pPr>
              <w:pStyle w:val="TableContents"/>
              <w:spacing w:before="0" w:after="283"/>
              <w:jc w:val="left"/>
              <w:rPr/>
            </w:pPr>
            <w:r>
              <w:rPr/>
              <w:t xml:space="preserve">  </w:t>
            </w:r>
          </w:p>
        </w:tc>
      </w:tr>
      <w:tr>
        <w:trPr/>
        <w:tc>
          <w:tcPr>
            <w:tcW w:w="6439" w:type="dxa"/>
            <w:tcBorders/>
            <w:shd w:fill="CCEEFF" w:val="clear"/>
            <w:vAlign w:val="bottom"/>
          </w:tcPr>
          <w:p>
            <w:pPr>
              <w:pStyle w:val="TableContents"/>
              <w:spacing w:before="0" w:after="0"/>
              <w:ind w:left="200" w:right="0" w:hanging="200"/>
              <w:jc w:val="left"/>
              <w:rPr>
                <w:sz w:val="17"/>
              </w:rPr>
            </w:pPr>
            <w:r>
              <w:rPr>
                <w:sz w:val="17"/>
              </w:rPr>
              <w:t xml:space="preserve">Net income </w:t>
            </w:r>
          </w:p>
        </w:tc>
        <w:tc>
          <w:tcPr>
            <w:tcW w:w="192"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1" w:type="dxa"/>
            <w:tcBorders/>
            <w:shd w:fill="CCEEFF" w:val="clear"/>
            <w:vAlign w:val="bottom"/>
          </w:tcPr>
          <w:p>
            <w:pPr>
              <w:pStyle w:val="TableContents"/>
              <w:spacing w:before="0" w:after="283"/>
              <w:jc w:val="right"/>
              <w:rPr/>
            </w:pPr>
            <w:r>
              <w:rPr/>
              <w:t xml:space="preserve">315.5 </w:t>
            </w:r>
          </w:p>
        </w:tc>
        <w:tc>
          <w:tcPr>
            <w:tcW w:w="169" w:type="dxa"/>
            <w:tcBorders/>
            <w:shd w:fill="CCEEFF" w:val="clear"/>
            <w:vAlign w:val="bottom"/>
          </w:tcPr>
          <w:p>
            <w:pPr>
              <w:pStyle w:val="TableContents"/>
              <w:spacing w:before="0" w:after="283"/>
              <w:jc w:val="left"/>
              <w:rPr/>
            </w:pPr>
            <w:r>
              <w:rPr/>
              <w:t xml:space="preserve">  </w:t>
            </w:r>
          </w:p>
        </w:tc>
        <w:tc>
          <w:tcPr>
            <w:tcW w:w="274"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225.8 </w:t>
            </w:r>
          </w:p>
        </w:tc>
        <w:tc>
          <w:tcPr>
            <w:tcW w:w="163" w:type="dxa"/>
            <w:tcBorders/>
            <w:shd w:fill="CCEEFF" w:val="clear"/>
            <w:vAlign w:val="bottom"/>
          </w:tcPr>
          <w:p>
            <w:pPr>
              <w:pStyle w:val="TableContents"/>
              <w:spacing w:before="0" w:after="283"/>
              <w:jc w:val="left"/>
              <w:rPr/>
            </w:pPr>
            <w:r>
              <w:rPr/>
              <w:t xml:space="preserve">  </w:t>
            </w:r>
          </w:p>
        </w:tc>
      </w:tr>
      <w:tr>
        <w:trPr/>
        <w:tc>
          <w:tcPr>
            <w:tcW w:w="6439" w:type="dxa"/>
            <w:tcBorders/>
            <w:shd w:fill="FFFFFF" w:val="clear"/>
            <w:vAlign w:val="bottom"/>
          </w:tcPr>
          <w:p>
            <w:pPr>
              <w:pStyle w:val="TableContents"/>
              <w:spacing w:before="0" w:after="0"/>
              <w:ind w:left="200" w:right="0" w:hanging="200"/>
              <w:jc w:val="left"/>
              <w:rPr>
                <w:sz w:val="17"/>
              </w:rPr>
            </w:pPr>
            <w:r>
              <w:rPr>
                <w:sz w:val="17"/>
              </w:rPr>
              <w:t xml:space="preserve">Basic income before cumulative effect of </w:t>
            </w:r>
          </w:p>
        </w:tc>
        <w:tc>
          <w:tcPr>
            <w:tcW w:w="192"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1" w:type="dxa"/>
            <w:tcBorders/>
            <w:shd w:fill="FFFFFF" w:val="cle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jc w:val="left"/>
              <w:rPr/>
            </w:pPr>
            <w:r>
              <w:rPr/>
              <w:t xml:space="preserve">  </w:t>
            </w:r>
          </w:p>
        </w:tc>
        <w:tc>
          <w:tcPr>
            <w:tcW w:w="274"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r>
      <w:tr>
        <w:trPr/>
        <w:tc>
          <w:tcPr>
            <w:tcW w:w="6439" w:type="dxa"/>
            <w:tcBorders/>
            <w:shd w:fill="CCEEFF" w:val="clear"/>
            <w:vAlign w:val="bottom"/>
          </w:tcPr>
          <w:p>
            <w:pPr>
              <w:pStyle w:val="TableContents"/>
              <w:spacing w:before="0" w:after="0"/>
              <w:ind w:left="200" w:right="0" w:hanging="200"/>
              <w:jc w:val="left"/>
              <w:rPr>
                <w:sz w:val="17"/>
              </w:rPr>
            </w:pPr>
            <w:r>
              <w:rPr>
                <w:sz w:val="17"/>
              </w:rPr>
              <w:t xml:space="preserve">change in accounting principle per limited partner unit </w:t>
            </w:r>
          </w:p>
        </w:tc>
        <w:tc>
          <w:tcPr>
            <w:tcW w:w="192"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1" w:type="dxa"/>
            <w:tcBorders/>
            <w:shd w:fill="CCEEFF" w:val="clear"/>
            <w:vAlign w:val="bottom"/>
          </w:tcPr>
          <w:p>
            <w:pPr>
              <w:pStyle w:val="TableContents"/>
              <w:spacing w:before="0" w:after="283"/>
              <w:jc w:val="right"/>
              <w:rPr/>
            </w:pPr>
            <w:r>
              <w:rPr/>
              <w:t xml:space="preserve">2.68 </w:t>
            </w:r>
          </w:p>
        </w:tc>
        <w:tc>
          <w:tcPr>
            <w:tcW w:w="169" w:type="dxa"/>
            <w:tcBorders/>
            <w:shd w:fill="CCEEFF" w:val="clear"/>
            <w:vAlign w:val="bottom"/>
          </w:tcPr>
          <w:p>
            <w:pPr>
              <w:pStyle w:val="TableContents"/>
              <w:spacing w:before="0" w:after="283"/>
              <w:jc w:val="left"/>
              <w:rPr/>
            </w:pPr>
            <w:r>
              <w:rPr/>
              <w:t xml:space="preserve">  </w:t>
            </w:r>
          </w:p>
        </w:tc>
        <w:tc>
          <w:tcPr>
            <w:tcW w:w="274"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2.37 </w:t>
            </w:r>
          </w:p>
        </w:tc>
        <w:tc>
          <w:tcPr>
            <w:tcW w:w="163" w:type="dxa"/>
            <w:tcBorders/>
            <w:shd w:fill="CCEEFF" w:val="clear"/>
            <w:vAlign w:val="bottom"/>
          </w:tcPr>
          <w:p>
            <w:pPr>
              <w:pStyle w:val="TableContents"/>
              <w:spacing w:before="0" w:after="283"/>
              <w:jc w:val="left"/>
              <w:rPr/>
            </w:pPr>
            <w:r>
              <w:rPr/>
              <w:t xml:space="preserve">  </w:t>
            </w:r>
          </w:p>
        </w:tc>
      </w:tr>
      <w:tr>
        <w:trPr/>
        <w:tc>
          <w:tcPr>
            <w:tcW w:w="6439"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92"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1" w:type="dxa"/>
            <w:tcBorders/>
            <w:shd w:fill="FFFFFF" w:val="clear"/>
            <w:vAlign w:val="bottom"/>
          </w:tcPr>
          <w:p>
            <w:pPr>
              <w:pStyle w:val="TableContents"/>
              <w:spacing w:before="0" w:after="283"/>
              <w:jc w:val="right"/>
              <w:rPr/>
            </w:pPr>
            <w:r>
              <w:rPr/>
              <w:t xml:space="preserve">2.74 </w:t>
            </w:r>
          </w:p>
        </w:tc>
        <w:tc>
          <w:tcPr>
            <w:tcW w:w="169" w:type="dxa"/>
            <w:tcBorders/>
            <w:shd w:fill="FFFFFF" w:val="clear"/>
            <w:vAlign w:val="bottom"/>
          </w:tcPr>
          <w:p>
            <w:pPr>
              <w:pStyle w:val="TableContents"/>
              <w:spacing w:before="0" w:after="283"/>
              <w:jc w:val="left"/>
              <w:rPr/>
            </w:pPr>
            <w:r>
              <w:rPr/>
              <w:t xml:space="preserve">  </w:t>
            </w:r>
          </w:p>
        </w:tc>
        <w:tc>
          <w:tcPr>
            <w:tcW w:w="274"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2.37 </w:t>
            </w:r>
          </w:p>
        </w:tc>
        <w:tc>
          <w:tcPr>
            <w:tcW w:w="163" w:type="dxa"/>
            <w:tcBorders/>
            <w:shd w:fill="FFFFFF" w:val="clear"/>
            <w:vAlign w:val="bottom"/>
          </w:tcPr>
          <w:p>
            <w:pPr>
              <w:pStyle w:val="TableContents"/>
              <w:spacing w:before="0" w:after="283"/>
              <w:jc w:val="left"/>
              <w:rPr/>
            </w:pPr>
            <w:r>
              <w:rPr/>
              <w:t xml:space="preserve">  </w:t>
            </w:r>
          </w:p>
        </w:tc>
      </w:tr>
      <w:tr>
        <w:trPr/>
        <w:tc>
          <w:tcPr>
            <w:tcW w:w="6439" w:type="dxa"/>
            <w:tcBorders/>
            <w:shd w:fill="CCEEFF" w:val="clear"/>
            <w:vAlign w:val="bottom"/>
          </w:tcPr>
          <w:p>
            <w:pPr>
              <w:pStyle w:val="TableContents"/>
              <w:spacing w:before="0" w:after="0"/>
              <w:ind w:left="200" w:right="0" w:hanging="200"/>
              <w:jc w:val="left"/>
              <w:rPr>
                <w:sz w:val="17"/>
              </w:rPr>
            </w:pPr>
            <w:r>
              <w:rPr>
                <w:sz w:val="17"/>
              </w:rPr>
              <w:t xml:space="preserve">Diluted income before cumulative effect of change in accounting principle per limited partner unit </w:t>
            </w:r>
          </w:p>
        </w:tc>
        <w:tc>
          <w:tcPr>
            <w:tcW w:w="192"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1" w:type="dxa"/>
            <w:tcBorders/>
            <w:shd w:fill="CCEEFF" w:val="clear"/>
            <w:vAlign w:val="bottom"/>
          </w:tcPr>
          <w:p>
            <w:pPr>
              <w:pStyle w:val="TableContents"/>
              <w:spacing w:before="0" w:after="283"/>
              <w:jc w:val="right"/>
              <w:rPr/>
            </w:pPr>
            <w:r>
              <w:rPr/>
              <w:t xml:space="preserve">2.66 </w:t>
            </w:r>
          </w:p>
        </w:tc>
        <w:tc>
          <w:tcPr>
            <w:tcW w:w="169" w:type="dxa"/>
            <w:tcBorders/>
            <w:shd w:fill="CCEEFF" w:val="clear"/>
            <w:vAlign w:val="bottom"/>
          </w:tcPr>
          <w:p>
            <w:pPr>
              <w:pStyle w:val="TableContents"/>
              <w:spacing w:before="0" w:after="283"/>
              <w:jc w:val="left"/>
              <w:rPr/>
            </w:pPr>
            <w:r>
              <w:rPr/>
              <w:t xml:space="preserve">  </w:t>
            </w:r>
          </w:p>
        </w:tc>
        <w:tc>
          <w:tcPr>
            <w:tcW w:w="274"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1255" w:type="dxa"/>
            <w:tcBorders/>
            <w:shd w:fill="CCEEFF" w:val="clear"/>
            <w:vAlign w:val="bottom"/>
          </w:tcPr>
          <w:p>
            <w:pPr>
              <w:pStyle w:val="TableContents"/>
              <w:spacing w:before="0" w:after="283"/>
              <w:jc w:val="right"/>
              <w:rPr/>
            </w:pPr>
            <w:r>
              <w:rPr/>
              <w:t xml:space="preserve">2.34 </w:t>
            </w:r>
          </w:p>
        </w:tc>
        <w:tc>
          <w:tcPr>
            <w:tcW w:w="163" w:type="dxa"/>
            <w:tcBorders/>
            <w:shd w:fill="CCEEFF" w:val="clear"/>
            <w:vAlign w:val="bottom"/>
          </w:tcPr>
          <w:p>
            <w:pPr>
              <w:pStyle w:val="TableContents"/>
              <w:spacing w:before="0" w:after="283"/>
              <w:jc w:val="left"/>
              <w:rPr/>
            </w:pPr>
            <w:r>
              <w:rPr/>
              <w:t xml:space="preserve">  </w:t>
            </w:r>
          </w:p>
        </w:tc>
      </w:tr>
      <w:tr>
        <w:trPr/>
        <w:tc>
          <w:tcPr>
            <w:tcW w:w="6439"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92"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1" w:type="dxa"/>
            <w:tcBorders/>
            <w:shd w:fill="FFFFFF" w:val="clear"/>
            <w:vAlign w:val="bottom"/>
          </w:tcPr>
          <w:p>
            <w:pPr>
              <w:pStyle w:val="TableContents"/>
              <w:spacing w:before="0" w:after="283"/>
              <w:jc w:val="right"/>
              <w:rPr/>
            </w:pPr>
            <w:r>
              <w:rPr/>
              <w:t xml:space="preserve">2.72 </w:t>
            </w:r>
          </w:p>
        </w:tc>
        <w:tc>
          <w:tcPr>
            <w:tcW w:w="169" w:type="dxa"/>
            <w:tcBorders/>
            <w:shd w:fill="FFFFFF" w:val="clear"/>
            <w:vAlign w:val="bottom"/>
          </w:tcPr>
          <w:p>
            <w:pPr>
              <w:pStyle w:val="TableContents"/>
              <w:spacing w:before="0" w:after="283"/>
              <w:jc w:val="left"/>
              <w:rPr/>
            </w:pPr>
            <w:r>
              <w:rPr/>
              <w:t xml:space="preserve">  </w:t>
            </w:r>
          </w:p>
        </w:tc>
        <w:tc>
          <w:tcPr>
            <w:tcW w:w="274"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1255" w:type="dxa"/>
            <w:tcBorders/>
            <w:shd w:fill="FFFFFF" w:val="clear"/>
            <w:vAlign w:val="bottom"/>
          </w:tcPr>
          <w:p>
            <w:pPr>
              <w:pStyle w:val="TableContents"/>
              <w:spacing w:before="0" w:after="283"/>
              <w:jc w:val="right"/>
              <w:rPr/>
            </w:pPr>
            <w:r>
              <w:rPr/>
              <w:t xml:space="preserve">2.34 </w:t>
            </w:r>
          </w:p>
        </w:tc>
        <w:tc>
          <w:tcPr>
            <w:tcW w:w="163" w:type="dxa"/>
            <w:tcBorders/>
            <w:shd w:fill="FFFFFF" w:val="clear"/>
            <w:vAlign w:val="bottom"/>
          </w:tcPr>
          <w:p>
            <w:pPr>
              <w:pStyle w:val="TableContents"/>
              <w:spacing w:before="0" w:after="283"/>
              <w:jc w:val="left"/>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2005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2005, we completed six small transactions for aggregate consideration of approximately $40.3 million. The transactions included crude oil trucking operations and several crude oil pipeline systems along the Gulf Coast as well as in Canada. We also acquired an LPG pipeline and terminal in Oklahoma. In addition, in September 2005, PAA/Vulcan acquired Energy Center Investments LLC (ECI), an indirect subsidiary of Sempra Energy, for approximately $250 million. We own 50% of PAA/Vulcan and a subsidiary of Vulcan Capital owns the other 50%. See Note 9 Related Party Transactions.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2004 Acquisitions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2004, in addition to the Link and Capline acquisitions, we completed several other acquisitions for aggregate consideration totaling $73.1 million including transaction costs and approximately $14.4 million of LPG operating inventory acquired. These acquisitions include crude oil mainline and gathering pipelines and propane storage facilities. The aggregate purchase price was allocated to property and equipment.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Dispositions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2006, 2005 and 2004, we sold various property and equipment for proceeds totaling approximately $4.4 million, $9.4 million and $3.0 million, respectively. A gain of approximately $2.1 million, a loss of $3.2 million, and a gain of $0.6 million were recognized in 2006, 2005, and 2004, respectively. These gains and losses are included as a component of depreciation and amortization in the consolidated statements of operations.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4  Debt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Debt consists of the following: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049"/>
        <w:gridCol w:w="182"/>
        <w:gridCol w:w="285"/>
        <w:gridCol w:w="1414"/>
        <w:gridCol w:w="160"/>
        <w:gridCol w:w="250"/>
        <w:gridCol w:w="285"/>
        <w:gridCol w:w="1414"/>
        <w:gridCol w:w="166"/>
      </w:tblGrid>
      <w:tr>
        <w:trPr/>
        <w:tc>
          <w:tcPr>
            <w:tcW w:w="6049"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414"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250"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414"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6049" w:type="dxa"/>
            <w:tcBorders/>
            <w:shd w:fill="FFFFFF" w:val="clear"/>
            <w:vAlign w:val="bottom"/>
          </w:tcPr>
          <w:p>
            <w:pPr>
              <w:pStyle w:val="TableContents"/>
              <w:spacing w:before="0" w:after="283"/>
              <w:jc w:val="center"/>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1699" w:type="dxa"/>
            <w:gridSpan w:val="2"/>
            <w:tcBorders/>
            <w:shd w:fill="FFFFFF" w:val="clear"/>
            <w:vAlign w:val="bottom"/>
          </w:tcPr>
          <w:p>
            <w:pPr>
              <w:pStyle w:val="TableContents"/>
              <w:spacing w:before="0" w:after="283"/>
              <w:jc w:val="center"/>
              <w:rPr>
                <w:b/>
              </w:rPr>
            </w:pPr>
            <w:r>
              <w:rPr>
                <w:b/>
              </w:rPr>
              <w:t>December 31,</w:t>
            </w:r>
          </w:p>
        </w:tc>
        <w:tc>
          <w:tcPr>
            <w:tcW w:w="160" w:type="dxa"/>
            <w:tcBorders/>
            <w:shd w:fill="FFFFFF" w:val="clear"/>
            <w:vAlign w:val="bottom"/>
          </w:tcPr>
          <w:p>
            <w:pPr>
              <w:pStyle w:val="TableContents"/>
              <w:spacing w:before="0" w:after="283"/>
              <w:jc w:val="center"/>
              <w:rPr/>
            </w:pPr>
            <w:r>
              <w:rPr/>
              <w:t xml:space="preserve">  </w:t>
            </w:r>
          </w:p>
        </w:tc>
        <w:tc>
          <w:tcPr>
            <w:tcW w:w="250" w:type="dxa"/>
            <w:tcBorders/>
            <w:shd w:fill="FFFFFF" w:val="clear"/>
            <w:vAlign w:val="bottom"/>
          </w:tcPr>
          <w:p>
            <w:pPr>
              <w:pStyle w:val="TableContents"/>
              <w:spacing w:before="0" w:after="283"/>
              <w:jc w:val="center"/>
              <w:rPr/>
            </w:pPr>
            <w:r>
              <w:rPr/>
              <w:t xml:space="preserve">  </w:t>
            </w:r>
          </w:p>
        </w:tc>
        <w:tc>
          <w:tcPr>
            <w:tcW w:w="1699" w:type="dxa"/>
            <w:gridSpan w:val="2"/>
            <w:tcBorders/>
            <w:shd w:fill="FFFFFF" w:val="clear"/>
            <w:vAlign w:val="bottom"/>
          </w:tcPr>
          <w:p>
            <w:pPr>
              <w:pStyle w:val="TableContents"/>
              <w:spacing w:before="0" w:after="283"/>
              <w:jc w:val="center"/>
              <w:rPr>
                <w:b/>
              </w:rPr>
            </w:pPr>
            <w:r>
              <w:rPr>
                <w:b/>
              </w:rPr>
              <w:t>December 31,</w:t>
            </w:r>
          </w:p>
        </w:tc>
        <w:tc>
          <w:tcPr>
            <w:tcW w:w="166" w:type="dxa"/>
            <w:tcBorders/>
            <w:shd w:fill="FFFFFF" w:val="clear"/>
            <w:vAlign w:val="bottom"/>
          </w:tcPr>
          <w:p>
            <w:pPr>
              <w:pStyle w:val="TableContents"/>
              <w:spacing w:before="0" w:after="283"/>
              <w:jc w:val="center"/>
              <w:rPr/>
            </w:pPr>
            <w:r>
              <w:rPr/>
              <w:t xml:space="preserve">  </w:t>
            </w:r>
          </w:p>
        </w:tc>
      </w:tr>
      <w:tr>
        <w:trPr/>
        <w:tc>
          <w:tcPr>
            <w:tcW w:w="6049" w:type="dxa"/>
            <w:tcBorders/>
            <w:shd w:fill="FFFFFF" w:val="clear"/>
            <w:vAlign w:val="bottom"/>
          </w:tcPr>
          <w:p>
            <w:pPr>
              <w:pStyle w:val="TableContents"/>
              <w:spacing w:before="0" w:after="283"/>
              <w:jc w:val="center"/>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169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50" w:type="dxa"/>
            <w:tcBorders/>
            <w:shd w:fill="FFFFFF" w:val="clear"/>
            <w:vAlign w:val="bottom"/>
          </w:tcPr>
          <w:p>
            <w:pPr>
              <w:pStyle w:val="TableContents"/>
              <w:spacing w:before="0" w:after="283"/>
              <w:jc w:val="center"/>
              <w:rPr/>
            </w:pPr>
            <w:r>
              <w:rPr/>
              <w:t xml:space="preserve">  </w:t>
            </w:r>
          </w:p>
        </w:tc>
        <w:tc>
          <w:tcPr>
            <w:tcW w:w="169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6049" w:type="dxa"/>
            <w:tcBorders/>
            <w:shd w:fill="FFFFFF" w:val="clear"/>
            <w:vAlign w:val="bottom"/>
          </w:tcPr>
          <w:p>
            <w:pPr>
              <w:pStyle w:val="TableContents"/>
              <w:spacing w:before="0" w:after="283"/>
              <w:jc w:val="center"/>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3808" w:type="dxa"/>
            <w:gridSpan w:val="6"/>
            <w:tcBorders/>
            <w:shd w:fill="FFFFFF" w:val="clear"/>
            <w:vAlign w:val="bottom"/>
          </w:tcPr>
          <w:p>
            <w:pPr>
              <w:pStyle w:val="TableContents"/>
              <w:spacing w:before="0" w:after="283"/>
              <w:jc w:val="center"/>
              <w:rPr/>
            </w:pPr>
            <w:r>
              <w:rPr>
                <w:b/>
              </w:rPr>
              <w:t>(In millions)</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6049" w:type="dxa"/>
            <w:tcBorders/>
            <w:shd w:fill="FFFFFF" w:val="clear"/>
            <w:vAlign w:val="center"/>
          </w:tcPr>
          <w:p>
            <w:pPr>
              <w:pStyle w:val="TableContents"/>
              <w:spacing w:before="0" w:after="283"/>
              <w:rPr/>
            </w:pPr>
            <w:r>
              <w:rPr/>
              <w:t xml:space="preserve">  </w:t>
            </w:r>
          </w:p>
        </w:tc>
        <w:tc>
          <w:tcPr>
            <w:tcW w:w="4156" w:type="dxa"/>
            <w:gridSpan w:val="8"/>
            <w:tcBorders/>
            <w:shd w:fill="FFFFFF" w:val="clear"/>
          </w:tcPr>
          <w:p>
            <w:pPr>
              <w:pStyle w:val="TableContents"/>
              <w:spacing w:before="0" w:after="283"/>
              <w:rPr>
                <w:sz w:val="4"/>
                <w:szCs w:val="4"/>
              </w:rPr>
            </w:pPr>
            <w:r>
              <w:rPr>
                <w:sz w:val="4"/>
                <w:szCs w:val="4"/>
              </w:rPr>
            </w:r>
          </w:p>
        </w:tc>
      </w:tr>
      <w:tr>
        <w:trPr/>
        <w:tc>
          <w:tcPr>
            <w:tcW w:w="6049" w:type="dxa"/>
            <w:tcBorders/>
            <w:shd w:fill="CCEEFF" w:val="clear"/>
            <w:vAlign w:val="bottom"/>
          </w:tcPr>
          <w:p>
            <w:pPr>
              <w:pStyle w:val="TableContents"/>
              <w:spacing w:before="0" w:after="0"/>
              <w:ind w:left="200" w:right="0" w:hanging="200"/>
              <w:jc w:val="left"/>
              <w:rPr/>
            </w:pPr>
            <w:r>
              <w:rPr>
                <w:i/>
                <w:sz w:val="17"/>
              </w:rPr>
              <w:t>Short-term debt:</w:t>
            </w:r>
            <w:r>
              <w:rPr/>
              <w:t xml:space="preserve">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Senior secured hedged inventory facility bearing interest at a rate of 5.8% and 4.8% at December 31, 2006 and 2005, respectively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835.3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219.3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Working capital borrowings, bearing interest at a rate of 5.9% and 5.0% at December 31, 2006 and 2005, respectively(1)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158.2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155.4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Other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7.7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3.7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400" w:right="0" w:hanging="200"/>
              <w:jc w:val="left"/>
              <w:rPr>
                <w:sz w:val="17"/>
              </w:rPr>
            </w:pPr>
            <w:r>
              <w:rPr>
                <w:sz w:val="17"/>
              </w:rPr>
              <w:t xml:space="preserve">Total short-term debt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1,001.2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378.4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pPr>
            <w:r>
              <w:rPr>
                <w:i/>
                <w:sz w:val="17"/>
              </w:rPr>
              <w:t>Long-term debt:</w:t>
            </w: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4.75% senior notes due August 2009, net of unamortized discount of $0.4 million and $0.6 million at December 31, 2006 and 2005, respectively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174.6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174.4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7.75% senior notes due October 2012, net of unamortized discount of $0.2 million and $0.2 million at December 31, 2006 and 2005, respectively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199.8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199.8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5.63% senior notes due December 2013, net of unamortized discount of $0.5 million and $0.5 million at December 31, 2006 and 2005, respectively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249.5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249.5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7.13% senior notes due June 2014, net of unamortized premium of $8.8 million at December 31, 2006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258.8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5.25% senior notes due June 2015, net of unamortized discount of $0.6 million and $0.7 million at December 31, 2006 and 2005, respectively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149.4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149.3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6.25% senior notes due September 2015, net of unamortized discount of $0.8 million at December 31, 2006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174.2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5.88% senior notes due August 2016, net of unamortized discount of $0.9 million and $1.0 million at December 31, 2006 and 2005, respectively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174.1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174.0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6.13% senior notes due January 2017, net of unamortized discount of $1.8 million at December 31, 2006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398.2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6.70% senior notes due May 2036, net of unamortized discount of $0.4 million at December 31, 2006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249.6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6.65% senior notes due January 2037, net of unamortized discount of $5.0 million at December 31, 2006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595.0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Senior notes, net of unamortized discount(2)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2,623.2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947.0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Long-term debt under credit facilities and other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3.1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4.7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400" w:right="0" w:hanging="200"/>
              <w:jc w:val="left"/>
              <w:rPr>
                <w:sz w:val="17"/>
              </w:rPr>
            </w:pPr>
            <w:r>
              <w:rPr>
                <w:sz w:val="17"/>
              </w:rPr>
              <w:t xml:space="preserve">Total long-term debt(1)(2) </w:t>
            </w:r>
          </w:p>
        </w:tc>
        <w:tc>
          <w:tcPr>
            <w:tcW w:w="182"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2,626.3 </w:t>
            </w:r>
          </w:p>
        </w:tc>
        <w:tc>
          <w:tcPr>
            <w:tcW w:w="160" w:type="dxa"/>
            <w:tcBorders/>
            <w:shd w:fill="CCEEFF" w:val="clear"/>
            <w:vAlign w:val="bottom"/>
          </w:tcPr>
          <w:p>
            <w:pPr>
              <w:pStyle w:val="TableContents"/>
              <w:spacing w:before="0" w:after="283"/>
              <w:jc w:val="left"/>
              <w:rPr/>
            </w:pPr>
            <w:r>
              <w:rPr/>
              <w:t xml:space="preserve">  </w:t>
            </w:r>
          </w:p>
        </w:tc>
        <w:tc>
          <w:tcPr>
            <w:tcW w:w="250"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4" w:type="dxa"/>
            <w:tcBorders/>
            <w:shd w:fill="CCEEFF" w:val="clear"/>
            <w:vAlign w:val="bottom"/>
          </w:tcPr>
          <w:p>
            <w:pPr>
              <w:pStyle w:val="TableContents"/>
              <w:spacing w:before="0" w:after="283"/>
              <w:jc w:val="right"/>
              <w:rPr/>
            </w:pPr>
            <w:r>
              <w:rPr/>
              <w:t xml:space="preserve">951.7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Total debt </w:t>
            </w:r>
          </w:p>
        </w:tc>
        <w:tc>
          <w:tcPr>
            <w:tcW w:w="182"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3,627.5 </w:t>
            </w:r>
          </w:p>
        </w:tc>
        <w:tc>
          <w:tcPr>
            <w:tcW w:w="160" w:type="dxa"/>
            <w:tcBorders/>
            <w:shd w:fill="FFFFFF" w:val="clear"/>
            <w:vAlign w:val="bottom"/>
          </w:tcPr>
          <w:p>
            <w:pPr>
              <w:pStyle w:val="TableContents"/>
              <w:spacing w:before="0" w:after="283"/>
              <w:jc w:val="left"/>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4" w:type="dxa"/>
            <w:tcBorders/>
            <w:shd w:fill="FFFFFF" w:val="clear"/>
            <w:vAlign w:val="bottom"/>
          </w:tcPr>
          <w:p>
            <w:pPr>
              <w:pStyle w:val="TableContents"/>
              <w:spacing w:before="0" w:after="283"/>
              <w:jc w:val="right"/>
              <w:rPr/>
            </w:pPr>
            <w:r>
              <w:rPr/>
              <w:t xml:space="preserve">1,330.1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At December 31, 2006 and 2005, we have classified $158.2 million and $155.4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IntercontinentalExchange (ICE) margin deposits.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At December 31, 2006, the aggregate fair value of our fixed-rate senior notes is estimated to be approximately $2,671.6 million. The carrying values of the variable rate instruments in our credit facilities approximate fair value primarily because interest rates fluctuate with prevailing market rates, and the credit spread on outstanding borrowings reflect market.</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Credit Facilities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 At December 31, 2006, 2005 and 2004, borrowings of approximately $158.2 million, $155.4 million and $231.8 million, respectively, were outstanding under this facility.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November 2006, we amended our senior secured hedged inventory facility to increase the capacity under the facility from $800 million to $1.0 billion. We also extended the maturity of the senior secured hedged inventory facility to November 2007. This facility is an uncommitted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Senior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November 2006, in conjunction with the Pacific merger, we assumed two issues of Senior Notes with an aggregate principal balance of $425 million. The $175 million of 6.25% Senior Notes are due September 15, 2015 and the $250 million of 7.125% Senior Notes are due June 15, 2014. Interest payments on the 6.25% Senior Notes are due on March 15 and September 15 of each year, and interest payments on the 7.125% Senior Notes are due on June 15 and December 15 of each year. These notes were recorded at fair value for an aggregate amount of $433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October 2006, we issued $400 million of 6.125% Senior Notes due 2017 and $600 million of 6.65% Senior Notes due 2037. The notes were sold at 99.56% and 99.17% of face value, respectively. Interest payments are due on January 15 and July 15 of each year. We used the proceeds to fund the cash portion of the merger with Pacific including repayment of amounts outstanding under Pacifics credit facility. Net proceeds in excess of the cash portion of the merger consideration were used to repay amounts outstanding under our credit facilities and for general partnership purposes. In anticipation of the issuance of these notes, we had entered into $200 million notional principal amount of U.S. treasury locks to hedge the treasury rate portion of the interest rate on a portion of the notes. The treasury locks were entered into at an interest rate of 4.97%. See Note 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May 2006, we completed the sale of $250 million aggregate principal amount of 6.70% Senior Notes due 2036. The notes were sold at 99.82% of face value. Interest payments are due on May 15 and November 15 of each year. We used the proceeds to repay amounts outstanding under our credit facilities and for general partnership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May 2005, we completed the issuance of $150 million of 5.25% senior notes due 2015. The notes were issued at 99.5% of face value. Interest payments are due on June 15 and December 15 of each year. We used the proceeds to repay amounts outstanding under our credit facilities and for general partnership purposes.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each instance, the notes were co-issued by Plains All American Pipeline, L.P. and a 100% owned consolidated finance subsidiary (neither of which have independent assets or operations) and are fully and unconditionally guaranteed, jointly and severally, by all of our existing 100% owned subsidiaries, except for two subsidiaries with assets regulated by the California Public Utility Commission, and certain other minor subsidiaries. See Note 12.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Covenants and Compliance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credit agreements and the indentures governing the senior notes contain cross default provisions. Our credit agreements prohibit distributions on, or purchases or redemptions of, units if any default or event of default is continuing. In addition, the agreements contain various covenants limiting our ability to,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9"/>
        <w:gridCol w:w="9534"/>
      </w:tblGrid>
      <w:tr>
        <w:trPr/>
        <w:tc>
          <w:tcPr>
            <w:tcW w:w="40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incur indebtedness if certain financial ratios are not maintained;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grant liens;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engage in transactions with affiliates;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enter into sale-leaseback transactions;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sell substantially all of our assets or enter into a merger or consolidation.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credit facility treats a change of control as an event of default and also requires us to maintain a debt-to-EBITDA coverage ratio which will not be greater than 4.75 to 1.0 on outstanding debt, and 5.25 to 1.0 on all outstanding debt during an acquisition period (generally, the period consisting of three fiscal quarters following an acquisition greater than $50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covenant compliance purposes, letters of credit and borrowings to fund hedged inventory and margin requirements are excluded when calculating the debt coverage ratio.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Letters of Credit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is customary in our industry, and in connection with our crude oil marketing,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2006 and 2005, we had outstanding letters of credit of approximately $185.8 million and $55.5 million, respectively.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Maturities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weighted average life of our long-term debt outstanding at December 31, 2006 was approximately 14.8 years and the aggregate maturities for the next five years are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618"/>
        <w:gridCol w:w="213"/>
        <w:gridCol w:w="206"/>
        <w:gridCol w:w="1005"/>
        <w:gridCol w:w="163"/>
      </w:tblGrid>
      <w:tr>
        <w:trPr/>
        <w:tc>
          <w:tcPr>
            <w:tcW w:w="8618"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right"/>
              <w:rPr/>
            </w:pPr>
            <w:r>
              <w:rPr/>
              <w:t> </w:t>
            </w:r>
          </w:p>
        </w:tc>
        <w:tc>
          <w:tcPr>
            <w:tcW w:w="1005"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8618" w:type="dxa"/>
            <w:tcBorders/>
            <w:shd w:fill="FFFFFF" w:val="clear"/>
            <w:vAlign w:val="bottom"/>
          </w:tcPr>
          <w:p>
            <w:pPr>
              <w:pStyle w:val="TableContents"/>
              <w:spacing w:before="0" w:after="283"/>
              <w:jc w:val="left"/>
              <w:rPr>
                <w:b/>
              </w:rPr>
            </w:pPr>
            <w:r>
              <w:rPr>
                <w:b/>
              </w:rPr>
              <w:t>Calendar</w:t>
            </w:r>
          </w:p>
        </w:tc>
        <w:tc>
          <w:tcPr>
            <w:tcW w:w="213" w:type="dxa"/>
            <w:tcBorders/>
            <w:shd w:fill="FFFFFF" w:val="clear"/>
            <w:vAlign w:val="bottom"/>
          </w:tcPr>
          <w:p>
            <w:pPr>
              <w:pStyle w:val="TableContents"/>
              <w:spacing w:before="0" w:after="283"/>
              <w:jc w:val="center"/>
              <w:rPr/>
            </w:pPr>
            <w:r>
              <w:rPr/>
              <w:t xml:space="preserve">  </w:t>
            </w:r>
          </w:p>
        </w:tc>
        <w:tc>
          <w:tcPr>
            <w:tcW w:w="1211" w:type="dxa"/>
            <w:gridSpan w:val="2"/>
            <w:tcBorders/>
            <w:shd w:fill="FFFFFF" w:val="clear"/>
            <w:vAlign w:val="bottom"/>
          </w:tcPr>
          <w:p>
            <w:pPr>
              <w:pStyle w:val="TableContents"/>
              <w:spacing w:before="0" w:after="283"/>
              <w:jc w:val="center"/>
              <w:rPr/>
            </w:pP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8618" w:type="dxa"/>
            <w:tcBorders/>
            <w:shd w:fill="FFFFFF" w:val="clear"/>
            <w:vAlign w:val="bottom"/>
          </w:tcPr>
          <w:p>
            <w:pPr>
              <w:pStyle w:val="TableContents"/>
              <w:spacing w:before="0" w:after="0"/>
              <w:jc w:val="left"/>
              <w:rPr>
                <w:bdr w:val="single" w:sz="2" w:space="1" w:color="000000"/>
              </w:rPr>
            </w:pPr>
            <w:r>
              <w:rPr>
                <w:b/>
                <w:bdr w:val="single" w:sz="2" w:space="1" w:color="000000"/>
              </w:rPr>
              <w:t>Year</w:t>
            </w:r>
            <w:r>
              <w:rPr>
                <w:bdr w:val="single" w:sz="2" w:space="1" w:color="000000"/>
              </w:rPr>
              <w:t xml:space="preserve"> </w:t>
            </w:r>
          </w:p>
        </w:tc>
        <w:tc>
          <w:tcPr>
            <w:tcW w:w="213" w:type="dxa"/>
            <w:tcBorders/>
            <w:shd w:fill="FFFFFF" w:val="clear"/>
            <w:vAlign w:val="bottom"/>
          </w:tcPr>
          <w:p>
            <w:pPr>
              <w:pStyle w:val="TableContents"/>
              <w:spacing w:before="0" w:after="283"/>
              <w:jc w:val="center"/>
              <w:rPr/>
            </w:pPr>
            <w:r>
              <w:rPr/>
              <w:t xml:space="preserve">  </w:t>
            </w:r>
          </w:p>
        </w:tc>
        <w:tc>
          <w:tcPr>
            <w:tcW w:w="121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Payment</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8618" w:type="dxa"/>
            <w:tcBorders/>
            <w:shd w:fill="FFFFFF" w:val="clear"/>
            <w:vAlign w:val="center"/>
          </w:tcPr>
          <w:p>
            <w:pPr>
              <w:pStyle w:val="TableContents"/>
              <w:spacing w:before="0" w:after="283"/>
              <w:rPr/>
            </w:pPr>
            <w:r>
              <w:rPr/>
              <w:t xml:space="preserve">  </w:t>
            </w:r>
          </w:p>
        </w:tc>
        <w:tc>
          <w:tcPr>
            <w:tcW w:w="1587" w:type="dxa"/>
            <w:gridSpan w:val="4"/>
            <w:tcBorders/>
            <w:shd w:fill="FFFFFF" w:val="clear"/>
          </w:tcPr>
          <w:p>
            <w:pPr>
              <w:pStyle w:val="TableContents"/>
              <w:spacing w:before="0" w:after="283"/>
              <w:rPr>
                <w:sz w:val="4"/>
                <w:szCs w:val="4"/>
              </w:rPr>
            </w:pPr>
            <w:r>
              <w:rPr>
                <w:sz w:val="4"/>
                <w:szCs w:val="4"/>
              </w:rPr>
            </w:r>
          </w:p>
        </w:tc>
      </w:tr>
      <w:tr>
        <w:trPr/>
        <w:tc>
          <w:tcPr>
            <w:tcW w:w="8618" w:type="dxa"/>
            <w:tcBorders/>
            <w:shd w:fill="CCEEFF" w:val="clear"/>
            <w:vAlign w:val="bottom"/>
          </w:tcPr>
          <w:p>
            <w:pPr>
              <w:pStyle w:val="TableContents"/>
              <w:spacing w:before="0" w:after="0"/>
              <w:ind w:left="200" w:right="0" w:hanging="200"/>
              <w:jc w:val="left"/>
              <w:rPr>
                <w:sz w:val="17"/>
              </w:rPr>
            </w:pPr>
            <w:r>
              <w:rPr>
                <w:sz w:val="17"/>
              </w:rPr>
              <w:t xml:space="preserve">2007 </w:t>
            </w:r>
          </w:p>
        </w:tc>
        <w:tc>
          <w:tcPr>
            <w:tcW w:w="213"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8618" w:type="dxa"/>
            <w:tcBorders/>
            <w:shd w:fill="FFFFFF" w:val="clear"/>
            <w:vAlign w:val="bottom"/>
          </w:tcPr>
          <w:p>
            <w:pPr>
              <w:pStyle w:val="TableContents"/>
              <w:spacing w:before="0" w:after="0"/>
              <w:ind w:left="200" w:right="0" w:hanging="200"/>
              <w:jc w:val="left"/>
              <w:rPr>
                <w:sz w:val="17"/>
              </w:rPr>
            </w:pPr>
            <w:r>
              <w:rPr>
                <w:sz w:val="17"/>
              </w:rPr>
              <w:t xml:space="preserve">2008 </w:t>
            </w:r>
          </w:p>
        </w:tc>
        <w:tc>
          <w:tcPr>
            <w:tcW w:w="213"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5" w:type="dxa"/>
            <w:tcBorders/>
            <w:shd w:fill="FFFFFF" w:val="clear"/>
            <w:vAlign w:val="bottom"/>
          </w:tcPr>
          <w:p>
            <w:pPr>
              <w:pStyle w:val="TableContents"/>
              <w:spacing w:before="0" w:after="283"/>
              <w:jc w:val="right"/>
              <w:rPr/>
            </w:pPr>
            <w:r>
              <w:rPr/>
              <w:t xml:space="preserve">1.0 </w:t>
            </w:r>
          </w:p>
        </w:tc>
        <w:tc>
          <w:tcPr>
            <w:tcW w:w="163" w:type="dxa"/>
            <w:tcBorders/>
            <w:shd w:fill="FFFFFF" w:val="clear"/>
            <w:vAlign w:val="bottom"/>
          </w:tcPr>
          <w:p>
            <w:pPr>
              <w:pStyle w:val="TableContents"/>
              <w:spacing w:before="0" w:after="283"/>
              <w:jc w:val="left"/>
              <w:rPr/>
            </w:pPr>
            <w:r>
              <w:rPr/>
              <w:t xml:space="preserve">  </w:t>
            </w:r>
          </w:p>
        </w:tc>
      </w:tr>
      <w:tr>
        <w:trPr/>
        <w:tc>
          <w:tcPr>
            <w:tcW w:w="8618" w:type="dxa"/>
            <w:tcBorders/>
            <w:shd w:fill="CCEEFF" w:val="clear"/>
            <w:vAlign w:val="bottom"/>
          </w:tcPr>
          <w:p>
            <w:pPr>
              <w:pStyle w:val="TableContents"/>
              <w:spacing w:before="0" w:after="0"/>
              <w:ind w:left="200" w:right="0" w:hanging="200"/>
              <w:jc w:val="left"/>
              <w:rPr>
                <w:sz w:val="17"/>
              </w:rPr>
            </w:pPr>
            <w:r>
              <w:rPr>
                <w:sz w:val="17"/>
              </w:rPr>
              <w:t xml:space="preserve">2009 </w:t>
            </w:r>
          </w:p>
        </w:tc>
        <w:tc>
          <w:tcPr>
            <w:tcW w:w="213"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5" w:type="dxa"/>
            <w:tcBorders/>
            <w:shd w:fill="CCEEFF" w:val="clear"/>
            <w:vAlign w:val="bottom"/>
          </w:tcPr>
          <w:p>
            <w:pPr>
              <w:pStyle w:val="TableContents"/>
              <w:spacing w:before="0" w:after="283"/>
              <w:jc w:val="right"/>
              <w:rPr/>
            </w:pPr>
            <w:r>
              <w:rPr/>
              <w:t xml:space="preserve">175.3 </w:t>
            </w:r>
          </w:p>
        </w:tc>
        <w:tc>
          <w:tcPr>
            <w:tcW w:w="163" w:type="dxa"/>
            <w:tcBorders/>
            <w:shd w:fill="CCEEFF" w:val="clear"/>
            <w:vAlign w:val="bottom"/>
          </w:tcPr>
          <w:p>
            <w:pPr>
              <w:pStyle w:val="TableContents"/>
              <w:spacing w:before="0" w:after="283"/>
              <w:jc w:val="left"/>
              <w:rPr/>
            </w:pPr>
            <w:r>
              <w:rPr/>
              <w:t xml:space="preserve">  </w:t>
            </w:r>
          </w:p>
        </w:tc>
      </w:tr>
      <w:tr>
        <w:trPr/>
        <w:tc>
          <w:tcPr>
            <w:tcW w:w="8618" w:type="dxa"/>
            <w:tcBorders/>
            <w:shd w:fill="FFFFFF" w:val="clear"/>
            <w:vAlign w:val="bottom"/>
          </w:tcPr>
          <w:p>
            <w:pPr>
              <w:pStyle w:val="TableContents"/>
              <w:spacing w:before="0" w:after="0"/>
              <w:ind w:left="200" w:right="0" w:hanging="200"/>
              <w:jc w:val="left"/>
              <w:rPr>
                <w:sz w:val="17"/>
              </w:rPr>
            </w:pPr>
            <w:r>
              <w:rPr>
                <w:sz w:val="17"/>
              </w:rPr>
              <w:t xml:space="preserve">2010 </w:t>
            </w:r>
          </w:p>
        </w:tc>
        <w:tc>
          <w:tcPr>
            <w:tcW w:w="213"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5" w:type="dxa"/>
            <w:tcBorders/>
            <w:shd w:fill="FFFFFF" w:val="clear"/>
            <w:vAlign w:val="bottom"/>
          </w:tcPr>
          <w:p>
            <w:pPr>
              <w:pStyle w:val="TableContents"/>
              <w:spacing w:before="0" w:after="283"/>
              <w:jc w:val="right"/>
              <w:rPr/>
            </w:pPr>
            <w:r>
              <w:rPr/>
              <w:t xml:space="preserve">0.9 </w:t>
            </w:r>
          </w:p>
        </w:tc>
        <w:tc>
          <w:tcPr>
            <w:tcW w:w="163" w:type="dxa"/>
            <w:tcBorders/>
            <w:shd w:fill="FFFFFF" w:val="clear"/>
            <w:vAlign w:val="bottom"/>
          </w:tcPr>
          <w:p>
            <w:pPr>
              <w:pStyle w:val="TableContents"/>
              <w:spacing w:before="0" w:after="283"/>
              <w:jc w:val="left"/>
              <w:rPr/>
            </w:pPr>
            <w:r>
              <w:rPr/>
              <w:t xml:space="preserve">  </w:t>
            </w:r>
          </w:p>
        </w:tc>
      </w:tr>
      <w:tr>
        <w:trPr/>
        <w:tc>
          <w:tcPr>
            <w:tcW w:w="8618" w:type="dxa"/>
            <w:tcBorders/>
            <w:shd w:fill="CCEEFF" w:val="clear"/>
            <w:vAlign w:val="bottom"/>
          </w:tcPr>
          <w:p>
            <w:pPr>
              <w:pStyle w:val="TableContents"/>
              <w:spacing w:before="0" w:after="0"/>
              <w:ind w:left="200" w:right="0" w:hanging="200"/>
              <w:jc w:val="left"/>
              <w:rPr>
                <w:sz w:val="17"/>
              </w:rPr>
            </w:pPr>
            <w:r>
              <w:rPr>
                <w:sz w:val="17"/>
              </w:rPr>
              <w:t xml:space="preserve">2011 </w:t>
            </w:r>
          </w:p>
        </w:tc>
        <w:tc>
          <w:tcPr>
            <w:tcW w:w="213"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8618" w:type="dxa"/>
            <w:tcBorders/>
            <w:shd w:fill="FFFFFF" w:val="clear"/>
            <w:vAlign w:val="bottom"/>
          </w:tcPr>
          <w:p>
            <w:pPr>
              <w:pStyle w:val="TableContents"/>
              <w:spacing w:before="0" w:after="0"/>
              <w:ind w:left="200" w:right="0" w:hanging="200"/>
              <w:jc w:val="left"/>
              <w:rPr>
                <w:sz w:val="17"/>
              </w:rPr>
            </w:pPr>
            <w:r>
              <w:rPr>
                <w:sz w:val="17"/>
              </w:rPr>
              <w:t xml:space="preserve">Thereafter </w:t>
            </w:r>
          </w:p>
        </w:tc>
        <w:tc>
          <w:tcPr>
            <w:tcW w:w="213" w:type="dxa"/>
            <w:tcBorders/>
            <w:shd w:fill="FFFFFF" w:val="cle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jc w:val="left"/>
              <w:rPr/>
            </w:pPr>
            <w:r>
              <w:rPr/>
              <w:t xml:space="preserve">  </w:t>
            </w:r>
          </w:p>
        </w:tc>
        <w:tc>
          <w:tcPr>
            <w:tcW w:w="1005" w:type="dxa"/>
            <w:tcBorders/>
            <w:shd w:fill="FFFFFF" w:val="clear"/>
            <w:vAlign w:val="bottom"/>
          </w:tcPr>
          <w:p>
            <w:pPr>
              <w:pStyle w:val="TableContents"/>
              <w:spacing w:before="0" w:after="283"/>
              <w:jc w:val="right"/>
              <w:rPr/>
            </w:pPr>
            <w:r>
              <w:rPr/>
              <w:t xml:space="preserve">2,450.9 </w:t>
            </w:r>
          </w:p>
        </w:tc>
        <w:tc>
          <w:tcPr>
            <w:tcW w:w="163" w:type="dxa"/>
            <w:tcBorders/>
            <w:shd w:fill="FFFFFF" w:val="clear"/>
            <w:vAlign w:val="bottom"/>
          </w:tcPr>
          <w:p>
            <w:pPr>
              <w:pStyle w:val="TableContents"/>
              <w:spacing w:before="0" w:after="283"/>
              <w:jc w:val="left"/>
              <w:rPr/>
            </w:pPr>
            <w:r>
              <w:rPr/>
              <w:t xml:space="preserve">  </w:t>
            </w:r>
          </w:p>
        </w:tc>
      </w:tr>
      <w:tr>
        <w:trPr/>
        <w:tc>
          <w:tcPr>
            <w:tcW w:w="8618"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rPr/>
            </w:pPr>
            <w:r>
              <w:rPr/>
              <w:t xml:space="preserve">  </w:t>
            </w:r>
          </w:p>
        </w:tc>
        <w:tc>
          <w:tcPr>
            <w:tcW w:w="2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0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r>
      <w:tr>
        <w:trPr/>
        <w:tc>
          <w:tcPr>
            <w:tcW w:w="8618" w:type="dxa"/>
            <w:tcBorders/>
            <w:shd w:fill="CCEEFF" w:val="clear"/>
            <w:vAlign w:val="bottom"/>
          </w:tcPr>
          <w:p>
            <w:pPr>
              <w:pStyle w:val="TableContents"/>
              <w:spacing w:before="0" w:after="0"/>
              <w:ind w:left="400" w:right="0" w:hanging="200"/>
              <w:jc w:val="left"/>
              <w:rPr>
                <w:sz w:val="17"/>
              </w:rPr>
            </w:pPr>
            <w:r>
              <w:rPr>
                <w:sz w:val="17"/>
              </w:rPr>
              <w:t xml:space="preserve">Total(1) </w:t>
            </w:r>
          </w:p>
        </w:tc>
        <w:tc>
          <w:tcPr>
            <w:tcW w:w="213" w:type="dxa"/>
            <w:tcBorders/>
            <w:shd w:fill="CCEEFF" w:val="clear"/>
            <w:vAlign w:val="bottom"/>
          </w:tcPr>
          <w:p>
            <w:pPr>
              <w:pStyle w:val="TableContents"/>
              <w:spacing w:before="0" w:after="283"/>
              <w:rPr/>
            </w:pPr>
            <w:r>
              <w:rPr/>
              <w:t xml:space="preserve">  </w:t>
            </w:r>
          </w:p>
        </w:tc>
        <w:tc>
          <w:tcPr>
            <w:tcW w:w="206" w:type="dxa"/>
            <w:tcBorders/>
            <w:shd w:fill="CCEEFF" w:val="clear"/>
            <w:vAlign w:val="bottom"/>
          </w:tcPr>
          <w:p>
            <w:pPr>
              <w:pStyle w:val="TableContents"/>
              <w:spacing w:before="0" w:after="283"/>
              <w:jc w:val="left"/>
              <w:rPr/>
            </w:pPr>
            <w:r>
              <w:rPr/>
              <w:t xml:space="preserve">$ </w:t>
            </w:r>
          </w:p>
        </w:tc>
        <w:tc>
          <w:tcPr>
            <w:tcW w:w="1005" w:type="dxa"/>
            <w:tcBorders/>
            <w:shd w:fill="CCEEFF" w:val="clear"/>
            <w:vAlign w:val="bottom"/>
          </w:tcPr>
          <w:p>
            <w:pPr>
              <w:pStyle w:val="TableContents"/>
              <w:spacing w:before="0" w:after="283"/>
              <w:jc w:val="right"/>
              <w:rPr/>
            </w:pPr>
            <w:r>
              <w:rPr/>
              <w:t xml:space="preserve">2,628.1 </w:t>
            </w:r>
          </w:p>
        </w:tc>
        <w:tc>
          <w:tcPr>
            <w:tcW w:w="163" w:type="dxa"/>
            <w:tcBorders/>
            <w:shd w:fill="CCEEFF" w:val="clear"/>
            <w:vAlign w:val="bottom"/>
          </w:tcPr>
          <w:p>
            <w:pPr>
              <w:pStyle w:val="TableContents"/>
              <w:spacing w:before="0" w:after="283"/>
              <w:jc w:val="left"/>
              <w:rPr/>
            </w:pPr>
            <w:r>
              <w:rPr/>
              <w:t xml:space="preserve">  </w:t>
            </w:r>
          </w:p>
        </w:tc>
      </w:tr>
      <w:tr>
        <w:trPr/>
        <w:tc>
          <w:tcPr>
            <w:tcW w:w="8618"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rPr/>
            </w:pPr>
            <w:r>
              <w:rPr/>
              <w:t xml:space="preserve">  </w:t>
            </w:r>
          </w:p>
        </w:tc>
        <w:tc>
          <w:tcPr>
            <w:tcW w:w="20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0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Excludes aggregate unamortized discount of $1.8 million on our various senior notes.</w:t>
            </w:r>
          </w:p>
        </w:tc>
      </w:tr>
    </w:tbl>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1017"/>
        <w:gridCol w:w="9188"/>
      </w:tblGrid>
      <w:tr>
        <w:trPr/>
        <w:tc>
          <w:tcPr>
            <w:tcW w:w="1017" w:type="dxa"/>
            <w:tcBorders/>
            <w:shd w:fill="FFFFFF" w:val="clear"/>
            <w:vAlign w:val="center"/>
          </w:tcPr>
          <w:p>
            <w:pPr>
              <w:pStyle w:val="TableContents"/>
              <w:spacing w:before="0" w:after="283"/>
              <w:rPr>
                <w:sz w:val="4"/>
                <w:szCs w:val="4"/>
              </w:rPr>
            </w:pPr>
            <w:r>
              <w:rPr>
                <w:sz w:val="4"/>
                <w:szCs w:val="4"/>
              </w:rPr>
            </w:r>
          </w:p>
        </w:tc>
        <w:tc>
          <w:tcPr>
            <w:tcW w:w="9188" w:type="dxa"/>
            <w:tcBorders/>
            <w:shd w:fill="FFFFFF" w:val="clear"/>
            <w:vAlign w:val="center"/>
          </w:tcPr>
          <w:p>
            <w:pPr>
              <w:pStyle w:val="TableContents"/>
              <w:spacing w:before="0" w:after="283"/>
              <w:rPr>
                <w:sz w:val="4"/>
                <w:szCs w:val="4"/>
              </w:rPr>
            </w:pPr>
            <w:r>
              <w:rPr>
                <w:sz w:val="4"/>
                <w:szCs w:val="4"/>
              </w:rPr>
            </w:r>
          </w:p>
        </w:tc>
      </w:tr>
      <w:tr>
        <w:trPr/>
        <w:tc>
          <w:tcPr>
            <w:tcW w:w="1017"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5  </w:t>
            </w:r>
          </w:p>
        </w:tc>
        <w:tc>
          <w:tcPr>
            <w:tcW w:w="9188" w:type="dxa"/>
            <w:tcBorders/>
            <w:shd w:fill="FFFFFF" w:val="clear"/>
          </w:tcPr>
          <w:p>
            <w:pPr>
              <w:pStyle w:val="TableContents"/>
              <w:spacing w:before="0" w:after="283"/>
              <w:rPr/>
            </w:pPr>
            <w:r>
              <w:rPr>
                <w:rFonts w:ascii="Times New Roman;Times" w:hAnsi="Times New Roman;Times"/>
                <w:b/>
              </w:rPr>
              <w:t>Partners Capital and Distributions</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Units Outstanding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Partners capital at December 31, 2006 consists of 109,405,178 common units outstanding, representing a 98% effective aggregate ownership interest in the Partnership and its subsidiaries after giving effect to the 2% general partner interest.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Conversion of Class B and Class C Common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accordance with a common unitholder vote at a special meeting on January 20, 2005, each Class B common unit and Class C common unit became convertible into one common unit upon request of the holder. In February 2005, all of the Class B and Class C common units converted into common units. The Class B common units and Class C common units were </w:t>
      </w:r>
      <w:r>
        <w:rPr>
          <w:rFonts w:ascii="Times New Roman;Times" w:hAnsi="Times New Roman;Times"/>
          <w:i/>
          <w:color w:val="000000"/>
          <w:sz w:val="17"/>
          <w:highlight w:val="white"/>
        </w:rPr>
        <w:t>pari passu</w:t>
      </w:r>
      <w:r>
        <w:rPr>
          <w:rFonts w:ascii="Times New Roman;Times" w:hAnsi="Times New Roman;Times"/>
          <w:color w:val="000000"/>
          <w:sz w:val="17"/>
          <w:highlight w:val="white"/>
        </w:rPr>
        <w:t xml:space="preserve"> with common units with respect to quarterly distributions.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Conversion of Subordinated Units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terms of our Partnership Agreement and having satisfied the financial tests contained therein, in November 2003, 25% of the subordinated units converted to common units on a one-for-one basis. In February 2004, all of the remaining subordinated units converted to common units on a one-for-one basis.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subordinated units had a debit balance in Partners capital of approximately $39.9 million at December 31, 2003. The debit balance was the result of several different factors including: (i) a low initial capital balance in connection with the formation of the Partnership as a result of a low carry-over book basis in the assets contributed to the Partnership at the date of formation, (ii) a significant net loss in 1999 and (iii) distributions to unitholders that exceeded net income allocated to unitholders.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General Partner Incentive Distributions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is entitled to receive incentive distributions if the amount we distribute with respect to any quarter exceeds levels specified in our partnership agreement. Under the quarterly incentive distribution provisions, generally the general partner is entitled, without duplication, to 15% of amounts we distribute in excess of $0.450 per unit, referred to as our minimum quarterly distributions (MQD), 25% of the amounts we distribute in excess of $0.495 per unit and 50% of amounts we distribute in excess of $0.675 per unit (referred to as incentive distributions).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closing of the Pacific acquisition, our general partner agreed to reduce the amount of its incentive distributions as follows: (i) $5 million per quarter for the first four quarters, (ii) $3.75 million per quarter for the next eight quarters, (iii) $2.5 million per quarter for the next four quarters, and (iv) $1.25 million per quarter for the final four quarters. Pursuant to this agreement, the first reduction was with respect to the incentive distribution paid to the general partner on February 14, 2007, which was reduced by $5 million. The total reduction in incentive distributions will be $65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 unit cash distributions on our outstanding units and the portion of the distributions representing an excess over the MQD were as follows: </w:t>
      </w:r>
    </w:p>
    <w:p>
      <w:pPr>
        <w:pStyle w:val="TextBody"/>
        <w:spacing w:before="120" w:after="283"/>
        <w:rPr/>
      </w:pPr>
      <w:r>
        <w:rPr/>
        <w:t> </w:t>
      </w:r>
    </w:p>
    <w:tbl>
      <w:tblPr>
        <w:tblW w:w="10490" w:type="dxa"/>
        <w:jc w:val="center"/>
        <w:tblInd w:w="0" w:type="dxa"/>
        <w:shd w:fill="FFFFFF" w:val="clear"/>
        <w:tblCellMar>
          <w:top w:w="0" w:type="dxa"/>
          <w:left w:w="0" w:type="dxa"/>
          <w:bottom w:w="0" w:type="dxa"/>
          <w:right w:w="0" w:type="dxa"/>
        </w:tblCellMar>
      </w:tblPr>
      <w:tblGrid>
        <w:gridCol w:w="1145"/>
        <w:gridCol w:w="60"/>
        <w:gridCol w:w="336"/>
        <w:gridCol w:w="1244"/>
        <w:gridCol w:w="120"/>
        <w:gridCol w:w="60"/>
        <w:gridCol w:w="250"/>
        <w:gridCol w:w="925"/>
        <w:gridCol w:w="120"/>
        <w:gridCol w:w="60"/>
        <w:gridCol w:w="336"/>
        <w:gridCol w:w="1244"/>
        <w:gridCol w:w="120"/>
        <w:gridCol w:w="60"/>
        <w:gridCol w:w="250"/>
        <w:gridCol w:w="925"/>
        <w:gridCol w:w="120"/>
        <w:gridCol w:w="60"/>
        <w:gridCol w:w="336"/>
        <w:gridCol w:w="1244"/>
        <w:gridCol w:w="120"/>
        <w:gridCol w:w="60"/>
        <w:gridCol w:w="250"/>
        <w:gridCol w:w="925"/>
        <w:gridCol w:w="120"/>
      </w:tblGrid>
      <w:tr>
        <w:trPr/>
        <w:tc>
          <w:tcPr>
            <w:tcW w:w="114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6" w:type="dxa"/>
            <w:tcBorders/>
            <w:shd w:fill="FFFFFF" w:val="clear"/>
            <w:vAlign w:val="bottom"/>
          </w:tcPr>
          <w:p>
            <w:pPr>
              <w:pStyle w:val="TableContents"/>
              <w:spacing w:before="0" w:after="283"/>
              <w:jc w:val="right"/>
              <w:rPr/>
            </w:pPr>
            <w:r>
              <w:rPr/>
              <w:t> </w:t>
            </w:r>
          </w:p>
        </w:tc>
        <w:tc>
          <w:tcPr>
            <w:tcW w:w="124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92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36" w:type="dxa"/>
            <w:tcBorders/>
            <w:shd w:fill="FFFFFF" w:val="clear"/>
            <w:vAlign w:val="bottom"/>
          </w:tcPr>
          <w:p>
            <w:pPr>
              <w:pStyle w:val="TableContents"/>
              <w:spacing w:before="0" w:after="283"/>
              <w:jc w:val="right"/>
              <w:rPr/>
            </w:pPr>
            <w:r>
              <w:rPr/>
              <w:t> </w:t>
            </w:r>
          </w:p>
        </w:tc>
        <w:tc>
          <w:tcPr>
            <w:tcW w:w="124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92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36" w:type="dxa"/>
            <w:tcBorders/>
            <w:shd w:fill="FFFFFF" w:val="clear"/>
            <w:vAlign w:val="bottom"/>
          </w:tcPr>
          <w:p>
            <w:pPr>
              <w:pStyle w:val="TableContents"/>
              <w:spacing w:before="0" w:after="283"/>
              <w:jc w:val="right"/>
              <w:rPr/>
            </w:pPr>
            <w:r>
              <w:rPr/>
              <w:t> </w:t>
            </w:r>
          </w:p>
        </w:tc>
        <w:tc>
          <w:tcPr>
            <w:tcW w:w="124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50" w:type="dxa"/>
            <w:tcBorders/>
            <w:shd w:fill="FFFFFF" w:val="clear"/>
            <w:vAlign w:val="bottom"/>
          </w:tcPr>
          <w:p>
            <w:pPr>
              <w:pStyle w:val="TableContents"/>
              <w:spacing w:before="0" w:after="283"/>
              <w:jc w:val="right"/>
              <w:rPr/>
            </w:pPr>
            <w:r>
              <w:rPr/>
              <w:t> </w:t>
            </w:r>
          </w:p>
        </w:tc>
        <w:tc>
          <w:tcPr>
            <w:tcW w:w="92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114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165"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Year</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14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93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93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93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14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shd w:fill="FFFFFF" w:val="clear"/>
            <w:vAlign w:val="bottom"/>
          </w:tcPr>
          <w:p>
            <w:pPr>
              <w:pStyle w:val="TableContents"/>
              <w:spacing w:before="0" w:after="283"/>
              <w:jc w:val="center"/>
              <w:rPr>
                <w:b/>
              </w:rPr>
            </w:pPr>
            <w:r>
              <w:rPr>
                <w:b/>
              </w:rPr>
              <w:t>Excess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shd w:fill="FFFFFF" w:val="clear"/>
            <w:vAlign w:val="bottom"/>
          </w:tcPr>
          <w:p>
            <w:pPr>
              <w:pStyle w:val="TableContents"/>
              <w:spacing w:before="0" w:after="283"/>
              <w:jc w:val="center"/>
              <w:rPr>
                <w:b/>
              </w:rPr>
            </w:pPr>
            <w:r>
              <w:rPr>
                <w:b/>
              </w:rPr>
              <w:t>Excess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shd w:fill="FFFFFF" w:val="clear"/>
            <w:vAlign w:val="bottom"/>
          </w:tcPr>
          <w:p>
            <w:pPr>
              <w:pStyle w:val="TableContents"/>
              <w:spacing w:before="0" w:after="283"/>
              <w:jc w:val="center"/>
              <w:rPr>
                <w:b/>
              </w:rPr>
            </w:pPr>
            <w:r>
              <w:rPr>
                <w:b/>
              </w:rPr>
              <w:t>Excess</w:t>
            </w:r>
          </w:p>
        </w:tc>
        <w:tc>
          <w:tcPr>
            <w:tcW w:w="120" w:type="dxa"/>
            <w:tcBorders/>
            <w:shd w:fill="FFFFFF" w:val="clear"/>
            <w:vAlign w:val="bottom"/>
          </w:tcPr>
          <w:p>
            <w:pPr>
              <w:pStyle w:val="TableContents"/>
              <w:spacing w:before="0" w:after="283"/>
              <w:jc w:val="center"/>
              <w:rPr/>
            </w:pPr>
            <w:r>
              <w:rPr/>
              <w:t xml:space="preserve">  </w:t>
            </w:r>
          </w:p>
        </w:tc>
      </w:tr>
      <w:tr>
        <w:trPr/>
        <w:tc>
          <w:tcPr>
            <w:tcW w:w="114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Distribution(1)</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over MQD</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Distribution(1)</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over MQD</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5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Distribution(1)</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over MQD</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145" w:type="dxa"/>
            <w:tcBorders/>
            <w:shd w:fill="FFFFFF" w:val="clear"/>
            <w:vAlign w:val="center"/>
          </w:tcPr>
          <w:p>
            <w:pPr>
              <w:pStyle w:val="TableContents"/>
              <w:spacing w:before="0" w:after="283"/>
              <w:rPr/>
            </w:pPr>
            <w:r>
              <w:rPr/>
              <w:t xml:space="preserve">  </w:t>
            </w:r>
          </w:p>
        </w:tc>
        <w:tc>
          <w:tcPr>
            <w:tcW w:w="9345" w:type="dxa"/>
            <w:gridSpan w:val="24"/>
            <w:tcBorders/>
            <w:shd w:fill="FFFFFF" w:val="clear"/>
          </w:tcPr>
          <w:p>
            <w:pPr>
              <w:pStyle w:val="TableContents"/>
              <w:spacing w:before="0" w:after="283"/>
              <w:rPr>
                <w:sz w:val="4"/>
                <w:szCs w:val="4"/>
              </w:rPr>
            </w:pPr>
            <w:r>
              <w:rPr>
                <w:sz w:val="4"/>
                <w:szCs w:val="4"/>
              </w:rPr>
            </w:r>
          </w:p>
        </w:tc>
      </w:tr>
      <w:tr>
        <w:trPr/>
        <w:tc>
          <w:tcPr>
            <w:tcW w:w="1145" w:type="dxa"/>
            <w:tcBorders/>
            <w:shd w:fill="CCEEFF" w:val="clear"/>
            <w:vAlign w:val="bottom"/>
          </w:tcPr>
          <w:p>
            <w:pPr>
              <w:pStyle w:val="TableContents"/>
              <w:spacing w:before="0" w:after="0"/>
              <w:ind w:left="200" w:right="0" w:hanging="200"/>
              <w:jc w:val="left"/>
              <w:rPr>
                <w:sz w:val="17"/>
              </w:rPr>
            </w:pPr>
            <w:r>
              <w:rPr>
                <w:sz w:val="17"/>
              </w:rPr>
              <w:t xml:space="preserve">First Quarter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0.6875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0.2375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0.6125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0.1625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0.5625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0.1125 </w:t>
            </w:r>
          </w:p>
        </w:tc>
        <w:tc>
          <w:tcPr>
            <w:tcW w:w="120" w:type="dxa"/>
            <w:tcBorders/>
            <w:shd w:fill="CCEEFF" w:val="clear"/>
            <w:vAlign w:val="bottom"/>
          </w:tcPr>
          <w:p>
            <w:pPr>
              <w:pStyle w:val="TableContents"/>
              <w:spacing w:before="0" w:after="283"/>
              <w:jc w:val="left"/>
              <w:rPr/>
            </w:pPr>
            <w:r>
              <w:rPr/>
              <w:t xml:space="preserve">  </w:t>
            </w:r>
          </w:p>
        </w:tc>
      </w:tr>
      <w:tr>
        <w:trPr/>
        <w:tc>
          <w:tcPr>
            <w:tcW w:w="1145" w:type="dxa"/>
            <w:tcBorders/>
            <w:shd w:fill="FFFFFF" w:val="clear"/>
            <w:vAlign w:val="bottom"/>
          </w:tcPr>
          <w:p>
            <w:pPr>
              <w:pStyle w:val="TableContents"/>
              <w:spacing w:before="0" w:after="0"/>
              <w:ind w:left="200" w:right="0" w:hanging="200"/>
              <w:jc w:val="left"/>
              <w:rPr>
                <w:sz w:val="17"/>
              </w:rPr>
            </w:pPr>
            <w:r>
              <w:rPr>
                <w:sz w:val="17"/>
              </w:rPr>
              <w:t xml:space="preserve">Second Quarter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0.7075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0.2575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0.6375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0.1875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0.5625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0.1125 </w:t>
            </w:r>
          </w:p>
        </w:tc>
        <w:tc>
          <w:tcPr>
            <w:tcW w:w="120" w:type="dxa"/>
            <w:tcBorders/>
            <w:shd w:fill="FFFFFF" w:val="clear"/>
            <w:vAlign w:val="bottom"/>
          </w:tcPr>
          <w:p>
            <w:pPr>
              <w:pStyle w:val="TableContents"/>
              <w:spacing w:before="0" w:after="283"/>
              <w:jc w:val="left"/>
              <w:rPr/>
            </w:pPr>
            <w:r>
              <w:rPr/>
              <w:t xml:space="preserve">  </w:t>
            </w:r>
          </w:p>
        </w:tc>
      </w:tr>
      <w:tr>
        <w:trPr/>
        <w:tc>
          <w:tcPr>
            <w:tcW w:w="1145" w:type="dxa"/>
            <w:tcBorders/>
            <w:shd w:fill="CCEEFF" w:val="clear"/>
            <w:vAlign w:val="bottom"/>
          </w:tcPr>
          <w:p>
            <w:pPr>
              <w:pStyle w:val="TableContents"/>
              <w:spacing w:before="0" w:after="0"/>
              <w:ind w:left="200" w:right="0" w:hanging="200"/>
              <w:jc w:val="left"/>
              <w:rPr>
                <w:sz w:val="17"/>
              </w:rPr>
            </w:pPr>
            <w:r>
              <w:rPr>
                <w:sz w:val="17"/>
              </w:rPr>
              <w:t xml:space="preserve">Third Quarter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0.7250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0.2750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0.6500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0.2000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36" w:type="dxa"/>
            <w:tcBorders/>
            <w:shd w:fill="CCEEFF" w:val="clear"/>
            <w:vAlign w:val="bottom"/>
          </w:tcPr>
          <w:p>
            <w:pPr>
              <w:pStyle w:val="TableContents"/>
              <w:spacing w:before="0" w:after="283"/>
              <w:jc w:val="left"/>
              <w:rPr/>
            </w:pPr>
            <w:r>
              <w:rPr/>
              <w:t xml:space="preserve">$ </w:t>
            </w:r>
          </w:p>
        </w:tc>
        <w:tc>
          <w:tcPr>
            <w:tcW w:w="1244" w:type="dxa"/>
            <w:tcBorders/>
            <w:shd w:fill="CCEEFF" w:val="clear"/>
            <w:vAlign w:val="bottom"/>
          </w:tcPr>
          <w:p>
            <w:pPr>
              <w:pStyle w:val="TableContents"/>
              <w:spacing w:before="0" w:after="283"/>
              <w:jc w:val="right"/>
              <w:rPr/>
            </w:pPr>
            <w:r>
              <w:rPr/>
              <w:t xml:space="preserve">0.5775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50" w:type="dxa"/>
            <w:tcBorders/>
            <w:shd w:fill="CCEEFF" w:val="clear"/>
            <w:vAlign w:val="bottom"/>
          </w:tcPr>
          <w:p>
            <w:pPr>
              <w:pStyle w:val="TableContents"/>
              <w:spacing w:before="0" w:after="283"/>
              <w:jc w:val="left"/>
              <w:rPr/>
            </w:pPr>
            <w:r>
              <w:rPr/>
              <w:t xml:space="preserve">$ </w:t>
            </w:r>
          </w:p>
        </w:tc>
        <w:tc>
          <w:tcPr>
            <w:tcW w:w="925" w:type="dxa"/>
            <w:tcBorders/>
            <w:shd w:fill="CCEEFF" w:val="clear"/>
            <w:vAlign w:val="bottom"/>
          </w:tcPr>
          <w:p>
            <w:pPr>
              <w:pStyle w:val="TableContents"/>
              <w:spacing w:before="0" w:after="283"/>
              <w:jc w:val="right"/>
              <w:rPr/>
            </w:pPr>
            <w:r>
              <w:rPr/>
              <w:t xml:space="preserve">0.1275 </w:t>
            </w:r>
          </w:p>
        </w:tc>
        <w:tc>
          <w:tcPr>
            <w:tcW w:w="120" w:type="dxa"/>
            <w:tcBorders/>
            <w:shd w:fill="CCEEFF" w:val="clear"/>
            <w:vAlign w:val="bottom"/>
          </w:tcPr>
          <w:p>
            <w:pPr>
              <w:pStyle w:val="TableContents"/>
              <w:spacing w:before="0" w:after="283"/>
              <w:jc w:val="left"/>
              <w:rPr/>
            </w:pPr>
            <w:r>
              <w:rPr/>
              <w:t xml:space="preserve">  </w:t>
            </w:r>
          </w:p>
        </w:tc>
      </w:tr>
      <w:tr>
        <w:trPr/>
        <w:tc>
          <w:tcPr>
            <w:tcW w:w="1145" w:type="dxa"/>
            <w:tcBorders/>
            <w:shd w:fill="FFFFFF" w:val="clear"/>
            <w:vAlign w:val="bottom"/>
          </w:tcPr>
          <w:p>
            <w:pPr>
              <w:pStyle w:val="TableContents"/>
              <w:spacing w:before="0" w:after="0"/>
              <w:ind w:left="200" w:right="0" w:hanging="200"/>
              <w:jc w:val="left"/>
              <w:rPr>
                <w:sz w:val="17"/>
              </w:rPr>
            </w:pPr>
            <w:r>
              <w:rPr>
                <w:sz w:val="17"/>
              </w:rPr>
              <w:t xml:space="preserve">Fourth Quarter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0.7500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0.3000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0.6750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0.2250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36" w:type="dxa"/>
            <w:tcBorders/>
            <w:shd w:fill="FFFFFF" w:val="clear"/>
            <w:vAlign w:val="bottom"/>
          </w:tcPr>
          <w:p>
            <w:pPr>
              <w:pStyle w:val="TableContents"/>
              <w:spacing w:before="0" w:after="283"/>
              <w:jc w:val="left"/>
              <w:rPr/>
            </w:pPr>
            <w:r>
              <w:rPr/>
              <w:t xml:space="preserve">$ </w:t>
            </w:r>
          </w:p>
        </w:tc>
        <w:tc>
          <w:tcPr>
            <w:tcW w:w="1244" w:type="dxa"/>
            <w:tcBorders/>
            <w:shd w:fill="FFFFFF" w:val="clear"/>
            <w:vAlign w:val="bottom"/>
          </w:tcPr>
          <w:p>
            <w:pPr>
              <w:pStyle w:val="TableContents"/>
              <w:spacing w:before="0" w:after="283"/>
              <w:jc w:val="right"/>
              <w:rPr/>
            </w:pPr>
            <w:r>
              <w:rPr/>
              <w:t xml:space="preserve">0.6000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50" w:type="dxa"/>
            <w:tcBorders/>
            <w:shd w:fill="FFFFFF" w:val="clear"/>
            <w:vAlign w:val="bottom"/>
          </w:tcPr>
          <w:p>
            <w:pPr>
              <w:pStyle w:val="TableContents"/>
              <w:spacing w:before="0" w:after="283"/>
              <w:jc w:val="left"/>
              <w:rPr/>
            </w:pPr>
            <w:r>
              <w:rPr/>
              <w:t xml:space="preserve">$ </w:t>
            </w:r>
          </w:p>
        </w:tc>
        <w:tc>
          <w:tcPr>
            <w:tcW w:w="925" w:type="dxa"/>
            <w:tcBorders/>
            <w:shd w:fill="FFFFFF" w:val="clear"/>
            <w:vAlign w:val="bottom"/>
          </w:tcPr>
          <w:p>
            <w:pPr>
              <w:pStyle w:val="TableContents"/>
              <w:spacing w:before="0" w:after="283"/>
              <w:jc w:val="right"/>
              <w:rPr/>
            </w:pPr>
            <w:r>
              <w:rPr/>
              <w:t xml:space="preserve">0.1500 </w:t>
            </w:r>
          </w:p>
        </w:tc>
        <w:tc>
          <w:tcPr>
            <w:tcW w:w="120"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Distributions represent those declared and paid in the applicable period.</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Total cash distributions made were as follows (in millions, except per unit amounts):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801"/>
        <w:gridCol w:w="143"/>
        <w:gridCol w:w="257"/>
        <w:gridCol w:w="885"/>
        <w:gridCol w:w="153"/>
        <w:gridCol w:w="187"/>
        <w:gridCol w:w="487"/>
        <w:gridCol w:w="1243"/>
        <w:gridCol w:w="153"/>
        <w:gridCol w:w="187"/>
        <w:gridCol w:w="306"/>
        <w:gridCol w:w="878"/>
        <w:gridCol w:w="153"/>
        <w:gridCol w:w="186"/>
        <w:gridCol w:w="226"/>
        <w:gridCol w:w="434"/>
        <w:gridCol w:w="153"/>
        <w:gridCol w:w="98"/>
        <w:gridCol w:w="98"/>
        <w:gridCol w:w="226"/>
        <w:gridCol w:w="785"/>
        <w:gridCol w:w="166"/>
      </w:tblGrid>
      <w:tr>
        <w:trPr/>
        <w:tc>
          <w:tcPr>
            <w:tcW w:w="280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885"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87" w:type="dxa"/>
            <w:tcBorders/>
            <w:shd w:fill="FFFFFF" w:val="clear"/>
            <w:vAlign w:val="bottom"/>
          </w:tcPr>
          <w:p>
            <w:pPr>
              <w:pStyle w:val="TableContents"/>
              <w:spacing w:before="0" w:after="283"/>
              <w:rPr/>
            </w:pPr>
            <w:r>
              <w:rPr/>
              <w:t> </w:t>
            </w:r>
          </w:p>
        </w:tc>
        <w:tc>
          <w:tcPr>
            <w:tcW w:w="487" w:type="dxa"/>
            <w:tcBorders/>
            <w:shd w:fill="FFFFFF" w:val="clear"/>
            <w:vAlign w:val="bottom"/>
          </w:tcPr>
          <w:p>
            <w:pPr>
              <w:pStyle w:val="TableContents"/>
              <w:spacing w:before="0" w:after="283"/>
              <w:jc w:val="right"/>
              <w:rPr/>
            </w:pPr>
            <w:r>
              <w:rPr/>
              <w:t> </w:t>
            </w:r>
          </w:p>
        </w:tc>
        <w:tc>
          <w:tcPr>
            <w:tcW w:w="1243"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87"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jc w:val="right"/>
              <w:rPr/>
            </w:pPr>
            <w:r>
              <w:rPr/>
              <w:t> </w:t>
            </w:r>
          </w:p>
        </w:tc>
        <w:tc>
          <w:tcPr>
            <w:tcW w:w="878"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8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434"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right"/>
              <w:rPr/>
            </w:pPr>
            <w:r>
              <w:rPr/>
              <w:t> </w:t>
            </w:r>
          </w:p>
        </w:tc>
        <w:tc>
          <w:tcPr>
            <w:tcW w:w="785"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2801" w:type="dxa"/>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7095" w:type="dxa"/>
            <w:gridSpan w:val="19"/>
            <w:tcBorders>
              <w:bottom w:val="single" w:sz="2" w:space="0" w:color="000000"/>
            </w:tcBorders>
            <w:shd w:fill="FFFFFF" w:val="clear"/>
            <w:tcMar>
              <w:bottom w:w="28" w:type="dxa"/>
            </w:tcMar>
            <w:vAlign w:val="bottom"/>
          </w:tcPr>
          <w:p>
            <w:pPr>
              <w:pStyle w:val="TableContents"/>
              <w:spacing w:before="0" w:after="283"/>
              <w:jc w:val="center"/>
              <w:rPr/>
            </w:pPr>
            <w:r>
              <w:rPr>
                <w:b/>
              </w:rPr>
              <w:t>Distributions Paid</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2801" w:type="dxa"/>
            <w:tcBorders/>
            <w:shd w:fill="FFFFFF" w:val="clear"/>
            <w:vAlign w:val="bottom"/>
          </w:tcPr>
          <w:p>
            <w:pPr>
              <w:pStyle w:val="TableContents"/>
              <w:spacing w:before="0" w:after="283"/>
              <w:jc w:val="left"/>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142" w:type="dxa"/>
            <w:gridSpan w:val="2"/>
            <w:tcBorders/>
            <w:shd w:fill="FFFFFF" w:val="clear"/>
            <w:vAlign w:val="bottom"/>
          </w:tcPr>
          <w:p>
            <w:pPr>
              <w:pStyle w:val="TableContents"/>
              <w:spacing w:before="0" w:after="283"/>
              <w:jc w:val="center"/>
              <w:rPr>
                <w:b/>
              </w:rPr>
            </w:pPr>
            <w:r>
              <w:rPr>
                <w:b/>
              </w:rPr>
              <w:t>Common</w:t>
            </w:r>
          </w:p>
        </w:tc>
        <w:tc>
          <w:tcPr>
            <w:tcW w:w="153"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730" w:type="dxa"/>
            <w:gridSpan w:val="2"/>
            <w:tcBorders/>
            <w:shd w:fill="FFFFFF" w:val="clear"/>
            <w:vAlign w:val="bottom"/>
          </w:tcPr>
          <w:p>
            <w:pPr>
              <w:pStyle w:val="TableContents"/>
              <w:spacing w:before="0" w:after="283"/>
              <w:jc w:val="center"/>
              <w:rPr>
                <w:b/>
              </w:rPr>
            </w:pPr>
            <w:r>
              <w:rPr>
                <w:b/>
              </w:rPr>
              <w:t>Subordinated</w:t>
            </w:r>
          </w:p>
        </w:tc>
        <w:tc>
          <w:tcPr>
            <w:tcW w:w="153"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218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GP</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98"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98" w:type="dxa"/>
            <w:tcBorders/>
            <w:shd w:fill="FFFFFF" w:val="clear"/>
            <w:vAlign w:val="bottom"/>
          </w:tcPr>
          <w:p>
            <w:pPr>
              <w:pStyle w:val="TableContents"/>
              <w:spacing w:before="0" w:after="283"/>
              <w:jc w:val="center"/>
              <w:rPr/>
            </w:pPr>
            <w:r>
              <w:rPr/>
              <w:t xml:space="preserve">  </w:t>
            </w:r>
          </w:p>
        </w:tc>
        <w:tc>
          <w:tcPr>
            <w:tcW w:w="1011" w:type="dxa"/>
            <w:gridSpan w:val="2"/>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2801" w:type="dxa"/>
            <w:tcBorders/>
            <w:shd w:fill="FFFFFF" w:val="clear"/>
            <w:vAlign w:val="bottom"/>
          </w:tcPr>
          <w:p>
            <w:pPr>
              <w:pStyle w:val="TableContents"/>
              <w:spacing w:before="0" w:after="0"/>
              <w:jc w:val="left"/>
              <w:rPr>
                <w:bdr w:val="single" w:sz="2" w:space="1" w:color="000000"/>
              </w:rPr>
            </w:pPr>
            <w:r>
              <w:rPr>
                <w:b/>
                <w:bdr w:val="single" w:sz="2" w:space="1" w:color="000000"/>
              </w:rPr>
              <w:t>Year</w:t>
            </w:r>
            <w:r>
              <w:rPr>
                <w:bdr w:val="single" w:sz="2" w:space="1" w:color="000000"/>
              </w:rPr>
              <w:t xml:space="preserve"> </w:t>
            </w:r>
          </w:p>
        </w:tc>
        <w:tc>
          <w:tcPr>
            <w:tcW w:w="143" w:type="dxa"/>
            <w:tcBorders/>
            <w:shd w:fill="FFFFFF" w:val="clear"/>
            <w:vAlign w:val="bottom"/>
          </w:tcPr>
          <w:p>
            <w:pPr>
              <w:pStyle w:val="TableContents"/>
              <w:spacing w:before="0" w:after="283"/>
              <w:jc w:val="center"/>
              <w:rPr/>
            </w:pPr>
            <w:r>
              <w:rPr/>
              <w:t xml:space="preserve">  </w:t>
            </w:r>
          </w:p>
        </w:tc>
        <w:tc>
          <w:tcPr>
            <w:tcW w:w="11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7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 (1)</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11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Incentive</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6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w:t>
            </w:r>
            <w:r>
              <w:rPr/>
              <w:t xml:space="preserve"> </w:t>
            </w:r>
          </w:p>
        </w:tc>
        <w:tc>
          <w:tcPr>
            <w:tcW w:w="153" w:type="dxa"/>
            <w:tcBorders/>
            <w:shd w:fill="FFFFFF" w:val="clear"/>
            <w:vAlign w:val="bottom"/>
          </w:tcPr>
          <w:p>
            <w:pPr>
              <w:pStyle w:val="TableContents"/>
              <w:spacing w:before="0" w:after="283"/>
              <w:jc w:val="center"/>
              <w:rPr/>
            </w:pPr>
            <w:r>
              <w:rPr/>
              <w:t xml:space="preserve">  </w:t>
            </w:r>
          </w:p>
        </w:tc>
        <w:tc>
          <w:tcPr>
            <w:tcW w:w="98"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98" w:type="dxa"/>
            <w:tcBorders/>
            <w:shd w:fill="FFFFFF" w:val="clear"/>
            <w:vAlign w:val="bottom"/>
          </w:tcPr>
          <w:p>
            <w:pPr>
              <w:pStyle w:val="TableContents"/>
              <w:spacing w:before="0" w:after="283"/>
              <w:jc w:val="center"/>
              <w:rPr/>
            </w:pPr>
            <w:r>
              <w:rPr/>
              <w:t xml:space="preserve">  </w:t>
            </w:r>
          </w:p>
        </w:tc>
        <w:tc>
          <w:tcPr>
            <w:tcW w:w="101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2801" w:type="dxa"/>
            <w:tcBorders/>
            <w:shd w:fill="CCEEFF" w:val="clear"/>
            <w:vAlign w:val="bottom"/>
          </w:tcPr>
          <w:p>
            <w:pPr>
              <w:pStyle w:val="TableContents"/>
              <w:spacing w:before="0" w:after="0"/>
              <w:ind w:left="200" w:right="0" w:hanging="200"/>
              <w:jc w:val="left"/>
              <w:rPr>
                <w:sz w:val="17"/>
              </w:rPr>
            </w:pPr>
            <w:r>
              <w:rPr>
                <w:sz w:val="17"/>
              </w:rPr>
              <w:t xml:space="preserve">2006 </w:t>
            </w:r>
          </w:p>
        </w:tc>
        <w:tc>
          <w:tcPr>
            <w:tcW w:w="143"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885" w:type="dxa"/>
            <w:tcBorders/>
            <w:shd w:fill="CCEEFF" w:val="clear"/>
            <w:vAlign w:val="bottom"/>
          </w:tcPr>
          <w:p>
            <w:pPr>
              <w:pStyle w:val="TableContents"/>
              <w:spacing w:before="0" w:after="283"/>
              <w:jc w:val="right"/>
              <w:rPr/>
            </w:pPr>
            <w:r>
              <w:rPr/>
              <w:t xml:space="preserve">224.9 </w:t>
            </w:r>
          </w:p>
        </w:tc>
        <w:tc>
          <w:tcPr>
            <w:tcW w:w="153" w:type="dxa"/>
            <w:tcBorders/>
            <w:shd w:fill="CCEEFF" w:val="clear"/>
            <w:vAlign w:val="bottom"/>
          </w:tcPr>
          <w:p>
            <w:pPr>
              <w:pStyle w:val="TableContents"/>
              <w:spacing w:before="0" w:after="283"/>
              <w:jc w:val="left"/>
              <w:rPr/>
            </w:pPr>
            <w:r>
              <w:rPr/>
              <w:t xml:space="preserve">  </w:t>
            </w:r>
          </w:p>
        </w:tc>
        <w:tc>
          <w:tcPr>
            <w:tcW w:w="187"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1243" w:type="dxa"/>
            <w:tcBorders/>
            <w:shd w:fill="CCEEFF" w:val="clear"/>
            <w:vAlign w:val="bottom"/>
          </w:tcPr>
          <w:p>
            <w:pPr>
              <w:pStyle w:val="TableContents"/>
              <w:spacing w:before="0" w:after="283"/>
              <w:jc w:val="right"/>
              <w:rPr/>
            </w:pPr>
            <w:r>
              <w:rPr/>
              <w:t xml:space="preserve"> </w:t>
            </w:r>
          </w:p>
        </w:tc>
        <w:tc>
          <w:tcPr>
            <w:tcW w:w="153" w:type="dxa"/>
            <w:tcBorders/>
            <w:shd w:fill="CCEEFF" w:val="clear"/>
            <w:vAlign w:val="bottom"/>
          </w:tcPr>
          <w:p>
            <w:pPr>
              <w:pStyle w:val="TableContents"/>
              <w:spacing w:before="0" w:after="283"/>
              <w:jc w:val="left"/>
              <w:rPr/>
            </w:pPr>
            <w:r>
              <w:rPr/>
              <w:t xml:space="preserve">  </w:t>
            </w:r>
          </w:p>
        </w:tc>
        <w:tc>
          <w:tcPr>
            <w:tcW w:w="18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878" w:type="dxa"/>
            <w:tcBorders/>
            <w:shd w:fill="CCEEFF" w:val="clear"/>
            <w:vAlign w:val="bottom"/>
          </w:tcPr>
          <w:p>
            <w:pPr>
              <w:pStyle w:val="TableContents"/>
              <w:spacing w:before="0" w:after="283"/>
              <w:jc w:val="right"/>
              <w:rPr/>
            </w:pPr>
            <w:r>
              <w:rPr/>
              <w:t xml:space="preserve">33.1 </w:t>
            </w:r>
          </w:p>
        </w:tc>
        <w:tc>
          <w:tcPr>
            <w:tcW w:w="153" w:type="dxa"/>
            <w:tcBorders/>
            <w:shd w:fill="CCEEFF" w:val="clear"/>
            <w:vAlign w:val="bottom"/>
          </w:tcPr>
          <w:p>
            <w:pPr>
              <w:pStyle w:val="TableContents"/>
              <w:spacing w:before="0" w:after="283"/>
              <w:jc w:val="left"/>
              <w:rPr/>
            </w:pPr>
            <w:r>
              <w:rPr/>
              <w:t xml:space="preserve">  </w:t>
            </w:r>
          </w:p>
        </w:tc>
        <w:tc>
          <w:tcPr>
            <w:tcW w:w="18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jc w:val="right"/>
              <w:rPr/>
            </w:pPr>
            <w:r>
              <w:rPr/>
              <w:t xml:space="preserve">4.6 </w:t>
            </w:r>
          </w:p>
        </w:tc>
        <w:tc>
          <w:tcPr>
            <w:tcW w:w="153" w:type="dxa"/>
            <w:tcBorders/>
            <w:shd w:fill="CCEEFF" w:val="clear"/>
            <w:vAlign w:val="bottom"/>
          </w:tcPr>
          <w:p>
            <w:pPr>
              <w:pStyle w:val="TableContents"/>
              <w:spacing w:before="0" w:after="283"/>
              <w:jc w:val="left"/>
              <w:rPr/>
            </w:pPr>
            <w:r>
              <w:rPr/>
              <w:t xml:space="preserve">  </w:t>
            </w:r>
          </w:p>
        </w:tc>
        <w:tc>
          <w:tcPr>
            <w:tcW w:w="98" w:type="dxa"/>
            <w:tcBorders>
              <w:right w:val="single" w:sz="2" w:space="0" w:color="000000"/>
            </w:tcBorders>
            <w:shd w:fill="CCEEFF" w:val="clear"/>
            <w:tcMar>
              <w:right w:w="40" w:type="dxa"/>
            </w:tcM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85" w:type="dxa"/>
            <w:tcBorders/>
            <w:shd w:fill="CCEEFF" w:val="clear"/>
            <w:vAlign w:val="bottom"/>
          </w:tcPr>
          <w:p>
            <w:pPr>
              <w:pStyle w:val="TableContents"/>
              <w:spacing w:before="0" w:after="283"/>
              <w:jc w:val="right"/>
              <w:rPr/>
            </w:pPr>
            <w:r>
              <w:rPr/>
              <w:t xml:space="preserve">262.6 </w:t>
            </w:r>
          </w:p>
        </w:tc>
        <w:tc>
          <w:tcPr>
            <w:tcW w:w="166" w:type="dxa"/>
            <w:tcBorders/>
            <w:shd w:fill="CCEEFF" w:val="clear"/>
            <w:vAlign w:val="bottom"/>
          </w:tcPr>
          <w:p>
            <w:pPr>
              <w:pStyle w:val="TableContents"/>
              <w:spacing w:before="0" w:after="283"/>
              <w:jc w:val="left"/>
              <w:rPr/>
            </w:pPr>
            <w:r>
              <w:rPr/>
              <w:t xml:space="preserve">  </w:t>
            </w:r>
          </w:p>
        </w:tc>
      </w:tr>
      <w:tr>
        <w:trPr/>
        <w:tc>
          <w:tcPr>
            <w:tcW w:w="2801" w:type="dxa"/>
            <w:tcBorders/>
            <w:shd w:fill="FFFFFF" w:val="clear"/>
            <w:vAlign w:val="bottom"/>
          </w:tcPr>
          <w:p>
            <w:pPr>
              <w:pStyle w:val="TableContents"/>
              <w:spacing w:before="0" w:after="0"/>
              <w:ind w:left="200" w:right="0" w:hanging="200"/>
              <w:jc w:val="left"/>
              <w:rPr>
                <w:sz w:val="17"/>
              </w:rPr>
            </w:pPr>
            <w:r>
              <w:rPr>
                <w:sz w:val="17"/>
              </w:rPr>
              <w:t xml:space="preserve">2005 </w:t>
            </w:r>
          </w:p>
        </w:tc>
        <w:tc>
          <w:tcPr>
            <w:tcW w:w="143"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885" w:type="dxa"/>
            <w:tcBorders/>
            <w:shd w:fill="FFFFFF" w:val="clear"/>
            <w:vAlign w:val="bottom"/>
          </w:tcPr>
          <w:p>
            <w:pPr>
              <w:pStyle w:val="TableContents"/>
              <w:spacing w:before="0" w:after="283"/>
              <w:jc w:val="right"/>
              <w:rPr/>
            </w:pPr>
            <w:r>
              <w:rPr/>
              <w:t xml:space="preserve">178.4 </w:t>
            </w:r>
          </w:p>
        </w:tc>
        <w:tc>
          <w:tcPr>
            <w:tcW w:w="153" w:type="dxa"/>
            <w:tcBorders/>
            <w:shd w:fill="FFFFFF" w:val="clear"/>
            <w:vAlign w:val="bottom"/>
          </w:tcPr>
          <w:p>
            <w:pPr>
              <w:pStyle w:val="TableContents"/>
              <w:spacing w:before="0" w:after="283"/>
              <w:jc w:val="left"/>
              <w:rPr/>
            </w:pPr>
            <w:r>
              <w:rPr/>
              <w:t xml:space="preserve">  </w:t>
            </w:r>
          </w:p>
        </w:tc>
        <w:tc>
          <w:tcPr>
            <w:tcW w:w="187" w:type="dxa"/>
            <w:tcBorders/>
            <w:shd w:fill="FFFFFF" w:val="clear"/>
            <w:vAlign w:val="bottom"/>
          </w:tcPr>
          <w:p>
            <w:pPr>
              <w:pStyle w:val="TableContents"/>
              <w:spacing w:before="0" w:after="283"/>
              <w:rPr/>
            </w:pPr>
            <w:r>
              <w:rPr/>
              <w:t xml:space="preserve">  </w:t>
            </w:r>
          </w:p>
        </w:tc>
        <w:tc>
          <w:tcPr>
            <w:tcW w:w="487" w:type="dxa"/>
            <w:tcBorders/>
            <w:shd w:fill="FFFFFF" w:val="clear"/>
            <w:vAlign w:val="bottom"/>
          </w:tcPr>
          <w:p>
            <w:pPr>
              <w:pStyle w:val="TableContents"/>
              <w:spacing w:before="0" w:after="283"/>
              <w:jc w:val="left"/>
              <w:rPr/>
            </w:pPr>
            <w:r>
              <w:rPr/>
              <w:t xml:space="preserve">$ </w:t>
            </w:r>
          </w:p>
        </w:tc>
        <w:tc>
          <w:tcPr>
            <w:tcW w:w="1243"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8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878" w:type="dxa"/>
            <w:tcBorders/>
            <w:shd w:fill="FFFFFF" w:val="clear"/>
            <w:vAlign w:val="bottom"/>
          </w:tcPr>
          <w:p>
            <w:pPr>
              <w:pStyle w:val="TableContents"/>
              <w:spacing w:before="0" w:after="283"/>
              <w:jc w:val="right"/>
              <w:rPr/>
            </w:pPr>
            <w:r>
              <w:rPr/>
              <w:t xml:space="preserve">15.0 </w:t>
            </w:r>
          </w:p>
        </w:tc>
        <w:tc>
          <w:tcPr>
            <w:tcW w:w="153" w:type="dxa"/>
            <w:tcBorders/>
            <w:shd w:fill="FFFFFF" w:val="clear"/>
            <w:vAlign w:val="bottom"/>
          </w:tcPr>
          <w:p>
            <w:pPr>
              <w:pStyle w:val="TableContents"/>
              <w:spacing w:before="0" w:after="283"/>
              <w:jc w:val="left"/>
              <w:rPr/>
            </w:pPr>
            <w:r>
              <w:rPr/>
              <w:t xml:space="preserve">  </w:t>
            </w:r>
          </w:p>
        </w:tc>
        <w:tc>
          <w:tcPr>
            <w:tcW w:w="18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jc w:val="right"/>
              <w:rPr/>
            </w:pPr>
            <w:r>
              <w:rPr/>
              <w:t xml:space="preserve">3.6 </w:t>
            </w:r>
          </w:p>
        </w:tc>
        <w:tc>
          <w:tcPr>
            <w:tcW w:w="153" w:type="dxa"/>
            <w:tcBorders/>
            <w:shd w:fill="FFFFFF" w:val="clear"/>
            <w:vAlign w:val="bottom"/>
          </w:tcPr>
          <w:p>
            <w:pPr>
              <w:pStyle w:val="TableContents"/>
              <w:spacing w:before="0" w:after="283"/>
              <w:jc w:val="left"/>
              <w:rPr/>
            </w:pPr>
            <w:r>
              <w:rPr/>
              <w:t xml:space="preserve">  </w:t>
            </w:r>
          </w:p>
        </w:tc>
        <w:tc>
          <w:tcPr>
            <w:tcW w:w="98" w:type="dxa"/>
            <w:tcBorders>
              <w:right w:val="single" w:sz="2" w:space="0" w:color="000000"/>
            </w:tcBorders>
            <w:shd w:fill="FFFFFF" w:val="clear"/>
            <w:tcMar>
              <w:right w:w="40" w:type="dxa"/>
            </w:tcM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85" w:type="dxa"/>
            <w:tcBorders/>
            <w:shd w:fill="FFFFFF" w:val="clear"/>
            <w:vAlign w:val="bottom"/>
          </w:tcPr>
          <w:p>
            <w:pPr>
              <w:pStyle w:val="TableContents"/>
              <w:spacing w:before="0" w:after="283"/>
              <w:jc w:val="right"/>
              <w:rPr/>
            </w:pPr>
            <w:r>
              <w:rPr/>
              <w:t xml:space="preserve">197.0 </w:t>
            </w:r>
          </w:p>
        </w:tc>
        <w:tc>
          <w:tcPr>
            <w:tcW w:w="166" w:type="dxa"/>
            <w:tcBorders/>
            <w:shd w:fill="FFFFFF" w:val="clear"/>
            <w:vAlign w:val="bottom"/>
          </w:tcPr>
          <w:p>
            <w:pPr>
              <w:pStyle w:val="TableContents"/>
              <w:spacing w:before="0" w:after="283"/>
              <w:jc w:val="left"/>
              <w:rPr/>
            </w:pPr>
            <w:r>
              <w:rPr/>
              <w:t xml:space="preserve">  </w:t>
            </w:r>
          </w:p>
        </w:tc>
      </w:tr>
      <w:tr>
        <w:trPr/>
        <w:tc>
          <w:tcPr>
            <w:tcW w:w="2801" w:type="dxa"/>
            <w:tcBorders/>
            <w:shd w:fill="CCEEFF" w:val="clear"/>
            <w:vAlign w:val="bottom"/>
          </w:tcPr>
          <w:p>
            <w:pPr>
              <w:pStyle w:val="TableContents"/>
              <w:spacing w:before="0" w:after="0"/>
              <w:ind w:left="200" w:right="0" w:hanging="200"/>
              <w:jc w:val="left"/>
              <w:rPr>
                <w:sz w:val="17"/>
              </w:rPr>
            </w:pPr>
            <w:r>
              <w:rPr>
                <w:sz w:val="17"/>
              </w:rPr>
              <w:t xml:space="preserve">2004 </w:t>
            </w:r>
          </w:p>
        </w:tc>
        <w:tc>
          <w:tcPr>
            <w:tcW w:w="143" w:type="dxa"/>
            <w:tcBorders/>
            <w:shd w:fill="CCEEFF" w:val="clear"/>
            <w:vAlign w:val="bottom"/>
          </w:tcPr>
          <w:p>
            <w:pPr>
              <w:pStyle w:val="TableContents"/>
              <w:spacing w:before="0" w:after="283"/>
              <w:rPr/>
            </w:pPr>
            <w:r>
              <w:rPr/>
              <w:t xml:space="preserve">  </w:t>
            </w:r>
          </w:p>
        </w:tc>
        <w:tc>
          <w:tcPr>
            <w:tcW w:w="257" w:type="dxa"/>
            <w:tcBorders/>
            <w:shd w:fill="CCEEFF" w:val="clear"/>
            <w:vAlign w:val="bottom"/>
          </w:tcPr>
          <w:p>
            <w:pPr>
              <w:pStyle w:val="TableContents"/>
              <w:spacing w:before="0" w:after="283"/>
              <w:jc w:val="left"/>
              <w:rPr/>
            </w:pPr>
            <w:r>
              <w:rPr/>
              <w:t xml:space="preserve">$ </w:t>
            </w:r>
          </w:p>
        </w:tc>
        <w:tc>
          <w:tcPr>
            <w:tcW w:w="885" w:type="dxa"/>
            <w:tcBorders/>
            <w:shd w:fill="CCEEFF" w:val="clear"/>
            <w:vAlign w:val="bottom"/>
          </w:tcPr>
          <w:p>
            <w:pPr>
              <w:pStyle w:val="TableContents"/>
              <w:spacing w:before="0" w:after="283"/>
              <w:jc w:val="right"/>
              <w:rPr/>
            </w:pPr>
            <w:r>
              <w:rPr/>
              <w:t xml:space="preserve">142.9 </w:t>
            </w:r>
          </w:p>
        </w:tc>
        <w:tc>
          <w:tcPr>
            <w:tcW w:w="153" w:type="dxa"/>
            <w:tcBorders/>
            <w:shd w:fill="CCEEFF" w:val="clear"/>
            <w:vAlign w:val="bottom"/>
          </w:tcPr>
          <w:p>
            <w:pPr>
              <w:pStyle w:val="TableContents"/>
              <w:spacing w:before="0" w:after="283"/>
              <w:jc w:val="left"/>
              <w:rPr/>
            </w:pPr>
            <w:r>
              <w:rPr/>
              <w:t xml:space="preserve">  </w:t>
            </w:r>
          </w:p>
        </w:tc>
        <w:tc>
          <w:tcPr>
            <w:tcW w:w="187"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1243" w:type="dxa"/>
            <w:tcBorders/>
            <w:shd w:fill="CCEEFF" w:val="clear"/>
            <w:vAlign w:val="bottom"/>
          </w:tcPr>
          <w:p>
            <w:pPr>
              <w:pStyle w:val="TableContents"/>
              <w:spacing w:before="0" w:after="283"/>
              <w:jc w:val="right"/>
              <w:rPr/>
            </w:pPr>
            <w:r>
              <w:rPr/>
              <w:t xml:space="preserve">4.2 </w:t>
            </w:r>
          </w:p>
        </w:tc>
        <w:tc>
          <w:tcPr>
            <w:tcW w:w="153" w:type="dxa"/>
            <w:tcBorders/>
            <w:shd w:fill="CCEEFF" w:val="clear"/>
            <w:vAlign w:val="bottom"/>
          </w:tcPr>
          <w:p>
            <w:pPr>
              <w:pStyle w:val="TableContents"/>
              <w:spacing w:before="0" w:after="283"/>
              <w:jc w:val="left"/>
              <w:rPr/>
            </w:pPr>
            <w:r>
              <w:rPr/>
              <w:t xml:space="preserve">  </w:t>
            </w:r>
          </w:p>
        </w:tc>
        <w:tc>
          <w:tcPr>
            <w:tcW w:w="18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878" w:type="dxa"/>
            <w:tcBorders/>
            <w:shd w:fill="CCEEFF" w:val="clear"/>
            <w:vAlign w:val="bottom"/>
          </w:tcPr>
          <w:p>
            <w:pPr>
              <w:pStyle w:val="TableContents"/>
              <w:spacing w:before="0" w:after="283"/>
              <w:jc w:val="right"/>
              <w:rPr/>
            </w:pPr>
            <w:r>
              <w:rPr/>
              <w:t xml:space="preserve">8.3 </w:t>
            </w:r>
          </w:p>
        </w:tc>
        <w:tc>
          <w:tcPr>
            <w:tcW w:w="153" w:type="dxa"/>
            <w:tcBorders/>
            <w:shd w:fill="CCEEFF" w:val="clear"/>
            <w:vAlign w:val="bottom"/>
          </w:tcPr>
          <w:p>
            <w:pPr>
              <w:pStyle w:val="TableContents"/>
              <w:spacing w:before="0" w:after="283"/>
              <w:jc w:val="left"/>
              <w:rPr/>
            </w:pPr>
            <w:r>
              <w:rPr/>
              <w:t xml:space="preserve">  </w:t>
            </w:r>
          </w:p>
        </w:tc>
        <w:tc>
          <w:tcPr>
            <w:tcW w:w="186"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434" w:type="dxa"/>
            <w:tcBorders/>
            <w:shd w:fill="CCEEFF" w:val="clear"/>
            <w:vAlign w:val="bottom"/>
          </w:tcPr>
          <w:p>
            <w:pPr>
              <w:pStyle w:val="TableContents"/>
              <w:spacing w:before="0" w:after="283"/>
              <w:jc w:val="right"/>
              <w:rPr/>
            </w:pPr>
            <w:r>
              <w:rPr/>
              <w:t xml:space="preserve">3.0 </w:t>
            </w:r>
          </w:p>
        </w:tc>
        <w:tc>
          <w:tcPr>
            <w:tcW w:w="153" w:type="dxa"/>
            <w:tcBorders/>
            <w:shd w:fill="CCEEFF" w:val="clear"/>
            <w:vAlign w:val="bottom"/>
          </w:tcPr>
          <w:p>
            <w:pPr>
              <w:pStyle w:val="TableContents"/>
              <w:spacing w:before="0" w:after="283"/>
              <w:jc w:val="left"/>
              <w:rPr/>
            </w:pPr>
            <w:r>
              <w:rPr/>
              <w:t xml:space="preserve">  </w:t>
            </w:r>
          </w:p>
        </w:tc>
        <w:tc>
          <w:tcPr>
            <w:tcW w:w="98" w:type="dxa"/>
            <w:tcBorders>
              <w:right w:val="single" w:sz="2" w:space="0" w:color="000000"/>
            </w:tcBorders>
            <w:shd w:fill="CCEEFF" w:val="clear"/>
            <w:tcMar>
              <w:right w:w="40" w:type="dxa"/>
            </w:tcM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pPr>
            <w:r>
              <w:rPr/>
              <w:t xml:space="preserve">  </w:t>
            </w:r>
          </w:p>
        </w:tc>
        <w:tc>
          <w:tcPr>
            <w:tcW w:w="226" w:type="dxa"/>
            <w:tcBorders/>
            <w:shd w:fill="CCEEFF" w:val="clear"/>
            <w:vAlign w:val="bottom"/>
          </w:tcPr>
          <w:p>
            <w:pPr>
              <w:pStyle w:val="TableContents"/>
              <w:spacing w:before="0" w:after="283"/>
              <w:jc w:val="left"/>
              <w:rPr/>
            </w:pPr>
            <w:r>
              <w:rPr/>
              <w:t xml:space="preserve">$ </w:t>
            </w:r>
          </w:p>
        </w:tc>
        <w:tc>
          <w:tcPr>
            <w:tcW w:w="785" w:type="dxa"/>
            <w:tcBorders/>
            <w:shd w:fill="CCEEFF" w:val="clear"/>
            <w:vAlign w:val="bottom"/>
          </w:tcPr>
          <w:p>
            <w:pPr>
              <w:pStyle w:val="TableContents"/>
              <w:spacing w:before="0" w:after="283"/>
              <w:jc w:val="right"/>
              <w:rPr/>
            </w:pPr>
            <w:r>
              <w:rPr/>
              <w:t xml:space="preserve">158.4 </w:t>
            </w:r>
          </w:p>
        </w:tc>
        <w:tc>
          <w:tcPr>
            <w:tcW w:w="166" w:type="dxa"/>
            <w:tcBorders/>
            <w:shd w:fill="CCEEFF" w:val="clear"/>
            <w:vAlign w:val="bottom"/>
          </w:tcPr>
          <w:p>
            <w:pPr>
              <w:pStyle w:val="TableContents"/>
              <w:spacing w:before="0" w:after="283"/>
              <w:jc w:val="left"/>
              <w:rPr/>
            </w:pPr>
            <w:r>
              <w:rPr/>
              <w:t xml:space="preserve">  </w:t>
            </w:r>
          </w:p>
        </w:tc>
      </w:tr>
      <w:tr>
        <w:trPr/>
        <w:tc>
          <w:tcPr>
            <w:tcW w:w="2801" w:type="dxa"/>
            <w:tcBorders/>
            <w:shd w:fill="FFFFFF" w:val="clear"/>
            <w:vAlign w:val="bottom"/>
          </w:tcPr>
          <w:p>
            <w:pPr>
              <w:pStyle w:val="TableContents"/>
              <w:spacing w:before="0" w:after="0"/>
              <w:ind w:left="200" w:right="0" w:hanging="200"/>
              <w:jc w:val="left"/>
              <w:rPr/>
            </w:pPr>
            <w:r>
              <w:rPr/>
              <w:t xml:space="preserve">  </w:t>
            </w:r>
          </w:p>
        </w:tc>
        <w:tc>
          <w:tcPr>
            <w:tcW w:w="143" w:type="dxa"/>
            <w:tcBorders/>
            <w:shd w:fill="FFFFFF" w:val="clear"/>
            <w:vAlign w:val="bottom"/>
          </w:tcPr>
          <w:p>
            <w:pPr>
              <w:pStyle w:val="TableContents"/>
              <w:spacing w:before="0" w:after="283"/>
              <w:rPr/>
            </w:pPr>
            <w:r>
              <w:rPr/>
              <w:t xml:space="preserve">  </w:t>
            </w:r>
          </w:p>
        </w:tc>
        <w:tc>
          <w:tcPr>
            <w:tcW w:w="257" w:type="dxa"/>
            <w:tcBorders/>
            <w:shd w:fill="FFFFFF" w:val="clear"/>
            <w:vAlign w:val="bottom"/>
          </w:tcPr>
          <w:p>
            <w:pPr>
              <w:pStyle w:val="TableContents"/>
              <w:spacing w:before="0" w:after="283"/>
              <w:jc w:val="left"/>
              <w:rPr/>
            </w:pPr>
            <w:r>
              <w:rPr/>
              <w:t xml:space="preserve">  </w:t>
            </w:r>
          </w:p>
        </w:tc>
        <w:tc>
          <w:tcPr>
            <w:tcW w:w="885"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87" w:type="dxa"/>
            <w:tcBorders/>
            <w:shd w:fill="FFFFFF" w:val="clear"/>
            <w:vAlign w:val="bottom"/>
          </w:tcPr>
          <w:p>
            <w:pPr>
              <w:pStyle w:val="TableContents"/>
              <w:spacing w:before="0" w:after="283"/>
              <w:rPr/>
            </w:pPr>
            <w:r>
              <w:rPr/>
              <w:t xml:space="preserve">  </w:t>
            </w:r>
          </w:p>
        </w:tc>
        <w:tc>
          <w:tcPr>
            <w:tcW w:w="487" w:type="dxa"/>
            <w:tcBorders/>
            <w:shd w:fill="FFFFFF" w:val="clear"/>
            <w:vAlign w:val="bottom"/>
          </w:tcPr>
          <w:p>
            <w:pPr>
              <w:pStyle w:val="TableContents"/>
              <w:spacing w:before="0" w:after="283"/>
              <w:jc w:val="left"/>
              <w:rPr/>
            </w:pPr>
            <w:r>
              <w:rPr/>
              <w:t xml:space="preserve">  </w:t>
            </w:r>
          </w:p>
        </w:tc>
        <w:tc>
          <w:tcPr>
            <w:tcW w:w="1243"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8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878"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186"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434" w:type="dxa"/>
            <w:tcBorders/>
            <w:shd w:fill="FFFFFF" w:val="cle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jc w:val="left"/>
              <w:rPr/>
            </w:pPr>
            <w:r>
              <w:rPr/>
              <w:t xml:space="preserve">  </w:t>
            </w:r>
          </w:p>
        </w:tc>
        <w:tc>
          <w:tcPr>
            <w:tcW w:w="98" w:type="dxa"/>
            <w:tcBorders>
              <w:right w:val="single" w:sz="2" w:space="0" w:color="000000"/>
            </w:tcBorders>
            <w:shd w:fill="FFFFFF" w:val="clear"/>
            <w:tcMar>
              <w:right w:w="40" w:type="dxa"/>
            </w:tcM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jc w:val="left"/>
              <w:rPr/>
            </w:pPr>
            <w:r>
              <w:rPr/>
              <w:t xml:space="preserve">  </w:t>
            </w:r>
          </w:p>
        </w:tc>
        <w:tc>
          <w:tcPr>
            <w:tcW w:w="785"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The subordinated units converted to common units in 2004.</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January 16, 2007, we declared a cash distribution of $0.8000 per unit on our outstanding common units. The distribution was paid on February 14, 2007 to unitholders of record on February 2, 2007, for the period October 1, 2006 through December 31, 2006. The total distribution paid was approximately $104.6 million, with approximately $87.5 million paid to our common unitholders and $1.8 million and $15.3 million paid to our general partner for its general partner and incentive distribution interests, respectively.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Equity Offerings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three years ended December 31, 2006, we completed the following equity offerings of our common units.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290"/>
        <w:gridCol w:w="75"/>
        <w:gridCol w:w="126"/>
        <w:gridCol w:w="1081"/>
        <w:gridCol w:w="126"/>
        <w:gridCol w:w="84"/>
        <w:gridCol w:w="274"/>
        <w:gridCol w:w="880"/>
        <w:gridCol w:w="126"/>
        <w:gridCol w:w="84"/>
        <w:gridCol w:w="261"/>
        <w:gridCol w:w="835"/>
        <w:gridCol w:w="126"/>
        <w:gridCol w:w="84"/>
        <w:gridCol w:w="487"/>
        <w:gridCol w:w="979"/>
        <w:gridCol w:w="126"/>
        <w:gridCol w:w="84"/>
        <w:gridCol w:w="204"/>
        <w:gridCol w:w="464"/>
        <w:gridCol w:w="160"/>
        <w:gridCol w:w="84"/>
        <w:gridCol w:w="246"/>
        <w:gridCol w:w="782"/>
        <w:gridCol w:w="137"/>
      </w:tblGrid>
      <w:tr>
        <w:trPr/>
        <w:tc>
          <w:tcPr>
            <w:tcW w:w="2290"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right"/>
              <w:rPr/>
            </w:pPr>
            <w:r>
              <w:rPr/>
              <w:t> </w:t>
            </w:r>
          </w:p>
        </w:tc>
        <w:tc>
          <w:tcPr>
            <w:tcW w:w="108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jc w:val="right"/>
              <w:rPr/>
            </w:pPr>
            <w:r>
              <w:rPr/>
              <w:t> </w:t>
            </w:r>
          </w:p>
        </w:tc>
        <w:tc>
          <w:tcPr>
            <w:tcW w:w="88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261" w:type="dxa"/>
            <w:tcBorders/>
            <w:shd w:fill="FFFFFF" w:val="clear"/>
            <w:vAlign w:val="bottom"/>
          </w:tcPr>
          <w:p>
            <w:pPr>
              <w:pStyle w:val="TableContents"/>
              <w:spacing w:before="0" w:after="283"/>
              <w:jc w:val="right"/>
              <w:rPr/>
            </w:pPr>
            <w:r>
              <w:rPr/>
              <w:t> </w:t>
            </w:r>
          </w:p>
        </w:tc>
        <w:tc>
          <w:tcPr>
            <w:tcW w:w="83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487" w:type="dxa"/>
            <w:tcBorders/>
            <w:shd w:fill="FFFFFF" w:val="clear"/>
            <w:vAlign w:val="bottom"/>
          </w:tcPr>
          <w:p>
            <w:pPr>
              <w:pStyle w:val="TableContents"/>
              <w:spacing w:before="0" w:after="283"/>
              <w:jc w:val="right"/>
              <w:rPr/>
            </w:pPr>
            <w:r>
              <w:rPr/>
              <w:t> </w:t>
            </w:r>
          </w:p>
        </w:tc>
        <w:tc>
          <w:tcPr>
            <w:tcW w:w="9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right"/>
              <w:rPr/>
            </w:pPr>
            <w:r>
              <w:rPr/>
              <w:t> </w:t>
            </w:r>
          </w:p>
        </w:tc>
        <w:tc>
          <w:tcPr>
            <w:tcW w:w="464"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84" w:type="dxa"/>
            <w:tcBorders/>
            <w:shd w:fill="FFFFFF" w:val="clear"/>
            <w:vAlign w:val="bottom"/>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782" w:type="dxa"/>
            <w:tcBorders/>
            <w:shd w:fill="FFFFFF" w:val="clear"/>
            <w:vAlign w:val="bottom"/>
          </w:tcPr>
          <w:p>
            <w:pPr>
              <w:pStyle w:val="TableContents"/>
              <w:spacing w:before="0" w:after="283"/>
              <w:jc w:val="right"/>
              <w:rPr/>
            </w:pPr>
            <w:r>
              <w:rPr/>
              <w:t> </w:t>
            </w:r>
          </w:p>
        </w:tc>
        <w:tc>
          <w:tcPr>
            <w:tcW w:w="137" w:type="dxa"/>
            <w:tcBorders/>
            <w:shd w:fill="FFFFFF" w:val="clear"/>
            <w:vAlign w:val="bottom"/>
          </w:tcPr>
          <w:p>
            <w:pPr>
              <w:pStyle w:val="TableContents"/>
              <w:spacing w:before="0" w:after="283"/>
              <w:jc w:val="left"/>
              <w:rPr/>
            </w:pPr>
            <w:r>
              <w:rPr/>
              <w:t> </w:t>
            </w:r>
          </w:p>
        </w:tc>
      </w:tr>
      <w:tr>
        <w:trPr/>
        <w:tc>
          <w:tcPr>
            <w:tcW w:w="2290"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1207" w:type="dxa"/>
            <w:gridSpan w:val="2"/>
            <w:tcBorders/>
            <w:shd w:fill="FFFFFF" w:val="clear"/>
            <w:vAlign w:val="bottom"/>
          </w:tcPr>
          <w:p>
            <w:pPr>
              <w:pStyle w:val="TableContents"/>
              <w:spacing w:before="0" w:after="283"/>
              <w:jc w:val="center"/>
              <w:rPr/>
            </w:pP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154" w:type="dxa"/>
            <w:gridSpan w:val="2"/>
            <w:tcBorders/>
            <w:shd w:fill="FFFFFF" w:val="clear"/>
            <w:vAlign w:val="bottom"/>
          </w:tcPr>
          <w:p>
            <w:pPr>
              <w:pStyle w:val="TableContents"/>
              <w:spacing w:before="0" w:after="283"/>
              <w:jc w:val="center"/>
              <w:rPr>
                <w:b/>
              </w:rPr>
            </w:pPr>
            <w:r>
              <w:rPr>
                <w:b/>
              </w:rPr>
              <w:t>Gross</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096" w:type="dxa"/>
            <w:gridSpan w:val="2"/>
            <w:tcBorders/>
            <w:shd w:fill="FFFFFF" w:val="clear"/>
            <w:vAlign w:val="bottom"/>
          </w:tcPr>
          <w:p>
            <w:pPr>
              <w:pStyle w:val="TableContents"/>
              <w:spacing w:before="0" w:after="283"/>
              <w:jc w:val="center"/>
              <w:rPr>
                <w:b/>
              </w:rPr>
            </w:pPr>
            <w:r>
              <w:rPr>
                <w:b/>
              </w:rPr>
              <w:t>Proceeds</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466" w:type="dxa"/>
            <w:gridSpan w:val="2"/>
            <w:tcBorders/>
            <w:shd w:fill="FFFFFF" w:val="clear"/>
            <w:vAlign w:val="bottom"/>
          </w:tcPr>
          <w:p>
            <w:pPr>
              <w:pStyle w:val="TableContents"/>
              <w:spacing w:before="0" w:after="283"/>
              <w:jc w:val="center"/>
              <w:rPr>
                <w:b/>
              </w:rPr>
            </w:pPr>
            <w:r>
              <w:rPr>
                <w:b/>
              </w:rPr>
              <w:t>GP</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668" w:type="dxa"/>
            <w:gridSpan w:val="2"/>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028" w:type="dxa"/>
            <w:gridSpan w:val="2"/>
            <w:tcBorders/>
            <w:shd w:fill="FFFFFF" w:val="clear"/>
            <w:vAlign w:val="bottom"/>
          </w:tcPr>
          <w:p>
            <w:pPr>
              <w:pStyle w:val="TableContents"/>
              <w:spacing w:before="0" w:after="283"/>
              <w:jc w:val="center"/>
              <w:rPr>
                <w:b/>
              </w:rPr>
            </w:pPr>
            <w:r>
              <w:rPr>
                <w:b/>
              </w:rPr>
              <w:t>Net</w:t>
            </w:r>
          </w:p>
        </w:tc>
        <w:tc>
          <w:tcPr>
            <w:tcW w:w="137" w:type="dxa"/>
            <w:tcBorders/>
            <w:shd w:fill="FFFFFF" w:val="clear"/>
            <w:vAlign w:val="bottom"/>
          </w:tcPr>
          <w:p>
            <w:pPr>
              <w:pStyle w:val="TableContents"/>
              <w:spacing w:before="0" w:after="283"/>
              <w:jc w:val="center"/>
              <w:rPr/>
            </w:pPr>
            <w:r>
              <w:rPr/>
              <w:t xml:space="preserve">  </w:t>
            </w:r>
          </w:p>
        </w:tc>
      </w:tr>
      <w:tr>
        <w:trPr/>
        <w:tc>
          <w:tcPr>
            <w:tcW w:w="2290" w:type="dxa"/>
            <w:tcBorders/>
            <w:shd w:fill="FFFFFF" w:val="clear"/>
            <w:vAlign w:val="bottom"/>
          </w:tcPr>
          <w:p>
            <w:pPr>
              <w:pStyle w:val="TableContents"/>
              <w:spacing w:before="0" w:after="0"/>
              <w:jc w:val="left"/>
              <w:rPr>
                <w:bdr w:val="single" w:sz="2" w:space="1" w:color="000000"/>
              </w:rPr>
            </w:pPr>
            <w:r>
              <w:rPr>
                <w:b/>
                <w:bdr w:val="single" w:sz="2" w:space="1" w:color="000000"/>
              </w:rPr>
              <w:t>Period</w:t>
            </w:r>
            <w:r>
              <w:rPr>
                <w:bdr w:val="single" w:sz="2" w:space="1" w:color="000000"/>
              </w:rPr>
              <w:t xml:space="preserve"> </w:t>
            </w:r>
          </w:p>
        </w:tc>
        <w:tc>
          <w:tcPr>
            <w:tcW w:w="75" w:type="dxa"/>
            <w:tcBorders/>
            <w:shd w:fill="FFFFFF" w:val="clear"/>
            <w:vAlign w:val="bottom"/>
          </w:tcPr>
          <w:p>
            <w:pPr>
              <w:pStyle w:val="TableContents"/>
              <w:spacing w:before="0" w:after="283"/>
              <w:jc w:val="center"/>
              <w:rPr/>
            </w:pPr>
            <w:r>
              <w:rPr/>
              <w:t xml:space="preserve">  </w:t>
            </w:r>
          </w:p>
        </w:tc>
        <w:tc>
          <w:tcPr>
            <w:tcW w:w="12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1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 Price</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0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from Sale</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46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Contribution</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66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Costs</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02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Proceeds</w:t>
            </w:r>
            <w:r>
              <w:rPr/>
              <w:t xml:space="preserve"> </w:t>
            </w:r>
          </w:p>
        </w:tc>
        <w:tc>
          <w:tcPr>
            <w:tcW w:w="137" w:type="dxa"/>
            <w:tcBorders/>
            <w:shd w:fill="FFFFFF" w:val="clear"/>
            <w:vAlign w:val="bottom"/>
          </w:tcPr>
          <w:p>
            <w:pPr>
              <w:pStyle w:val="TableContents"/>
              <w:spacing w:before="0" w:after="283"/>
              <w:jc w:val="center"/>
              <w:rPr/>
            </w:pPr>
            <w:r>
              <w:rPr/>
              <w:t xml:space="preserve">  </w:t>
            </w:r>
          </w:p>
        </w:tc>
      </w:tr>
      <w:tr>
        <w:trPr/>
        <w:tc>
          <w:tcPr>
            <w:tcW w:w="2290"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7703" w:type="dxa"/>
            <w:gridSpan w:val="22"/>
            <w:tcBorders/>
            <w:shd w:fill="FFFFFF" w:val="clear"/>
            <w:vAlign w:val="bottom"/>
          </w:tcPr>
          <w:p>
            <w:pPr>
              <w:pStyle w:val="TableContents"/>
              <w:spacing w:before="0" w:after="283"/>
              <w:jc w:val="center"/>
              <w:rPr/>
            </w:pPr>
            <w:r>
              <w:rPr>
                <w:b/>
              </w:rPr>
              <w:t>(In millions, except per unit amounts)</w:t>
            </w:r>
            <w:r>
              <w:rPr/>
              <w:t xml:space="preserve"> </w:t>
            </w:r>
          </w:p>
        </w:tc>
        <w:tc>
          <w:tcPr>
            <w:tcW w:w="137" w:type="dxa"/>
            <w:tcBorders/>
            <w:shd w:fill="FFFFFF" w:val="clear"/>
            <w:vAlign w:val="bottom"/>
          </w:tcPr>
          <w:p>
            <w:pPr>
              <w:pStyle w:val="TableContents"/>
              <w:spacing w:before="0" w:after="283"/>
              <w:jc w:val="center"/>
              <w:rPr/>
            </w:pPr>
            <w:r>
              <w:rPr/>
              <w:t xml:space="preserve">  </w:t>
            </w:r>
          </w:p>
        </w:tc>
      </w:tr>
      <w:tr>
        <w:trPr/>
        <w:tc>
          <w:tcPr>
            <w:tcW w:w="2290" w:type="dxa"/>
            <w:tcBorders/>
            <w:shd w:fill="FFFFFF" w:val="clear"/>
            <w:vAlign w:val="center"/>
          </w:tcPr>
          <w:p>
            <w:pPr>
              <w:pStyle w:val="TableContents"/>
              <w:spacing w:before="0" w:after="283"/>
              <w:rPr/>
            </w:pPr>
            <w:r>
              <w:rPr/>
              <w:t xml:space="preserve">  </w:t>
            </w:r>
          </w:p>
        </w:tc>
        <w:tc>
          <w:tcPr>
            <w:tcW w:w="7915" w:type="dxa"/>
            <w:gridSpan w:val="24"/>
            <w:tcBorders/>
            <w:shd w:fill="FFFFFF" w:val="clear"/>
          </w:tcPr>
          <w:p>
            <w:pPr>
              <w:pStyle w:val="TableContents"/>
              <w:spacing w:before="0" w:after="283"/>
              <w:rPr>
                <w:sz w:val="4"/>
                <w:szCs w:val="4"/>
              </w:rPr>
            </w:pPr>
            <w:r>
              <w:rPr>
                <w:sz w:val="4"/>
                <w:szCs w:val="4"/>
              </w:rPr>
            </w:r>
          </w:p>
        </w:tc>
      </w:tr>
      <w:tr>
        <w:trPr/>
        <w:tc>
          <w:tcPr>
            <w:tcW w:w="2290" w:type="dxa"/>
            <w:tcBorders/>
            <w:shd w:fill="CCEEFF" w:val="clear"/>
            <w:vAlign w:val="bottom"/>
          </w:tcPr>
          <w:p>
            <w:pPr>
              <w:pStyle w:val="TableContents"/>
              <w:spacing w:before="0" w:after="0"/>
              <w:ind w:left="200" w:right="0" w:hanging="200"/>
              <w:jc w:val="left"/>
              <w:rPr>
                <w:sz w:val="17"/>
              </w:rPr>
            </w:pPr>
            <w:r>
              <w:rPr>
                <w:sz w:val="17"/>
              </w:rPr>
              <w:t xml:space="preserve">December 2006(1) </w:t>
            </w:r>
          </w:p>
        </w:tc>
        <w:tc>
          <w:tcPr>
            <w:tcW w:w="7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6,163,960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74" w:type="dxa"/>
            <w:tcBorders/>
            <w:shd w:fill="CCEEFF" w:val="clear"/>
            <w:vAlign w:val="bottom"/>
          </w:tcPr>
          <w:p>
            <w:pPr>
              <w:pStyle w:val="TableContents"/>
              <w:spacing w:before="0" w:after="283"/>
              <w:jc w:val="left"/>
              <w:rPr/>
            </w:pPr>
            <w:r>
              <w:rPr/>
              <w:t xml:space="preserve">$ </w:t>
            </w:r>
          </w:p>
        </w:tc>
        <w:tc>
          <w:tcPr>
            <w:tcW w:w="880" w:type="dxa"/>
            <w:tcBorders/>
            <w:shd w:fill="CCEEFF" w:val="clear"/>
            <w:vAlign w:val="bottom"/>
          </w:tcPr>
          <w:p>
            <w:pPr>
              <w:pStyle w:val="TableContents"/>
              <w:spacing w:before="0" w:after="283"/>
              <w:jc w:val="right"/>
              <w:rPr/>
            </w:pPr>
            <w:r>
              <w:rPr/>
              <w:t xml:space="preserve">48.67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6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300.0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979" w:type="dxa"/>
            <w:tcBorders/>
            <w:shd w:fill="CCEEFF" w:val="clear"/>
            <w:vAlign w:val="bottom"/>
          </w:tcPr>
          <w:p>
            <w:pPr>
              <w:pStyle w:val="TableContents"/>
              <w:spacing w:before="0" w:after="283"/>
              <w:jc w:val="right"/>
              <w:rPr/>
            </w:pPr>
            <w:r>
              <w:rPr/>
              <w:t xml:space="preserve">6.1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464" w:type="dxa"/>
            <w:tcBorders/>
            <w:shd w:fill="CCEEFF" w:val="clear"/>
            <w:vAlign w:val="bottom"/>
          </w:tcPr>
          <w:p>
            <w:pPr>
              <w:pStyle w:val="TableContents"/>
              <w:spacing w:before="0" w:after="283"/>
              <w:jc w:val="right"/>
              <w:rPr/>
            </w:pPr>
            <w:r>
              <w:rPr/>
              <w:t xml:space="preserve">(0.5 </w:t>
            </w:r>
          </w:p>
        </w:tc>
        <w:tc>
          <w:tcPr>
            <w:tcW w:w="160"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305.6 </w:t>
            </w:r>
          </w:p>
        </w:tc>
        <w:tc>
          <w:tcPr>
            <w:tcW w:w="137" w:type="dxa"/>
            <w:tcBorders/>
            <w:shd w:fill="CCEEFF" w:val="clear"/>
            <w:vAlign w:val="bottom"/>
          </w:tcPr>
          <w:p>
            <w:pPr>
              <w:pStyle w:val="TableContents"/>
              <w:spacing w:before="0" w:after="283"/>
              <w:jc w:val="left"/>
              <w:rPr/>
            </w:pPr>
            <w:r>
              <w:rPr/>
              <w:t xml:space="preserve">  </w:t>
            </w:r>
          </w:p>
        </w:tc>
      </w:tr>
      <w:tr>
        <w:trPr/>
        <w:tc>
          <w:tcPr>
            <w:tcW w:w="2290" w:type="dxa"/>
            <w:tcBorders/>
            <w:shd w:fill="FFFFFF" w:val="clear"/>
            <w:vAlign w:val="bottom"/>
          </w:tcPr>
          <w:p>
            <w:pPr>
              <w:pStyle w:val="TableContents"/>
              <w:spacing w:before="0" w:after="0"/>
              <w:ind w:left="200" w:right="0" w:hanging="200"/>
              <w:jc w:val="left"/>
              <w:rPr>
                <w:sz w:val="17"/>
              </w:rPr>
            </w:pPr>
            <w:r>
              <w:rPr>
                <w:sz w:val="17"/>
              </w:rPr>
              <w:t xml:space="preserve">July/August 2006(1) </w:t>
            </w:r>
          </w:p>
        </w:tc>
        <w:tc>
          <w:tcPr>
            <w:tcW w:w="75"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jc w:val="left"/>
              <w:rPr/>
            </w:pPr>
            <w:r>
              <w:rPr/>
              <w:t xml:space="preserve">  </w:t>
            </w:r>
          </w:p>
        </w:tc>
        <w:tc>
          <w:tcPr>
            <w:tcW w:w="1081" w:type="dxa"/>
            <w:tcBorders/>
            <w:shd w:fill="FFFFFF" w:val="clear"/>
            <w:vAlign w:val="bottom"/>
          </w:tcPr>
          <w:p>
            <w:pPr>
              <w:pStyle w:val="TableContents"/>
              <w:spacing w:before="0" w:after="283"/>
              <w:jc w:val="right"/>
              <w:rPr/>
            </w:pPr>
            <w:r>
              <w:rPr/>
              <w:t xml:space="preserve">3,720,930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74" w:type="dxa"/>
            <w:tcBorders/>
            <w:shd w:fill="FFFFFF" w:val="clear"/>
            <w:vAlign w:val="bottom"/>
          </w:tcPr>
          <w:p>
            <w:pPr>
              <w:pStyle w:val="TableContents"/>
              <w:spacing w:before="0" w:after="283"/>
              <w:jc w:val="left"/>
              <w:rPr/>
            </w:pPr>
            <w:r>
              <w:rPr/>
              <w:t xml:space="preserve">$ </w:t>
            </w:r>
          </w:p>
        </w:tc>
        <w:tc>
          <w:tcPr>
            <w:tcW w:w="880" w:type="dxa"/>
            <w:tcBorders/>
            <w:shd w:fill="FFFFFF" w:val="clear"/>
            <w:vAlign w:val="bottom"/>
          </w:tcPr>
          <w:p>
            <w:pPr>
              <w:pStyle w:val="TableContents"/>
              <w:spacing w:before="0" w:after="283"/>
              <w:jc w:val="right"/>
              <w:rPr/>
            </w:pPr>
            <w:r>
              <w:rPr/>
              <w:t xml:space="preserve">43.00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6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160.0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487" w:type="dxa"/>
            <w:tcBorders/>
            <w:shd w:fill="FFFFFF" w:val="clear"/>
            <w:vAlign w:val="bottom"/>
          </w:tcPr>
          <w:p>
            <w:pPr>
              <w:pStyle w:val="TableContents"/>
              <w:spacing w:before="0" w:after="283"/>
              <w:jc w:val="left"/>
              <w:rPr/>
            </w:pPr>
            <w:r>
              <w:rPr/>
              <w:t xml:space="preserve">$ </w:t>
            </w:r>
          </w:p>
        </w:tc>
        <w:tc>
          <w:tcPr>
            <w:tcW w:w="979" w:type="dxa"/>
            <w:tcBorders/>
            <w:shd w:fill="FFFFFF" w:val="clear"/>
            <w:vAlign w:val="bottom"/>
          </w:tcPr>
          <w:p>
            <w:pPr>
              <w:pStyle w:val="TableContents"/>
              <w:spacing w:before="0" w:after="283"/>
              <w:jc w:val="right"/>
              <w:rPr/>
            </w:pPr>
            <w:r>
              <w:rPr/>
              <w:t xml:space="preserve">3.3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464" w:type="dxa"/>
            <w:tcBorders/>
            <w:shd w:fill="FFFFFF" w:val="clear"/>
            <w:vAlign w:val="bottom"/>
          </w:tcPr>
          <w:p>
            <w:pPr>
              <w:pStyle w:val="TableContents"/>
              <w:spacing w:before="0" w:after="283"/>
              <w:jc w:val="right"/>
              <w:rPr/>
            </w:pPr>
            <w:r>
              <w:rPr/>
              <w:t xml:space="preserve">(0.1 </w:t>
            </w:r>
          </w:p>
        </w:tc>
        <w:tc>
          <w:tcPr>
            <w:tcW w:w="160"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163.2 </w:t>
            </w:r>
          </w:p>
        </w:tc>
        <w:tc>
          <w:tcPr>
            <w:tcW w:w="137" w:type="dxa"/>
            <w:tcBorders/>
            <w:shd w:fill="FFFFFF" w:val="clear"/>
            <w:vAlign w:val="bottom"/>
          </w:tcPr>
          <w:p>
            <w:pPr>
              <w:pStyle w:val="TableContents"/>
              <w:spacing w:before="0" w:after="283"/>
              <w:jc w:val="left"/>
              <w:rPr/>
            </w:pPr>
            <w:r>
              <w:rPr/>
              <w:t xml:space="preserve">  </w:t>
            </w:r>
          </w:p>
        </w:tc>
      </w:tr>
      <w:tr>
        <w:trPr/>
        <w:tc>
          <w:tcPr>
            <w:tcW w:w="2290" w:type="dxa"/>
            <w:tcBorders/>
            <w:shd w:fill="CCEEFF" w:val="clear"/>
            <w:vAlign w:val="bottom"/>
          </w:tcPr>
          <w:p>
            <w:pPr>
              <w:pStyle w:val="TableContents"/>
              <w:spacing w:before="0" w:after="0"/>
              <w:ind w:left="200" w:right="0" w:hanging="200"/>
              <w:jc w:val="left"/>
              <w:rPr>
                <w:sz w:val="17"/>
              </w:rPr>
            </w:pPr>
            <w:r>
              <w:rPr>
                <w:sz w:val="17"/>
              </w:rPr>
              <w:t xml:space="preserve">March/April 2006(1) </w:t>
            </w:r>
          </w:p>
        </w:tc>
        <w:tc>
          <w:tcPr>
            <w:tcW w:w="7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3,504,672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74" w:type="dxa"/>
            <w:tcBorders/>
            <w:shd w:fill="CCEEFF" w:val="clear"/>
            <w:vAlign w:val="bottom"/>
          </w:tcPr>
          <w:p>
            <w:pPr>
              <w:pStyle w:val="TableContents"/>
              <w:spacing w:before="0" w:after="283"/>
              <w:jc w:val="left"/>
              <w:rPr/>
            </w:pPr>
            <w:r>
              <w:rPr/>
              <w:t xml:space="preserve">$ </w:t>
            </w:r>
          </w:p>
        </w:tc>
        <w:tc>
          <w:tcPr>
            <w:tcW w:w="880" w:type="dxa"/>
            <w:tcBorders/>
            <w:shd w:fill="CCEEFF" w:val="clear"/>
            <w:vAlign w:val="bottom"/>
          </w:tcPr>
          <w:p>
            <w:pPr>
              <w:pStyle w:val="TableContents"/>
              <w:spacing w:before="0" w:after="283"/>
              <w:jc w:val="right"/>
              <w:rPr/>
            </w:pPr>
            <w:r>
              <w:rPr/>
              <w:t xml:space="preserve">42.80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6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150.0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979" w:type="dxa"/>
            <w:tcBorders/>
            <w:shd w:fill="CCEEFF" w:val="clear"/>
            <w:vAlign w:val="bottom"/>
          </w:tcPr>
          <w:p>
            <w:pPr>
              <w:pStyle w:val="TableContents"/>
              <w:spacing w:before="0" w:after="283"/>
              <w:jc w:val="right"/>
              <w:rPr/>
            </w:pPr>
            <w:r>
              <w:rPr/>
              <w:t xml:space="preserve">3.0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464" w:type="dxa"/>
            <w:tcBorders/>
            <w:shd w:fill="CCEEFF" w:val="clear"/>
            <w:vAlign w:val="bottom"/>
          </w:tcPr>
          <w:p>
            <w:pPr>
              <w:pStyle w:val="TableContents"/>
              <w:spacing w:before="0" w:after="283"/>
              <w:jc w:val="right"/>
              <w:rPr/>
            </w:pPr>
            <w:r>
              <w:rPr/>
              <w:t xml:space="preserve">(0.6 </w:t>
            </w:r>
          </w:p>
        </w:tc>
        <w:tc>
          <w:tcPr>
            <w:tcW w:w="160"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152.4 </w:t>
            </w:r>
          </w:p>
        </w:tc>
        <w:tc>
          <w:tcPr>
            <w:tcW w:w="137" w:type="dxa"/>
            <w:tcBorders/>
            <w:shd w:fill="CCEEFF" w:val="clear"/>
            <w:vAlign w:val="bottom"/>
          </w:tcPr>
          <w:p>
            <w:pPr>
              <w:pStyle w:val="TableContents"/>
              <w:spacing w:before="0" w:after="283"/>
              <w:jc w:val="left"/>
              <w:rPr/>
            </w:pPr>
            <w:r>
              <w:rPr/>
              <w:t xml:space="preserve">  </w:t>
            </w:r>
          </w:p>
        </w:tc>
      </w:tr>
      <w:tr>
        <w:trPr/>
        <w:tc>
          <w:tcPr>
            <w:tcW w:w="2290" w:type="dxa"/>
            <w:tcBorders/>
            <w:shd w:fill="FFFFFF" w:val="clear"/>
            <w:vAlign w:val="bottom"/>
          </w:tcPr>
          <w:p>
            <w:pPr>
              <w:pStyle w:val="TableContents"/>
              <w:spacing w:before="0" w:after="0"/>
              <w:ind w:left="200" w:right="0" w:hanging="200"/>
              <w:jc w:val="left"/>
              <w:rPr>
                <w:sz w:val="17"/>
              </w:rPr>
            </w:pPr>
            <w:r>
              <w:rPr>
                <w:sz w:val="17"/>
              </w:rPr>
              <w:t xml:space="preserve">September/October 2005(1) </w:t>
            </w:r>
          </w:p>
        </w:tc>
        <w:tc>
          <w:tcPr>
            <w:tcW w:w="75"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jc w:val="left"/>
              <w:rPr/>
            </w:pPr>
            <w:r>
              <w:rPr/>
              <w:t xml:space="preserve">  </w:t>
            </w:r>
          </w:p>
        </w:tc>
        <w:tc>
          <w:tcPr>
            <w:tcW w:w="1081" w:type="dxa"/>
            <w:tcBorders/>
            <w:shd w:fill="FFFFFF" w:val="clear"/>
            <w:vAlign w:val="bottom"/>
          </w:tcPr>
          <w:p>
            <w:pPr>
              <w:pStyle w:val="TableContents"/>
              <w:spacing w:before="0" w:after="283"/>
              <w:jc w:val="right"/>
              <w:rPr/>
            </w:pPr>
            <w:r>
              <w:rPr/>
              <w:t xml:space="preserve">5,854,000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74" w:type="dxa"/>
            <w:tcBorders/>
            <w:shd w:fill="FFFFFF" w:val="clear"/>
            <w:vAlign w:val="bottom"/>
          </w:tcPr>
          <w:p>
            <w:pPr>
              <w:pStyle w:val="TableContents"/>
              <w:spacing w:before="0" w:after="283"/>
              <w:jc w:val="left"/>
              <w:rPr/>
            </w:pPr>
            <w:r>
              <w:rPr/>
              <w:t xml:space="preserve">$ </w:t>
            </w:r>
          </w:p>
        </w:tc>
        <w:tc>
          <w:tcPr>
            <w:tcW w:w="880" w:type="dxa"/>
            <w:tcBorders/>
            <w:shd w:fill="FFFFFF" w:val="clear"/>
            <w:vAlign w:val="bottom"/>
          </w:tcPr>
          <w:p>
            <w:pPr>
              <w:pStyle w:val="TableContents"/>
              <w:spacing w:before="0" w:after="283"/>
              <w:jc w:val="right"/>
              <w:rPr/>
            </w:pPr>
            <w:r>
              <w:rPr/>
              <w:t xml:space="preserve">42.00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6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246.0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487" w:type="dxa"/>
            <w:tcBorders/>
            <w:shd w:fill="FFFFFF" w:val="clear"/>
            <w:vAlign w:val="bottom"/>
          </w:tcPr>
          <w:p>
            <w:pPr>
              <w:pStyle w:val="TableContents"/>
              <w:spacing w:before="0" w:after="283"/>
              <w:jc w:val="left"/>
              <w:rPr/>
            </w:pPr>
            <w:r>
              <w:rPr/>
              <w:t xml:space="preserve">$ </w:t>
            </w:r>
          </w:p>
        </w:tc>
        <w:tc>
          <w:tcPr>
            <w:tcW w:w="979" w:type="dxa"/>
            <w:tcBorders/>
            <w:shd w:fill="FFFFFF" w:val="clear"/>
            <w:vAlign w:val="bottom"/>
          </w:tcPr>
          <w:p>
            <w:pPr>
              <w:pStyle w:val="TableContents"/>
              <w:spacing w:before="0" w:after="283"/>
              <w:jc w:val="right"/>
              <w:rPr/>
            </w:pPr>
            <w:r>
              <w:rPr/>
              <w:t xml:space="preserve">5.0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464" w:type="dxa"/>
            <w:tcBorders/>
            <w:shd w:fill="FFFFFF" w:val="clear"/>
            <w:vAlign w:val="bottom"/>
          </w:tcPr>
          <w:p>
            <w:pPr>
              <w:pStyle w:val="TableContents"/>
              <w:spacing w:before="0" w:after="283"/>
              <w:jc w:val="right"/>
              <w:rPr/>
            </w:pPr>
            <w:r>
              <w:rPr/>
              <w:t xml:space="preserve">(9.1 </w:t>
            </w:r>
          </w:p>
        </w:tc>
        <w:tc>
          <w:tcPr>
            <w:tcW w:w="160"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241.9 </w:t>
            </w:r>
          </w:p>
        </w:tc>
        <w:tc>
          <w:tcPr>
            <w:tcW w:w="137" w:type="dxa"/>
            <w:tcBorders/>
            <w:shd w:fill="FFFFFF" w:val="clear"/>
            <w:vAlign w:val="bottom"/>
          </w:tcPr>
          <w:p>
            <w:pPr>
              <w:pStyle w:val="TableContents"/>
              <w:spacing w:before="0" w:after="283"/>
              <w:jc w:val="left"/>
              <w:rPr/>
            </w:pPr>
            <w:r>
              <w:rPr/>
              <w:t xml:space="preserve">  </w:t>
            </w:r>
          </w:p>
        </w:tc>
      </w:tr>
      <w:tr>
        <w:trPr/>
        <w:tc>
          <w:tcPr>
            <w:tcW w:w="2290" w:type="dxa"/>
            <w:tcBorders/>
            <w:shd w:fill="CCEEFF" w:val="clear"/>
            <w:vAlign w:val="bottom"/>
          </w:tcPr>
          <w:p>
            <w:pPr>
              <w:pStyle w:val="TableContents"/>
              <w:spacing w:before="0" w:after="0"/>
              <w:ind w:left="200" w:right="0" w:hanging="200"/>
              <w:jc w:val="left"/>
              <w:rPr>
                <w:sz w:val="17"/>
              </w:rPr>
            </w:pPr>
            <w:r>
              <w:rPr>
                <w:sz w:val="17"/>
              </w:rPr>
              <w:t xml:space="preserve">February 2005(1) </w:t>
            </w:r>
          </w:p>
        </w:tc>
        <w:tc>
          <w:tcPr>
            <w:tcW w:w="7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575,000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74" w:type="dxa"/>
            <w:tcBorders/>
            <w:shd w:fill="CCEEFF" w:val="clear"/>
            <w:vAlign w:val="bottom"/>
          </w:tcPr>
          <w:p>
            <w:pPr>
              <w:pStyle w:val="TableContents"/>
              <w:spacing w:before="0" w:after="283"/>
              <w:jc w:val="left"/>
              <w:rPr/>
            </w:pPr>
            <w:r>
              <w:rPr/>
              <w:t xml:space="preserve">$ </w:t>
            </w:r>
          </w:p>
        </w:tc>
        <w:tc>
          <w:tcPr>
            <w:tcW w:w="880" w:type="dxa"/>
            <w:tcBorders/>
            <w:shd w:fill="CCEEFF" w:val="clear"/>
            <w:vAlign w:val="bottom"/>
          </w:tcPr>
          <w:p>
            <w:pPr>
              <w:pStyle w:val="TableContents"/>
              <w:spacing w:before="0" w:after="283"/>
              <w:jc w:val="right"/>
              <w:rPr/>
            </w:pPr>
            <w:r>
              <w:rPr/>
              <w:t xml:space="preserve">38.13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6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21.9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979" w:type="dxa"/>
            <w:tcBorders/>
            <w:shd w:fill="CCEEFF" w:val="clear"/>
            <w:vAlign w:val="bottom"/>
          </w:tcPr>
          <w:p>
            <w:pPr>
              <w:pStyle w:val="TableContents"/>
              <w:spacing w:before="0" w:after="283"/>
              <w:jc w:val="right"/>
              <w:rPr/>
            </w:pPr>
            <w:r>
              <w:rPr/>
              <w:t xml:space="preserve">0.5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464" w:type="dxa"/>
            <w:tcBorders/>
            <w:shd w:fill="CCEEFF" w:val="clear"/>
            <w:vAlign w:val="bottom"/>
          </w:tcPr>
          <w:p>
            <w:pPr>
              <w:pStyle w:val="TableContents"/>
              <w:spacing w:before="0" w:after="283"/>
              <w:jc w:val="right"/>
              <w:rPr/>
            </w:pPr>
            <w:r>
              <w:rPr/>
              <w:t xml:space="preserve">(0.1 </w:t>
            </w:r>
          </w:p>
        </w:tc>
        <w:tc>
          <w:tcPr>
            <w:tcW w:w="160"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22.3 </w:t>
            </w:r>
          </w:p>
        </w:tc>
        <w:tc>
          <w:tcPr>
            <w:tcW w:w="137" w:type="dxa"/>
            <w:tcBorders/>
            <w:shd w:fill="CCEEFF" w:val="clear"/>
            <w:vAlign w:val="bottom"/>
          </w:tcPr>
          <w:p>
            <w:pPr>
              <w:pStyle w:val="TableContents"/>
              <w:spacing w:before="0" w:after="283"/>
              <w:jc w:val="left"/>
              <w:rPr/>
            </w:pPr>
            <w:r>
              <w:rPr/>
              <w:t xml:space="preserve">  </w:t>
            </w:r>
          </w:p>
        </w:tc>
      </w:tr>
      <w:tr>
        <w:trPr/>
        <w:tc>
          <w:tcPr>
            <w:tcW w:w="2290" w:type="dxa"/>
            <w:tcBorders/>
            <w:shd w:fill="FFFFFF" w:val="clear"/>
            <w:vAlign w:val="bottom"/>
          </w:tcPr>
          <w:p>
            <w:pPr>
              <w:pStyle w:val="TableContents"/>
              <w:spacing w:before="0" w:after="0"/>
              <w:ind w:left="200" w:right="0" w:hanging="200"/>
              <w:jc w:val="left"/>
              <w:rPr>
                <w:sz w:val="17"/>
              </w:rPr>
            </w:pPr>
            <w:r>
              <w:rPr>
                <w:sz w:val="17"/>
              </w:rPr>
              <w:t xml:space="preserve">July/August 2004 </w:t>
            </w:r>
          </w:p>
        </w:tc>
        <w:tc>
          <w:tcPr>
            <w:tcW w:w="75"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jc w:val="left"/>
              <w:rPr/>
            </w:pPr>
            <w:r>
              <w:rPr/>
              <w:t xml:space="preserve">  </w:t>
            </w:r>
          </w:p>
        </w:tc>
        <w:tc>
          <w:tcPr>
            <w:tcW w:w="1081" w:type="dxa"/>
            <w:tcBorders/>
            <w:shd w:fill="FFFFFF" w:val="clear"/>
            <w:vAlign w:val="bottom"/>
          </w:tcPr>
          <w:p>
            <w:pPr>
              <w:pStyle w:val="TableContents"/>
              <w:spacing w:before="0" w:after="283"/>
              <w:jc w:val="right"/>
              <w:rPr/>
            </w:pPr>
            <w:r>
              <w:rPr/>
              <w:t xml:space="preserve">4,968,000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74" w:type="dxa"/>
            <w:tcBorders/>
            <w:shd w:fill="FFFFFF" w:val="clear"/>
            <w:vAlign w:val="bottom"/>
          </w:tcPr>
          <w:p>
            <w:pPr>
              <w:pStyle w:val="TableContents"/>
              <w:spacing w:before="0" w:after="283"/>
              <w:jc w:val="left"/>
              <w:rPr/>
            </w:pPr>
            <w:r>
              <w:rPr/>
              <w:t xml:space="preserve">$ </w:t>
            </w:r>
          </w:p>
        </w:tc>
        <w:tc>
          <w:tcPr>
            <w:tcW w:w="880" w:type="dxa"/>
            <w:tcBorders/>
            <w:shd w:fill="FFFFFF" w:val="clear"/>
            <w:vAlign w:val="bottom"/>
          </w:tcPr>
          <w:p>
            <w:pPr>
              <w:pStyle w:val="TableContents"/>
              <w:spacing w:before="0" w:after="283"/>
              <w:jc w:val="right"/>
              <w:rPr/>
            </w:pPr>
            <w:r>
              <w:rPr/>
              <w:t xml:space="preserve">33.25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61" w:type="dxa"/>
            <w:tcBorders/>
            <w:shd w:fill="FFFFFF" w:val="clear"/>
            <w:vAlign w:val="bottom"/>
          </w:tcPr>
          <w:p>
            <w:pPr>
              <w:pStyle w:val="TableContents"/>
              <w:spacing w:before="0" w:after="283"/>
              <w:jc w:val="left"/>
              <w:rPr/>
            </w:pPr>
            <w:r>
              <w:rPr/>
              <w:t xml:space="preserve">$ </w:t>
            </w:r>
          </w:p>
        </w:tc>
        <w:tc>
          <w:tcPr>
            <w:tcW w:w="835" w:type="dxa"/>
            <w:tcBorders/>
            <w:shd w:fill="FFFFFF" w:val="clear"/>
            <w:vAlign w:val="bottom"/>
          </w:tcPr>
          <w:p>
            <w:pPr>
              <w:pStyle w:val="TableContents"/>
              <w:spacing w:before="0" w:after="283"/>
              <w:jc w:val="right"/>
              <w:rPr/>
            </w:pPr>
            <w:r>
              <w:rPr/>
              <w:t xml:space="preserve">165.2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487" w:type="dxa"/>
            <w:tcBorders/>
            <w:shd w:fill="FFFFFF" w:val="clear"/>
            <w:vAlign w:val="bottom"/>
          </w:tcPr>
          <w:p>
            <w:pPr>
              <w:pStyle w:val="TableContents"/>
              <w:spacing w:before="0" w:after="283"/>
              <w:jc w:val="left"/>
              <w:rPr/>
            </w:pPr>
            <w:r>
              <w:rPr/>
              <w:t xml:space="preserve">$ </w:t>
            </w:r>
          </w:p>
        </w:tc>
        <w:tc>
          <w:tcPr>
            <w:tcW w:w="979" w:type="dxa"/>
            <w:tcBorders/>
            <w:shd w:fill="FFFFFF" w:val="clear"/>
            <w:vAlign w:val="bottom"/>
          </w:tcPr>
          <w:p>
            <w:pPr>
              <w:pStyle w:val="TableContents"/>
              <w:spacing w:before="0" w:after="283"/>
              <w:jc w:val="right"/>
              <w:rPr/>
            </w:pPr>
            <w:r>
              <w:rPr/>
              <w:t xml:space="preserve">3.4 </w:t>
            </w:r>
          </w:p>
        </w:tc>
        <w:tc>
          <w:tcPr>
            <w:tcW w:w="126"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464" w:type="dxa"/>
            <w:tcBorders/>
            <w:shd w:fill="FFFFFF" w:val="clear"/>
            <w:vAlign w:val="bottom"/>
          </w:tcPr>
          <w:p>
            <w:pPr>
              <w:pStyle w:val="TableContents"/>
              <w:spacing w:before="0" w:after="283"/>
              <w:jc w:val="right"/>
              <w:rPr/>
            </w:pPr>
            <w:r>
              <w:rPr/>
              <w:t xml:space="preserve">(7.7 </w:t>
            </w:r>
          </w:p>
        </w:tc>
        <w:tc>
          <w:tcPr>
            <w:tcW w:w="160" w:type="dxa"/>
            <w:tcBorders/>
            <w:shd w:fill="FFFFFF" w:val="clear"/>
            <w:vAlign w:val="bottom"/>
          </w:tcPr>
          <w:p>
            <w:pPr>
              <w:pStyle w:val="TableContents"/>
              <w:spacing w:before="0" w:after="283"/>
              <w:jc w:val="left"/>
              <w:rPr/>
            </w:pPr>
            <w:r>
              <w:rPr/>
              <w:t xml:space="preserve">) </w:t>
            </w:r>
          </w:p>
        </w:tc>
        <w:tc>
          <w:tcPr>
            <w:tcW w:w="84" w:type="dxa"/>
            <w:tcBorders/>
            <w:shd w:fill="FFFFFF" w:val="clear"/>
            <w:vAlign w:val="bottom"/>
          </w:tcPr>
          <w:p>
            <w:pPr>
              <w:pStyle w:val="TableContents"/>
              <w:spacing w:before="0" w:after="283"/>
              <w:rPr/>
            </w:pPr>
            <w:r>
              <w:rPr/>
              <w:t xml:space="preserve">  </w:t>
            </w:r>
          </w:p>
        </w:tc>
        <w:tc>
          <w:tcPr>
            <w:tcW w:w="246" w:type="dxa"/>
            <w:tcBorders/>
            <w:shd w:fill="FFFFFF" w:val="clear"/>
            <w:vAlign w:val="bottom"/>
          </w:tcPr>
          <w:p>
            <w:pPr>
              <w:pStyle w:val="TableContents"/>
              <w:spacing w:before="0" w:after="283"/>
              <w:jc w:val="left"/>
              <w:rPr/>
            </w:pPr>
            <w:r>
              <w:rPr/>
              <w:t xml:space="preserve">$ </w:t>
            </w:r>
          </w:p>
        </w:tc>
        <w:tc>
          <w:tcPr>
            <w:tcW w:w="782" w:type="dxa"/>
            <w:tcBorders/>
            <w:shd w:fill="FFFFFF" w:val="clear"/>
            <w:vAlign w:val="bottom"/>
          </w:tcPr>
          <w:p>
            <w:pPr>
              <w:pStyle w:val="TableContents"/>
              <w:spacing w:before="0" w:after="283"/>
              <w:jc w:val="right"/>
              <w:rPr/>
            </w:pPr>
            <w:r>
              <w:rPr/>
              <w:t xml:space="preserve">160.9 </w:t>
            </w:r>
          </w:p>
        </w:tc>
        <w:tc>
          <w:tcPr>
            <w:tcW w:w="137" w:type="dxa"/>
            <w:tcBorders/>
            <w:shd w:fill="FFFFFF" w:val="clear"/>
            <w:vAlign w:val="bottom"/>
          </w:tcPr>
          <w:p>
            <w:pPr>
              <w:pStyle w:val="TableContents"/>
              <w:spacing w:before="0" w:after="283"/>
              <w:jc w:val="left"/>
              <w:rPr/>
            </w:pPr>
            <w:r>
              <w:rPr/>
              <w:t xml:space="preserve">  </w:t>
            </w:r>
          </w:p>
        </w:tc>
      </w:tr>
      <w:tr>
        <w:trPr/>
        <w:tc>
          <w:tcPr>
            <w:tcW w:w="2290" w:type="dxa"/>
            <w:tcBorders/>
            <w:shd w:fill="CCEEFF" w:val="clear"/>
            <w:vAlign w:val="bottom"/>
          </w:tcPr>
          <w:p>
            <w:pPr>
              <w:pStyle w:val="TableContents"/>
              <w:spacing w:before="0" w:after="0"/>
              <w:ind w:left="200" w:right="0" w:hanging="200"/>
              <w:jc w:val="left"/>
              <w:rPr>
                <w:sz w:val="17"/>
              </w:rPr>
            </w:pPr>
            <w:r>
              <w:rPr>
                <w:sz w:val="17"/>
              </w:rPr>
              <w:t xml:space="preserve">April 2004(1) </w:t>
            </w:r>
          </w:p>
        </w:tc>
        <w:tc>
          <w:tcPr>
            <w:tcW w:w="75"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3,245,700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74" w:type="dxa"/>
            <w:tcBorders/>
            <w:shd w:fill="CCEEFF" w:val="clear"/>
            <w:vAlign w:val="bottom"/>
          </w:tcPr>
          <w:p>
            <w:pPr>
              <w:pStyle w:val="TableContents"/>
              <w:spacing w:before="0" w:after="283"/>
              <w:jc w:val="left"/>
              <w:rPr/>
            </w:pPr>
            <w:r>
              <w:rPr/>
              <w:t xml:space="preserve">$ </w:t>
            </w:r>
          </w:p>
        </w:tc>
        <w:tc>
          <w:tcPr>
            <w:tcW w:w="880" w:type="dxa"/>
            <w:tcBorders/>
            <w:shd w:fill="CCEEFF" w:val="clear"/>
            <w:vAlign w:val="bottom"/>
          </w:tcPr>
          <w:p>
            <w:pPr>
              <w:pStyle w:val="TableContents"/>
              <w:spacing w:before="0" w:after="283"/>
              <w:jc w:val="right"/>
              <w:rPr/>
            </w:pPr>
            <w:r>
              <w:rPr/>
              <w:t xml:space="preserve">30.81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61" w:type="dxa"/>
            <w:tcBorders/>
            <w:shd w:fill="CCEEFF" w:val="clear"/>
            <w:vAlign w:val="bottom"/>
          </w:tcPr>
          <w:p>
            <w:pPr>
              <w:pStyle w:val="TableContents"/>
              <w:spacing w:before="0" w:after="283"/>
              <w:jc w:val="left"/>
              <w:rPr/>
            </w:pPr>
            <w:r>
              <w:rPr/>
              <w:t xml:space="preserve">$ </w:t>
            </w:r>
          </w:p>
        </w:tc>
        <w:tc>
          <w:tcPr>
            <w:tcW w:w="835" w:type="dxa"/>
            <w:tcBorders/>
            <w:shd w:fill="CCEEFF" w:val="clear"/>
            <w:vAlign w:val="bottom"/>
          </w:tcPr>
          <w:p>
            <w:pPr>
              <w:pStyle w:val="TableContents"/>
              <w:spacing w:before="0" w:after="283"/>
              <w:jc w:val="right"/>
              <w:rPr/>
            </w:pPr>
            <w:r>
              <w:rPr/>
              <w:t xml:space="preserve">99.3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487" w:type="dxa"/>
            <w:tcBorders/>
            <w:shd w:fill="CCEEFF" w:val="clear"/>
            <w:vAlign w:val="bottom"/>
          </w:tcPr>
          <w:p>
            <w:pPr>
              <w:pStyle w:val="TableContents"/>
              <w:spacing w:before="0" w:after="283"/>
              <w:jc w:val="left"/>
              <w:rPr/>
            </w:pPr>
            <w:r>
              <w:rPr/>
              <w:t xml:space="preserve">$ </w:t>
            </w:r>
          </w:p>
        </w:tc>
        <w:tc>
          <w:tcPr>
            <w:tcW w:w="979" w:type="dxa"/>
            <w:tcBorders/>
            <w:shd w:fill="CCEEFF" w:val="clear"/>
            <w:vAlign w:val="bottom"/>
          </w:tcPr>
          <w:p>
            <w:pPr>
              <w:pStyle w:val="TableContents"/>
              <w:spacing w:before="0" w:after="283"/>
              <w:jc w:val="right"/>
              <w:rPr/>
            </w:pPr>
            <w:r>
              <w:rPr/>
              <w:t xml:space="preserve">2.0 </w:t>
            </w:r>
          </w:p>
        </w:tc>
        <w:tc>
          <w:tcPr>
            <w:tcW w:w="126"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464" w:type="dxa"/>
            <w:tcBorders/>
            <w:shd w:fill="CCEEFF" w:val="clear"/>
            <w:vAlign w:val="bottom"/>
          </w:tcPr>
          <w:p>
            <w:pPr>
              <w:pStyle w:val="TableContents"/>
              <w:spacing w:before="0" w:after="283"/>
              <w:jc w:val="right"/>
              <w:rPr/>
            </w:pPr>
            <w:r>
              <w:rPr/>
              <w:t xml:space="preserve">(0.1 </w:t>
            </w:r>
          </w:p>
        </w:tc>
        <w:tc>
          <w:tcPr>
            <w:tcW w:w="160" w:type="dxa"/>
            <w:tcBorders/>
            <w:shd w:fill="CCEEFF" w:val="clear"/>
            <w:vAlign w:val="bottom"/>
          </w:tcPr>
          <w:p>
            <w:pPr>
              <w:pStyle w:val="TableContents"/>
              <w:spacing w:before="0" w:after="283"/>
              <w:jc w:val="left"/>
              <w:rPr/>
            </w:pPr>
            <w:r>
              <w:rPr/>
              <w:t xml:space="preserve">) </w:t>
            </w:r>
          </w:p>
        </w:tc>
        <w:tc>
          <w:tcPr>
            <w:tcW w:w="84" w:type="dxa"/>
            <w:tcBorders/>
            <w:shd w:fill="CCEEFF" w:val="clear"/>
            <w:vAlign w:val="bottom"/>
          </w:tcPr>
          <w:p>
            <w:pPr>
              <w:pStyle w:val="TableContents"/>
              <w:spacing w:before="0" w:after="283"/>
              <w:rPr/>
            </w:pPr>
            <w:r>
              <w:rPr/>
              <w:t xml:space="preserve">  </w:t>
            </w:r>
          </w:p>
        </w:tc>
        <w:tc>
          <w:tcPr>
            <w:tcW w:w="246" w:type="dxa"/>
            <w:tcBorders/>
            <w:shd w:fill="CCEEFF" w:val="clear"/>
            <w:vAlign w:val="bottom"/>
          </w:tcPr>
          <w:p>
            <w:pPr>
              <w:pStyle w:val="TableContents"/>
              <w:spacing w:before="0" w:after="283"/>
              <w:jc w:val="left"/>
              <w:rPr/>
            </w:pPr>
            <w:r>
              <w:rPr/>
              <w:t xml:space="preserve">$ </w:t>
            </w:r>
          </w:p>
        </w:tc>
        <w:tc>
          <w:tcPr>
            <w:tcW w:w="782" w:type="dxa"/>
            <w:tcBorders/>
            <w:shd w:fill="CCEEFF" w:val="clear"/>
            <w:vAlign w:val="bottom"/>
          </w:tcPr>
          <w:p>
            <w:pPr>
              <w:pStyle w:val="TableContents"/>
              <w:spacing w:before="0" w:after="283"/>
              <w:jc w:val="right"/>
              <w:rPr/>
            </w:pPr>
            <w:r>
              <w:rPr/>
              <w:t xml:space="preserve">101.2 </w:t>
            </w:r>
          </w:p>
        </w:tc>
        <w:tc>
          <w:tcPr>
            <w:tcW w:w="137"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4"/>
        <w:gridCol w:w="102"/>
        <w:gridCol w:w="9799"/>
      </w:tblGrid>
      <w:tr>
        <w:trPr/>
        <w:tc>
          <w:tcPr>
            <w:tcW w:w="30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center"/>
          </w:tcPr>
          <w:p>
            <w:pPr>
              <w:pStyle w:val="TableContents"/>
              <w:spacing w:before="0" w:after="283"/>
              <w:rPr>
                <w:sz w:val="4"/>
                <w:szCs w:val="4"/>
              </w:rPr>
            </w:pPr>
            <w:r>
              <w:rPr>
                <w:sz w:val="4"/>
                <w:szCs w:val="4"/>
              </w:rPr>
            </w:r>
          </w:p>
        </w:tc>
      </w:tr>
      <w:tr>
        <w:trPr/>
        <w:tc>
          <w:tcPr>
            <w:tcW w:w="304"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These offerings involved related parties. See Note 9 Related Party Transactions.</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Payment of Deferred Acquisition Price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CANPET acquisition in July 2001, $26.5 million Canadian of the purchase price, payable in common units or cash at our option, was deferred subject to various performance objectives being met. These objectives were met as of December 31, 2003 and an increase to goodwill for this liability was recorded as of that date. The liability was satisfied on April 30, 2004 with the issuance of approximately 385,000 common units and the payment of $6.5 million in cash. The number of common units issued in satisfaction of the deferred payment was based upon $34.02 per unit, the average trading price of our common units for the ten-day trading period prior to the payment date, and a Canadian dollar to U.S. dollar exchange rate of 1.35 to 1, the average noon-day exchange rate for the ten-day trading period prior to the payment date. In addition, an incremental $3.7 million in cash was paid for the distributions that would have been paid on the common units had they been outstanding since the effective date of the acquisition.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1005"/>
        <w:gridCol w:w="9200"/>
      </w:tblGrid>
      <w:tr>
        <w:trPr/>
        <w:tc>
          <w:tcPr>
            <w:tcW w:w="1005" w:type="dxa"/>
            <w:tcBorders/>
            <w:shd w:fill="FFFFFF" w:val="clear"/>
            <w:vAlign w:val="center"/>
          </w:tcPr>
          <w:p>
            <w:pPr>
              <w:pStyle w:val="TableContents"/>
              <w:spacing w:before="0" w:after="283"/>
              <w:rPr>
                <w:sz w:val="4"/>
                <w:szCs w:val="4"/>
              </w:rPr>
            </w:pPr>
            <w:r>
              <w:rPr>
                <w:sz w:val="4"/>
                <w:szCs w:val="4"/>
              </w:rPr>
            </w:r>
          </w:p>
        </w:tc>
        <w:tc>
          <w:tcPr>
            <w:tcW w:w="9200" w:type="dxa"/>
            <w:tcBorders/>
            <w:shd w:fill="FFFFFF" w:val="clear"/>
            <w:vAlign w:val="center"/>
          </w:tcPr>
          <w:p>
            <w:pPr>
              <w:pStyle w:val="TableContents"/>
              <w:spacing w:before="0" w:after="283"/>
              <w:rPr>
                <w:sz w:val="4"/>
                <w:szCs w:val="4"/>
              </w:rPr>
            </w:pPr>
            <w:r>
              <w:rPr>
                <w:sz w:val="4"/>
                <w:szCs w:val="4"/>
              </w:rPr>
            </w:r>
          </w:p>
        </w:tc>
      </w:tr>
      <w:tr>
        <w:trPr/>
        <w:tc>
          <w:tcPr>
            <w:tcW w:w="1005"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6  </w:t>
            </w:r>
          </w:p>
        </w:tc>
        <w:tc>
          <w:tcPr>
            <w:tcW w:w="9200" w:type="dxa"/>
            <w:tcBorders/>
            <w:shd w:fill="FFFFFF" w:val="clear"/>
          </w:tcPr>
          <w:p>
            <w:pPr>
              <w:pStyle w:val="TableContents"/>
              <w:spacing w:before="0" w:after="283"/>
              <w:rPr/>
            </w:pPr>
            <w:r>
              <w:rPr>
                <w:rFonts w:ascii="Times New Roman;Times" w:hAnsi="Times New Roman;Times"/>
                <w:b/>
              </w:rPr>
              <w:t>Derivatives and Financial Instruments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utilize various derivative instruments to (i) manage our exposure to commodity price risk, (ii) engage in a controlled commodity trading program, (iii) manage our exposure to interest rate risk and (iv) manage our exposure to currency exchange rate risk. Our risk management policies and procedures are designed to monitor interest rates, currency exchange rates, NYMEX, ICE and over-the-counter positions, as well as physical volumes, grades, locations and delivery schedules to help ensure that our hedging activities address our market risks. Our policy is to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or the fair value of hedged items.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Summary of Financial Impact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majority of our derivative activity is related to our commodity price-risk hedging activities. Through these activities, we hedge our exposure to price fluctuations with respect to crude oil, LPG and natural gas as well as with respect to expected purchases, sales and transportation of these commodities. The majority of the instruments that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qualify for hedge accounting are cash flow hedges. Therefore, the corresponding changes in fair value for the effective portion of the hedges are deferred to AOCI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SFAS 133, in offsetting changes in cash flows of the hedged items, are marked-to-market in revenues each period.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summary of the earnings impact of all derivative activities, including the change in fair value of open derivatives and settled derivatives taken to earnings during 2006 and 2005, is as follows (in millions, losses designated in brackets):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167"/>
        <w:gridCol w:w="120"/>
        <w:gridCol w:w="382"/>
        <w:gridCol w:w="1026"/>
        <w:gridCol w:w="175"/>
        <w:gridCol w:w="120"/>
        <w:gridCol w:w="216"/>
        <w:gridCol w:w="700"/>
        <w:gridCol w:w="175"/>
        <w:gridCol w:w="120"/>
        <w:gridCol w:w="216"/>
        <w:gridCol w:w="700"/>
        <w:gridCol w:w="174"/>
        <w:gridCol w:w="120"/>
        <w:gridCol w:w="328"/>
        <w:gridCol w:w="1081"/>
        <w:gridCol w:w="175"/>
        <w:gridCol w:w="120"/>
        <w:gridCol w:w="234"/>
        <w:gridCol w:w="603"/>
        <w:gridCol w:w="175"/>
        <w:gridCol w:w="120"/>
        <w:gridCol w:w="216"/>
        <w:gridCol w:w="557"/>
        <w:gridCol w:w="185"/>
      </w:tblGrid>
      <w:tr>
        <w:trPr/>
        <w:tc>
          <w:tcPr>
            <w:tcW w:w="2167"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382" w:type="dxa"/>
            <w:tcBorders/>
            <w:shd w:fill="FFFFFF" w:val="clear"/>
            <w:vAlign w:val="bottom"/>
          </w:tcPr>
          <w:p>
            <w:pPr>
              <w:pStyle w:val="TableContents"/>
              <w:spacing w:before="0" w:after="283"/>
              <w:jc w:val="right"/>
              <w:rPr/>
            </w:pPr>
            <w:r>
              <w:rPr/>
              <w:t> </w:t>
            </w:r>
          </w:p>
        </w:tc>
        <w:tc>
          <w:tcPr>
            <w:tcW w:w="1026"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right"/>
              <w:rPr/>
            </w:pPr>
            <w:r>
              <w:rPr/>
              <w:t> </w:t>
            </w:r>
          </w:p>
        </w:tc>
        <w:tc>
          <w:tcPr>
            <w:tcW w:w="70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right"/>
              <w:rPr/>
            </w:pPr>
            <w:r>
              <w:rPr/>
              <w:t> </w:t>
            </w:r>
          </w:p>
        </w:tc>
        <w:tc>
          <w:tcPr>
            <w:tcW w:w="700"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28" w:type="dxa"/>
            <w:tcBorders/>
            <w:shd w:fill="FFFFFF" w:val="clear"/>
            <w:vAlign w:val="bottom"/>
          </w:tcPr>
          <w:p>
            <w:pPr>
              <w:pStyle w:val="TableContents"/>
              <w:spacing w:before="0" w:after="283"/>
              <w:jc w:val="right"/>
              <w:rPr/>
            </w:pPr>
            <w:r>
              <w:rPr/>
              <w:t> </w:t>
            </w:r>
          </w:p>
        </w:tc>
        <w:tc>
          <w:tcPr>
            <w:tcW w:w="1081"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jc w:val="right"/>
              <w:rPr/>
            </w:pPr>
            <w:r>
              <w:rPr/>
              <w:t> </w:t>
            </w:r>
          </w:p>
        </w:tc>
        <w:tc>
          <w:tcPr>
            <w:tcW w:w="603"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right"/>
              <w:rPr/>
            </w:pPr>
            <w:r>
              <w:rPr/>
              <w:t> </w:t>
            </w:r>
          </w:p>
        </w:tc>
        <w:tc>
          <w:tcPr>
            <w:tcW w:w="557"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r>
      <w:tr>
        <w:trPr/>
        <w:tc>
          <w:tcPr>
            <w:tcW w:w="2167"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3830" w:type="dxa"/>
            <w:gridSpan w:val="10"/>
            <w:tcBorders/>
            <w:shd w:fill="FFFFFF" w:val="clear"/>
            <w:vAlign w:val="bottom"/>
          </w:tcPr>
          <w:p>
            <w:pPr>
              <w:pStyle w:val="TableContents"/>
              <w:spacing w:before="0" w:after="283"/>
              <w:jc w:val="center"/>
              <w:rPr>
                <w:b/>
              </w:rPr>
            </w:pPr>
            <w:r>
              <w:rPr>
                <w:b/>
              </w:rPr>
              <w:t>For the Year Ended</w:t>
            </w:r>
          </w:p>
        </w:tc>
        <w:tc>
          <w:tcPr>
            <w:tcW w:w="174"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3609" w:type="dxa"/>
            <w:gridSpan w:val="10"/>
            <w:tcBorders/>
            <w:shd w:fill="FFFFFF" w:val="clear"/>
            <w:vAlign w:val="bottom"/>
          </w:tcPr>
          <w:p>
            <w:pPr>
              <w:pStyle w:val="TableContents"/>
              <w:spacing w:before="0" w:after="283"/>
              <w:jc w:val="center"/>
              <w:rPr>
                <w:b/>
              </w:rPr>
            </w:pPr>
            <w:r>
              <w:rPr>
                <w:b/>
              </w:rPr>
              <w:t>For the Year Ended</w:t>
            </w:r>
          </w:p>
        </w:tc>
        <w:tc>
          <w:tcPr>
            <w:tcW w:w="185" w:type="dxa"/>
            <w:tcBorders/>
            <w:shd w:fill="FFFFFF" w:val="clear"/>
            <w:vAlign w:val="bottom"/>
          </w:tcPr>
          <w:p>
            <w:pPr>
              <w:pStyle w:val="TableContents"/>
              <w:spacing w:before="0" w:after="283"/>
              <w:jc w:val="center"/>
              <w:rPr/>
            </w:pPr>
            <w:r>
              <w:rPr/>
              <w:t xml:space="preserve">  </w:t>
            </w:r>
          </w:p>
        </w:tc>
      </w:tr>
      <w:tr>
        <w:trPr/>
        <w:tc>
          <w:tcPr>
            <w:tcW w:w="2167"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383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3609"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2167"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1408" w:type="dxa"/>
            <w:gridSpan w:val="2"/>
            <w:tcBorders/>
            <w:shd w:fill="FFFFFF" w:val="clear"/>
            <w:vAlign w:val="bottom"/>
          </w:tcPr>
          <w:p>
            <w:pPr>
              <w:pStyle w:val="TableContents"/>
              <w:spacing w:before="0" w:after="283"/>
              <w:jc w:val="center"/>
              <w:rPr>
                <w:b/>
              </w:rPr>
            </w:pPr>
            <w:r>
              <w:rPr>
                <w:b/>
              </w:rPr>
              <w:t>Mark-to-</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916" w:type="dxa"/>
            <w:gridSpan w:val="2"/>
            <w:tcBorders/>
            <w:shd w:fill="FFFFFF" w:val="clear"/>
            <w:vAlign w:val="bottom"/>
          </w:tcPr>
          <w:p>
            <w:pPr>
              <w:pStyle w:val="TableContents"/>
              <w:spacing w:before="0" w:after="283"/>
              <w:jc w:val="center"/>
              <w:rPr/>
            </w:pP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916" w:type="dxa"/>
            <w:gridSpan w:val="2"/>
            <w:tcBorders/>
            <w:shd w:fill="FFFFFF" w:val="clear"/>
            <w:vAlign w:val="bottom"/>
          </w:tcPr>
          <w:p>
            <w:pPr>
              <w:pStyle w:val="TableContents"/>
              <w:spacing w:before="0" w:after="283"/>
              <w:jc w:val="center"/>
              <w:rPr/>
            </w:pP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1409" w:type="dxa"/>
            <w:gridSpan w:val="2"/>
            <w:tcBorders/>
            <w:shd w:fill="FFFFFF" w:val="clear"/>
            <w:vAlign w:val="bottom"/>
          </w:tcPr>
          <w:p>
            <w:pPr>
              <w:pStyle w:val="TableContents"/>
              <w:spacing w:before="0" w:after="283"/>
              <w:jc w:val="center"/>
              <w:rPr>
                <w:b/>
              </w:rPr>
            </w:pPr>
            <w:r>
              <w:rPr>
                <w:b/>
              </w:rPr>
              <w:t>Mark-to-</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837" w:type="dxa"/>
            <w:gridSpan w:val="2"/>
            <w:tcBorders/>
            <w:shd w:fill="FFFFFF" w:val="clear"/>
            <w:vAlign w:val="bottom"/>
          </w:tcPr>
          <w:p>
            <w:pPr>
              <w:pStyle w:val="TableContents"/>
              <w:spacing w:before="0" w:after="283"/>
              <w:jc w:val="center"/>
              <w:rPr/>
            </w:pP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773" w:type="dxa"/>
            <w:gridSpan w:val="2"/>
            <w:tcBorders/>
            <w:shd w:fill="FFFFFF" w:val="clear"/>
            <w:vAlign w:val="bottom"/>
          </w:tcPr>
          <w:p>
            <w:pPr>
              <w:pStyle w:val="TableContents"/>
              <w:spacing w:before="0" w:after="283"/>
              <w:jc w:val="center"/>
              <w:rPr/>
            </w:pP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2167"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140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 net</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9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Settled</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9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14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 net</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83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Settled</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77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2167" w:type="dxa"/>
            <w:tcBorders/>
            <w:shd w:fill="FFFFFF" w:val="clear"/>
            <w:vAlign w:val="center"/>
          </w:tcPr>
          <w:p>
            <w:pPr>
              <w:pStyle w:val="TableContents"/>
              <w:spacing w:before="0" w:after="283"/>
              <w:rPr/>
            </w:pPr>
            <w:r>
              <w:rPr/>
              <w:t xml:space="preserve">  </w:t>
            </w:r>
          </w:p>
        </w:tc>
        <w:tc>
          <w:tcPr>
            <w:tcW w:w="8038" w:type="dxa"/>
            <w:gridSpan w:val="24"/>
            <w:tcBorders/>
            <w:shd w:fill="FFFFFF" w:val="clear"/>
          </w:tcPr>
          <w:p>
            <w:pPr>
              <w:pStyle w:val="TableContents"/>
              <w:spacing w:before="0" w:after="283"/>
              <w:rPr>
                <w:sz w:val="4"/>
                <w:szCs w:val="4"/>
              </w:rPr>
            </w:pPr>
            <w:r>
              <w:rPr>
                <w:sz w:val="4"/>
                <w:szCs w:val="4"/>
              </w:rPr>
            </w:r>
          </w:p>
        </w:tc>
      </w:tr>
      <w:tr>
        <w:trPr/>
        <w:tc>
          <w:tcPr>
            <w:tcW w:w="2167" w:type="dxa"/>
            <w:tcBorders/>
            <w:shd w:fill="CCEEFF" w:val="clear"/>
            <w:vAlign w:val="bottom"/>
          </w:tcPr>
          <w:p>
            <w:pPr>
              <w:pStyle w:val="TableContents"/>
              <w:spacing w:before="0" w:after="0"/>
              <w:ind w:left="200" w:right="0" w:hanging="200"/>
              <w:jc w:val="left"/>
              <w:rPr>
                <w:sz w:val="17"/>
              </w:rPr>
            </w:pPr>
            <w:r>
              <w:rPr>
                <w:sz w:val="17"/>
              </w:rPr>
              <w:t xml:space="preserve">Commodity price-risk hedging </w:t>
            </w:r>
          </w:p>
        </w:tc>
        <w:tc>
          <w:tcPr>
            <w:tcW w:w="120" w:type="dxa"/>
            <w:tcBorders/>
            <w:shd w:fill="CCEEFF" w:val="clear"/>
            <w:vAlign w:val="bottom"/>
          </w:tcPr>
          <w:p>
            <w:pPr>
              <w:pStyle w:val="TableContents"/>
              <w:spacing w:before="0" w:after="283"/>
              <w:rPr/>
            </w:pPr>
            <w:r>
              <w:rPr/>
              <w:t xml:space="preserve">  </w:t>
            </w:r>
          </w:p>
        </w:tc>
        <w:tc>
          <w:tcPr>
            <w:tcW w:w="382"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(3.0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113.3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110.3 </w:t>
            </w:r>
          </w:p>
        </w:tc>
        <w:tc>
          <w:tcPr>
            <w:tcW w:w="17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328"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(21.5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603" w:type="dxa"/>
            <w:tcBorders/>
            <w:shd w:fill="CCEEFF" w:val="clear"/>
            <w:vAlign w:val="bottom"/>
          </w:tcPr>
          <w:p>
            <w:pPr>
              <w:pStyle w:val="TableContents"/>
              <w:spacing w:before="0" w:after="283"/>
              <w:jc w:val="right"/>
              <w:rPr/>
            </w:pPr>
            <w:r>
              <w:rPr/>
              <w:t xml:space="preserve">39.4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557" w:type="dxa"/>
            <w:tcBorders/>
            <w:shd w:fill="CCEEFF" w:val="clear"/>
            <w:vAlign w:val="bottom"/>
          </w:tcPr>
          <w:p>
            <w:pPr>
              <w:pStyle w:val="TableContents"/>
              <w:spacing w:before="0" w:after="283"/>
              <w:jc w:val="right"/>
              <w:rPr/>
            </w:pPr>
            <w:r>
              <w:rPr/>
              <w:t xml:space="preserve">17.9 </w:t>
            </w:r>
          </w:p>
        </w:tc>
        <w:tc>
          <w:tcPr>
            <w:tcW w:w="185" w:type="dxa"/>
            <w:tcBorders/>
            <w:shd w:fill="CCEEFF" w:val="clear"/>
            <w:vAlign w:val="bottom"/>
          </w:tcPr>
          <w:p>
            <w:pPr>
              <w:pStyle w:val="TableContents"/>
              <w:spacing w:before="0" w:after="283"/>
              <w:jc w:val="left"/>
              <w:rPr/>
            </w:pPr>
            <w:r>
              <w:rPr/>
              <w:t xml:space="preserve">  </w:t>
            </w:r>
          </w:p>
        </w:tc>
      </w:tr>
      <w:tr>
        <w:trPr/>
        <w:tc>
          <w:tcPr>
            <w:tcW w:w="2167" w:type="dxa"/>
            <w:tcBorders/>
            <w:shd w:fill="FFFFFF" w:val="clear"/>
            <w:vAlign w:val="bottom"/>
          </w:tcPr>
          <w:p>
            <w:pPr>
              <w:pStyle w:val="TableContents"/>
              <w:spacing w:before="0" w:after="0"/>
              <w:ind w:left="200" w:right="0" w:hanging="200"/>
              <w:jc w:val="left"/>
              <w:rPr>
                <w:sz w:val="17"/>
              </w:rPr>
            </w:pPr>
            <w:r>
              <w:rPr>
                <w:sz w:val="17"/>
              </w:rPr>
              <w:t xml:space="preserve">Controlled trading program </w:t>
            </w:r>
          </w:p>
        </w:tc>
        <w:tc>
          <w:tcPr>
            <w:tcW w:w="120" w:type="dxa"/>
            <w:tcBorders/>
            <w:shd w:fill="FFFFFF" w:val="clear"/>
            <w:vAlign w:val="bottom"/>
          </w:tcPr>
          <w:p>
            <w:pPr>
              <w:pStyle w:val="TableContents"/>
              <w:spacing w:before="0" w:after="283"/>
              <w:rPr/>
            </w:pPr>
            <w:r>
              <w:rPr/>
              <w:t xml:space="preserve">  </w:t>
            </w:r>
          </w:p>
        </w:tc>
        <w:tc>
          <w:tcPr>
            <w:tcW w:w="382"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jc w:val="left"/>
              <w:rPr/>
            </w:pPr>
            <w:r>
              <w:rPr/>
              <w:t xml:space="preserve">  </w:t>
            </w:r>
          </w:p>
        </w:tc>
        <w:tc>
          <w:tcPr>
            <w:tcW w:w="1081"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603" w:type="dxa"/>
            <w:tcBorders/>
            <w:shd w:fill="FFFFFF" w:val="clear"/>
            <w:vAlign w:val="bottom"/>
          </w:tcPr>
          <w:p>
            <w:pPr>
              <w:pStyle w:val="TableContents"/>
              <w:spacing w:before="0" w:after="283"/>
              <w:jc w:val="right"/>
              <w:rPr/>
            </w:pPr>
            <w:r>
              <w:rPr/>
              <w:t xml:space="preserve">(0.2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557" w:type="dxa"/>
            <w:tcBorders/>
            <w:shd w:fill="FFFFFF" w:val="clear"/>
            <w:vAlign w:val="bottom"/>
          </w:tcPr>
          <w:p>
            <w:pPr>
              <w:pStyle w:val="TableContents"/>
              <w:spacing w:before="0" w:after="283"/>
              <w:jc w:val="right"/>
              <w:rPr/>
            </w:pPr>
            <w:r>
              <w:rPr/>
              <w:t xml:space="preserve">(0.2 </w:t>
            </w:r>
          </w:p>
        </w:tc>
        <w:tc>
          <w:tcPr>
            <w:tcW w:w="185" w:type="dxa"/>
            <w:tcBorders/>
            <w:shd w:fill="FFFFFF" w:val="clear"/>
            <w:vAlign w:val="bottom"/>
          </w:tcPr>
          <w:p>
            <w:pPr>
              <w:pStyle w:val="TableContents"/>
              <w:spacing w:before="0" w:after="283"/>
              <w:jc w:val="left"/>
              <w:rPr/>
            </w:pPr>
            <w:r>
              <w:rPr/>
              <w:t xml:space="preserve">) </w:t>
            </w:r>
          </w:p>
        </w:tc>
      </w:tr>
      <w:tr>
        <w:trPr/>
        <w:tc>
          <w:tcPr>
            <w:tcW w:w="2167" w:type="dxa"/>
            <w:tcBorders/>
            <w:shd w:fill="CCEEFF" w:val="clear"/>
            <w:vAlign w:val="bottom"/>
          </w:tcPr>
          <w:p>
            <w:pPr>
              <w:pStyle w:val="TableContents"/>
              <w:spacing w:before="0" w:after="0"/>
              <w:ind w:left="200" w:right="0" w:hanging="200"/>
              <w:jc w:val="left"/>
              <w:rPr>
                <w:sz w:val="17"/>
              </w:rPr>
            </w:pPr>
            <w:r>
              <w:rPr>
                <w:sz w:val="17"/>
              </w:rPr>
              <w:t xml:space="preserve">Interest rate risk hedging </w:t>
            </w:r>
          </w:p>
        </w:tc>
        <w:tc>
          <w:tcPr>
            <w:tcW w:w="120" w:type="dxa"/>
            <w:tcBorders/>
            <w:shd w:fill="CCEEFF" w:val="clear"/>
            <w:vAlign w:val="bottom"/>
          </w:tcPr>
          <w:p>
            <w:pPr>
              <w:pStyle w:val="TableContents"/>
              <w:spacing w:before="0" w:after="283"/>
              <w:rPr/>
            </w:pPr>
            <w:r>
              <w:rPr/>
              <w:t xml:space="preserve">  </w:t>
            </w:r>
          </w:p>
        </w:tc>
        <w:tc>
          <w:tcPr>
            <w:tcW w:w="382"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(1.5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(1.5 </w:t>
            </w:r>
          </w:p>
        </w:tc>
        <w:tc>
          <w:tcPr>
            <w:tcW w:w="17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328"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603" w:type="dxa"/>
            <w:tcBorders/>
            <w:shd w:fill="CCEEFF" w:val="clear"/>
            <w:vAlign w:val="bottom"/>
          </w:tcPr>
          <w:p>
            <w:pPr>
              <w:pStyle w:val="TableContents"/>
              <w:spacing w:before="0" w:after="283"/>
              <w:jc w:val="right"/>
              <w:rPr/>
            </w:pPr>
            <w:r>
              <w:rPr/>
              <w:t xml:space="preserve">(1.6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557" w:type="dxa"/>
            <w:tcBorders/>
            <w:shd w:fill="CCEEFF" w:val="clear"/>
            <w:vAlign w:val="bottom"/>
          </w:tcPr>
          <w:p>
            <w:pPr>
              <w:pStyle w:val="TableContents"/>
              <w:spacing w:before="0" w:after="283"/>
              <w:jc w:val="right"/>
              <w:rPr/>
            </w:pPr>
            <w:r>
              <w:rPr/>
              <w:t xml:space="preserve">(1.6 </w:t>
            </w:r>
          </w:p>
        </w:tc>
        <w:tc>
          <w:tcPr>
            <w:tcW w:w="185" w:type="dxa"/>
            <w:tcBorders/>
            <w:shd w:fill="CCEEFF" w:val="clear"/>
            <w:vAlign w:val="bottom"/>
          </w:tcPr>
          <w:p>
            <w:pPr>
              <w:pStyle w:val="TableContents"/>
              <w:spacing w:before="0" w:after="283"/>
              <w:jc w:val="left"/>
              <w:rPr/>
            </w:pPr>
            <w:r>
              <w:rPr/>
              <w:t xml:space="preserve">) </w:t>
            </w:r>
          </w:p>
        </w:tc>
      </w:tr>
      <w:tr>
        <w:trPr/>
        <w:tc>
          <w:tcPr>
            <w:tcW w:w="2167" w:type="dxa"/>
            <w:tcBorders/>
            <w:shd w:fill="FFFFFF" w:val="clear"/>
            <w:vAlign w:val="bottom"/>
          </w:tcPr>
          <w:p>
            <w:pPr>
              <w:pStyle w:val="TableContents"/>
              <w:spacing w:before="0" w:after="0"/>
              <w:ind w:left="200" w:right="0" w:hanging="200"/>
              <w:jc w:val="left"/>
              <w:rPr>
                <w:sz w:val="17"/>
              </w:rPr>
            </w:pPr>
            <w:r>
              <w:rPr>
                <w:sz w:val="17"/>
              </w:rPr>
              <w:t xml:space="preserve">Currency exchange rate risk hedging </w:t>
            </w:r>
          </w:p>
        </w:tc>
        <w:tc>
          <w:tcPr>
            <w:tcW w:w="120" w:type="dxa"/>
            <w:tcBorders/>
            <w:shd w:fill="FFFFFF" w:val="clear"/>
            <w:vAlign w:val="bottom"/>
          </w:tcPr>
          <w:p>
            <w:pPr>
              <w:pStyle w:val="TableContents"/>
              <w:spacing w:before="0" w:after="283"/>
              <w:rPr/>
            </w:pPr>
            <w:r>
              <w:rPr/>
              <w:t xml:space="preserve">  </w:t>
            </w:r>
          </w:p>
        </w:tc>
        <w:tc>
          <w:tcPr>
            <w:tcW w:w="382" w:type="dxa"/>
            <w:tcBorders/>
            <w:shd w:fill="FFFFFF" w:val="clear"/>
            <w:vAlign w:val="bottom"/>
          </w:tcPr>
          <w:p>
            <w:pPr>
              <w:pStyle w:val="TableContents"/>
              <w:spacing w:before="0" w:after="283"/>
              <w:jc w:val="left"/>
              <w:rPr/>
            </w:pPr>
            <w:r>
              <w:rPr/>
              <w:t xml:space="preserve">  </w:t>
            </w:r>
          </w:p>
        </w:tc>
        <w:tc>
          <w:tcPr>
            <w:tcW w:w="1026" w:type="dxa"/>
            <w:tcBorders/>
            <w:shd w:fill="FFFFFF" w:val="clear"/>
            <w:vAlign w:val="bottom"/>
          </w:tcPr>
          <w:p>
            <w:pPr>
              <w:pStyle w:val="TableContents"/>
              <w:spacing w:before="0" w:after="283"/>
              <w:jc w:val="right"/>
              <w:rPr/>
            </w:pPr>
            <w:r>
              <w:rPr/>
              <w:t xml:space="preserve">(1.4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0.8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700" w:type="dxa"/>
            <w:tcBorders/>
            <w:shd w:fill="FFFFFF" w:val="clear"/>
            <w:vAlign w:val="bottom"/>
          </w:tcPr>
          <w:p>
            <w:pPr>
              <w:pStyle w:val="TableContents"/>
              <w:spacing w:before="0" w:after="283"/>
              <w:jc w:val="right"/>
              <w:rPr/>
            </w:pPr>
            <w:r>
              <w:rPr/>
              <w:t xml:space="preserve">(0.6 </w:t>
            </w:r>
          </w:p>
        </w:tc>
        <w:tc>
          <w:tcPr>
            <w:tcW w:w="17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jc w:val="left"/>
              <w:rPr/>
            </w:pPr>
            <w:r>
              <w:rPr/>
              <w:t xml:space="preserve">  </w:t>
            </w:r>
          </w:p>
        </w:tc>
        <w:tc>
          <w:tcPr>
            <w:tcW w:w="1081" w:type="dxa"/>
            <w:tcBorders/>
            <w:shd w:fill="FFFFFF" w:val="clear"/>
            <w:vAlign w:val="bottom"/>
          </w:tcPr>
          <w:p>
            <w:pPr>
              <w:pStyle w:val="TableContents"/>
              <w:spacing w:before="0" w:after="283"/>
              <w:jc w:val="right"/>
              <w:rPr/>
            </w:pPr>
            <w:r>
              <w:rPr/>
              <w:t xml:space="preserve">2.6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603" w:type="dxa"/>
            <w:tcBorders/>
            <w:shd w:fill="FFFFFF" w:val="clear"/>
            <w:vAlign w:val="bottom"/>
          </w:tcPr>
          <w:p>
            <w:pPr>
              <w:pStyle w:val="TableContents"/>
              <w:spacing w:before="0" w:after="283"/>
              <w:jc w:val="right"/>
              <w:rPr/>
            </w:pPr>
            <w:r>
              <w:rPr/>
              <w:t xml:space="preserve">(0.3 </w:t>
            </w:r>
          </w:p>
        </w:tc>
        <w:tc>
          <w:tcPr>
            <w:tcW w:w="17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jc w:val="left"/>
              <w:rPr/>
            </w:pPr>
            <w:r>
              <w:rPr/>
              <w:t xml:space="preserve">  </w:t>
            </w:r>
          </w:p>
        </w:tc>
        <w:tc>
          <w:tcPr>
            <w:tcW w:w="557" w:type="dxa"/>
            <w:tcBorders/>
            <w:shd w:fill="FFFFFF" w:val="clear"/>
            <w:vAlign w:val="bottom"/>
          </w:tcPr>
          <w:p>
            <w:pPr>
              <w:pStyle w:val="TableContents"/>
              <w:spacing w:before="0" w:after="283"/>
              <w:jc w:val="right"/>
              <w:rPr/>
            </w:pPr>
            <w:r>
              <w:rPr/>
              <w:t xml:space="preserve">2.3 </w:t>
            </w:r>
          </w:p>
        </w:tc>
        <w:tc>
          <w:tcPr>
            <w:tcW w:w="185" w:type="dxa"/>
            <w:tcBorders/>
            <w:shd w:fill="FFFFFF" w:val="clear"/>
            <w:vAlign w:val="bottom"/>
          </w:tcPr>
          <w:p>
            <w:pPr>
              <w:pStyle w:val="TableContents"/>
              <w:spacing w:before="0" w:after="283"/>
              <w:jc w:val="left"/>
              <w:rPr/>
            </w:pPr>
            <w:r>
              <w:rPr/>
              <w:t xml:space="preserve">  </w:t>
            </w:r>
          </w:p>
        </w:tc>
      </w:tr>
      <w:tr>
        <w:trPr/>
        <w:tc>
          <w:tcPr>
            <w:tcW w:w="2167"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3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32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5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2167"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120" w:type="dxa"/>
            <w:tcBorders/>
            <w:shd w:fill="CCEEFF" w:val="clear"/>
            <w:vAlign w:val="bottom"/>
          </w:tcPr>
          <w:p>
            <w:pPr>
              <w:pStyle w:val="TableContents"/>
              <w:spacing w:before="0" w:after="283"/>
              <w:rPr/>
            </w:pPr>
            <w:r>
              <w:rPr/>
              <w:t xml:space="preserve">  </w:t>
            </w:r>
          </w:p>
        </w:tc>
        <w:tc>
          <w:tcPr>
            <w:tcW w:w="382" w:type="dxa"/>
            <w:tcBorders/>
            <w:shd w:fill="CCEEFF" w:val="clear"/>
            <w:vAlign w:val="bottom"/>
          </w:tcPr>
          <w:p>
            <w:pPr>
              <w:pStyle w:val="TableContents"/>
              <w:spacing w:before="0" w:after="283"/>
              <w:jc w:val="left"/>
              <w:rPr/>
            </w:pPr>
            <w:r>
              <w:rPr/>
              <w:t xml:space="preserve">$ </w:t>
            </w:r>
          </w:p>
        </w:tc>
        <w:tc>
          <w:tcPr>
            <w:tcW w:w="1026" w:type="dxa"/>
            <w:tcBorders/>
            <w:shd w:fill="CCEEFF" w:val="clear"/>
            <w:vAlign w:val="bottom"/>
          </w:tcPr>
          <w:p>
            <w:pPr>
              <w:pStyle w:val="TableContents"/>
              <w:spacing w:before="0" w:after="283"/>
              <w:jc w:val="right"/>
              <w:rPr/>
            </w:pPr>
            <w:r>
              <w:rPr/>
              <w:t xml:space="preserve">(4.4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112.6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700" w:type="dxa"/>
            <w:tcBorders/>
            <w:shd w:fill="CCEEFF" w:val="clear"/>
            <w:vAlign w:val="bottom"/>
          </w:tcPr>
          <w:p>
            <w:pPr>
              <w:pStyle w:val="TableContents"/>
              <w:spacing w:before="0" w:after="283"/>
              <w:jc w:val="right"/>
              <w:rPr/>
            </w:pPr>
            <w:r>
              <w:rPr/>
              <w:t xml:space="preserve">108.2 </w:t>
            </w:r>
          </w:p>
        </w:tc>
        <w:tc>
          <w:tcPr>
            <w:tcW w:w="17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328" w:type="dxa"/>
            <w:tcBorders/>
            <w:shd w:fill="CCEEFF" w:val="clear"/>
            <w:vAlign w:val="bottom"/>
          </w:tcPr>
          <w:p>
            <w:pPr>
              <w:pStyle w:val="TableContents"/>
              <w:spacing w:before="0" w:after="283"/>
              <w:jc w:val="left"/>
              <w:rPr/>
            </w:pPr>
            <w:r>
              <w:rPr/>
              <w:t xml:space="preserve">$ </w:t>
            </w:r>
          </w:p>
        </w:tc>
        <w:tc>
          <w:tcPr>
            <w:tcW w:w="1081" w:type="dxa"/>
            <w:tcBorders/>
            <w:shd w:fill="CCEEFF" w:val="clear"/>
            <w:vAlign w:val="bottom"/>
          </w:tcPr>
          <w:p>
            <w:pPr>
              <w:pStyle w:val="TableContents"/>
              <w:spacing w:before="0" w:after="283"/>
              <w:jc w:val="right"/>
              <w:rPr/>
            </w:pPr>
            <w:r>
              <w:rPr/>
              <w:t xml:space="preserve">(18.9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603" w:type="dxa"/>
            <w:tcBorders/>
            <w:shd w:fill="CCEEFF" w:val="clear"/>
            <w:vAlign w:val="bottom"/>
          </w:tcPr>
          <w:p>
            <w:pPr>
              <w:pStyle w:val="TableContents"/>
              <w:spacing w:before="0" w:after="283"/>
              <w:jc w:val="right"/>
              <w:rPr/>
            </w:pPr>
            <w:r>
              <w:rPr/>
              <w:t xml:space="preserve">37.3 </w:t>
            </w:r>
          </w:p>
        </w:tc>
        <w:tc>
          <w:tcPr>
            <w:tcW w:w="17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16" w:type="dxa"/>
            <w:tcBorders/>
            <w:shd w:fill="CCEEFF" w:val="clear"/>
            <w:vAlign w:val="bottom"/>
          </w:tcPr>
          <w:p>
            <w:pPr>
              <w:pStyle w:val="TableContents"/>
              <w:spacing w:before="0" w:after="283"/>
              <w:jc w:val="left"/>
              <w:rPr/>
            </w:pPr>
            <w:r>
              <w:rPr/>
              <w:t xml:space="preserve">$ </w:t>
            </w:r>
          </w:p>
        </w:tc>
        <w:tc>
          <w:tcPr>
            <w:tcW w:w="557" w:type="dxa"/>
            <w:tcBorders/>
            <w:shd w:fill="CCEEFF" w:val="clear"/>
            <w:vAlign w:val="bottom"/>
          </w:tcPr>
          <w:p>
            <w:pPr>
              <w:pStyle w:val="TableContents"/>
              <w:spacing w:before="0" w:after="283"/>
              <w:jc w:val="right"/>
              <w:rPr/>
            </w:pPr>
            <w:r>
              <w:rPr/>
              <w:t xml:space="preserve">18.4 </w:t>
            </w:r>
          </w:p>
        </w:tc>
        <w:tc>
          <w:tcPr>
            <w:tcW w:w="185" w:type="dxa"/>
            <w:tcBorders/>
            <w:shd w:fill="CCEEFF" w:val="clear"/>
            <w:vAlign w:val="bottom"/>
          </w:tcPr>
          <w:p>
            <w:pPr>
              <w:pStyle w:val="TableContents"/>
              <w:spacing w:before="0" w:after="283"/>
              <w:jc w:val="left"/>
              <w:rPr/>
            </w:pPr>
            <w:r>
              <w:rPr/>
              <w:t xml:space="preserve">  </w:t>
            </w:r>
          </w:p>
        </w:tc>
      </w:tr>
      <w:tr>
        <w:trPr/>
        <w:tc>
          <w:tcPr>
            <w:tcW w:w="2167"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3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32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2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5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breakdown of the net mark-to-market impact to earnings between derivatives that do not qualify for hedge accounting and the ineffective portion of cash flow hedges is as follows (in millions, losses designated in brackets):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548"/>
        <w:gridCol w:w="189"/>
        <w:gridCol w:w="439"/>
        <w:gridCol w:w="1463"/>
        <w:gridCol w:w="201"/>
        <w:gridCol w:w="258"/>
        <w:gridCol w:w="381"/>
        <w:gridCol w:w="1520"/>
        <w:gridCol w:w="206"/>
      </w:tblGrid>
      <w:tr>
        <w:trPr/>
        <w:tc>
          <w:tcPr>
            <w:tcW w:w="5548"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439" w:type="dxa"/>
            <w:tcBorders/>
            <w:shd w:fill="FFFFFF" w:val="clear"/>
            <w:vAlign w:val="bottom"/>
          </w:tcPr>
          <w:p>
            <w:pPr>
              <w:pStyle w:val="TableContents"/>
              <w:spacing w:before="0" w:after="283"/>
              <w:jc w:val="right"/>
              <w:rPr/>
            </w:pPr>
            <w:r>
              <w:rPr/>
              <w:t> </w:t>
            </w:r>
          </w:p>
        </w:tc>
        <w:tc>
          <w:tcPr>
            <w:tcW w:w="1463"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left"/>
              <w:rPr/>
            </w:pPr>
            <w:r>
              <w:rPr/>
              <w:t> </w:t>
            </w:r>
          </w:p>
        </w:tc>
        <w:tc>
          <w:tcPr>
            <w:tcW w:w="258" w:type="dxa"/>
            <w:tcBorders/>
            <w:shd w:fill="FFFFFF" w:val="clear"/>
            <w:vAlign w:val="bottom"/>
          </w:tcPr>
          <w:p>
            <w:pPr>
              <w:pStyle w:val="TableContents"/>
              <w:spacing w:before="0" w:after="283"/>
              <w:rPr/>
            </w:pPr>
            <w:r>
              <w:rPr/>
              <w:t> </w:t>
            </w:r>
          </w:p>
        </w:tc>
        <w:tc>
          <w:tcPr>
            <w:tcW w:w="381" w:type="dxa"/>
            <w:tcBorders/>
            <w:shd w:fill="FFFFFF" w:val="clear"/>
            <w:vAlign w:val="bottom"/>
          </w:tcPr>
          <w:p>
            <w:pPr>
              <w:pStyle w:val="TableContents"/>
              <w:spacing w:before="0" w:after="283"/>
              <w:jc w:val="right"/>
              <w:rPr/>
            </w:pPr>
            <w:r>
              <w:rPr/>
              <w:t> </w:t>
            </w:r>
          </w:p>
        </w:tc>
        <w:tc>
          <w:tcPr>
            <w:tcW w:w="1520"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r>
      <w:tr>
        <w:trPr/>
        <w:tc>
          <w:tcPr>
            <w:tcW w:w="5548"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426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For the year ended</w:t>
            </w:r>
            <w:r>
              <w:rPr/>
              <w:t xml:space="preserve"> </w:t>
            </w:r>
          </w:p>
        </w:tc>
        <w:tc>
          <w:tcPr>
            <w:tcW w:w="206" w:type="dxa"/>
            <w:tcBorders/>
            <w:shd w:fill="FFFFFF" w:val="clear"/>
            <w:vAlign w:val="bottom"/>
          </w:tcPr>
          <w:p>
            <w:pPr>
              <w:pStyle w:val="TableContents"/>
              <w:spacing w:before="0" w:after="283"/>
              <w:jc w:val="center"/>
              <w:rPr/>
            </w:pPr>
            <w:r>
              <w:rPr/>
              <w:t xml:space="preserve">  </w:t>
            </w:r>
          </w:p>
        </w:tc>
      </w:tr>
      <w:tr>
        <w:trPr/>
        <w:tc>
          <w:tcPr>
            <w:tcW w:w="5548"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1902" w:type="dxa"/>
            <w:gridSpan w:val="2"/>
            <w:tcBorders/>
            <w:shd w:fill="FFFFFF" w:val="clear"/>
            <w:vAlign w:val="bottom"/>
          </w:tcPr>
          <w:p>
            <w:pPr>
              <w:pStyle w:val="TableContents"/>
              <w:spacing w:before="0" w:after="283"/>
              <w:jc w:val="center"/>
              <w:rPr>
                <w:b/>
              </w:rPr>
            </w:pPr>
            <w:r>
              <w:rPr>
                <w:b/>
              </w:rPr>
              <w:t>December 31,</w:t>
            </w:r>
          </w:p>
        </w:tc>
        <w:tc>
          <w:tcPr>
            <w:tcW w:w="201"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1901" w:type="dxa"/>
            <w:gridSpan w:val="2"/>
            <w:tcBorders/>
            <w:shd w:fill="FFFFFF" w:val="clear"/>
            <w:vAlign w:val="bottom"/>
          </w:tcPr>
          <w:p>
            <w:pPr>
              <w:pStyle w:val="TableContents"/>
              <w:spacing w:before="0" w:after="283"/>
              <w:jc w:val="center"/>
              <w:rPr>
                <w:b/>
              </w:rPr>
            </w:pPr>
            <w:r>
              <w:rPr>
                <w:b/>
              </w:rPr>
              <w:t>December 31,</w:t>
            </w:r>
          </w:p>
        </w:tc>
        <w:tc>
          <w:tcPr>
            <w:tcW w:w="206" w:type="dxa"/>
            <w:tcBorders/>
            <w:shd w:fill="FFFFFF" w:val="clear"/>
            <w:vAlign w:val="bottom"/>
          </w:tcPr>
          <w:p>
            <w:pPr>
              <w:pStyle w:val="TableContents"/>
              <w:spacing w:before="0" w:after="283"/>
              <w:jc w:val="center"/>
              <w:rPr/>
            </w:pPr>
            <w:r>
              <w:rPr/>
              <w:t xml:space="preserve">  </w:t>
            </w:r>
          </w:p>
        </w:tc>
      </w:tr>
      <w:tr>
        <w:trPr/>
        <w:tc>
          <w:tcPr>
            <w:tcW w:w="5548" w:type="dxa"/>
            <w:tcBorders/>
            <w:shd w:fill="FFFFFF" w:val="clear"/>
            <w:vAlign w:val="bottom"/>
          </w:tcPr>
          <w:p>
            <w:pPr>
              <w:pStyle w:val="TableContents"/>
              <w:spacing w:before="0" w:after="283"/>
              <w:jc w:val="center"/>
              <w:rPr/>
            </w:pPr>
            <w:r>
              <w:rPr/>
              <w:t xml:space="preserve">  </w:t>
            </w:r>
          </w:p>
        </w:tc>
        <w:tc>
          <w:tcPr>
            <w:tcW w:w="189" w:type="dxa"/>
            <w:tcBorders/>
            <w:shd w:fill="FFFFFF" w:val="clear"/>
            <w:vAlign w:val="bottom"/>
          </w:tcPr>
          <w:p>
            <w:pPr>
              <w:pStyle w:val="TableContents"/>
              <w:spacing w:before="0" w:after="283"/>
              <w:jc w:val="center"/>
              <w:rPr/>
            </w:pPr>
            <w:r>
              <w:rPr/>
              <w:t xml:space="preserve">  </w:t>
            </w:r>
          </w:p>
        </w:tc>
        <w:tc>
          <w:tcPr>
            <w:tcW w:w="19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1" w:type="dxa"/>
            <w:tcBorders/>
            <w:shd w:fill="FFFFFF" w:val="clear"/>
            <w:vAlign w:val="bottom"/>
          </w:tcPr>
          <w:p>
            <w:pPr>
              <w:pStyle w:val="TableContents"/>
              <w:spacing w:before="0" w:after="283"/>
              <w:jc w:val="center"/>
              <w:rPr/>
            </w:pPr>
            <w:r>
              <w:rPr/>
              <w:t xml:space="preserve">  </w:t>
            </w:r>
          </w:p>
        </w:tc>
        <w:tc>
          <w:tcPr>
            <w:tcW w:w="258" w:type="dxa"/>
            <w:tcBorders/>
            <w:shd w:fill="FFFFFF" w:val="clear"/>
            <w:vAlign w:val="bottom"/>
          </w:tcPr>
          <w:p>
            <w:pPr>
              <w:pStyle w:val="TableContents"/>
              <w:spacing w:before="0" w:after="283"/>
              <w:jc w:val="center"/>
              <w:rPr/>
            </w:pPr>
            <w:r>
              <w:rPr/>
              <w:t xml:space="preserve">  </w:t>
            </w:r>
          </w:p>
        </w:tc>
        <w:tc>
          <w:tcPr>
            <w:tcW w:w="190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206" w:type="dxa"/>
            <w:tcBorders/>
            <w:shd w:fill="FFFFFF" w:val="clear"/>
            <w:vAlign w:val="bottom"/>
          </w:tcPr>
          <w:p>
            <w:pPr>
              <w:pStyle w:val="TableContents"/>
              <w:spacing w:before="0" w:after="283"/>
              <w:jc w:val="center"/>
              <w:rPr/>
            </w:pPr>
            <w:r>
              <w:rPr/>
              <w:t xml:space="preserve">  </w:t>
            </w:r>
          </w:p>
        </w:tc>
      </w:tr>
      <w:tr>
        <w:trPr/>
        <w:tc>
          <w:tcPr>
            <w:tcW w:w="5548" w:type="dxa"/>
            <w:tcBorders/>
            <w:shd w:fill="FFFFFF" w:val="clear"/>
            <w:vAlign w:val="center"/>
          </w:tcPr>
          <w:p>
            <w:pPr>
              <w:pStyle w:val="TableContents"/>
              <w:spacing w:before="0" w:after="283"/>
              <w:rPr/>
            </w:pPr>
            <w:r>
              <w:rPr/>
              <w:t xml:space="preserve">  </w:t>
            </w:r>
          </w:p>
        </w:tc>
        <w:tc>
          <w:tcPr>
            <w:tcW w:w="4657" w:type="dxa"/>
            <w:gridSpan w:val="8"/>
            <w:tcBorders/>
            <w:shd w:fill="FFFFFF" w:val="clear"/>
          </w:tcPr>
          <w:p>
            <w:pPr>
              <w:pStyle w:val="TableContents"/>
              <w:spacing w:before="0" w:after="283"/>
              <w:rPr>
                <w:sz w:val="4"/>
                <w:szCs w:val="4"/>
              </w:rPr>
            </w:pPr>
            <w:r>
              <w:rPr>
                <w:sz w:val="4"/>
                <w:szCs w:val="4"/>
              </w:rPr>
            </w:r>
          </w:p>
        </w:tc>
      </w:tr>
      <w:tr>
        <w:trPr/>
        <w:tc>
          <w:tcPr>
            <w:tcW w:w="5548" w:type="dxa"/>
            <w:tcBorders/>
            <w:shd w:fill="CCEEFF" w:val="clear"/>
            <w:vAlign w:val="bottom"/>
          </w:tcPr>
          <w:p>
            <w:pPr>
              <w:pStyle w:val="TableContents"/>
              <w:spacing w:before="0" w:after="0"/>
              <w:ind w:left="200" w:right="0" w:hanging="200"/>
              <w:jc w:val="left"/>
              <w:rPr>
                <w:sz w:val="17"/>
              </w:rPr>
            </w:pPr>
            <w:r>
              <w:rPr>
                <w:sz w:val="17"/>
              </w:rPr>
              <w:t xml:space="preserve">Derivatives that do not qualify for hedge accounting </w:t>
            </w:r>
          </w:p>
        </w:tc>
        <w:tc>
          <w:tcPr>
            <w:tcW w:w="189" w:type="dxa"/>
            <w:tcBorders/>
            <w:shd w:fill="CCEEFF" w:val="clear"/>
            <w:vAlign w:val="bottom"/>
          </w:tcPr>
          <w:p>
            <w:pPr>
              <w:pStyle w:val="TableContents"/>
              <w:spacing w:before="0" w:after="283"/>
              <w:rPr/>
            </w:pPr>
            <w:r>
              <w:rPr/>
              <w:t xml:space="preserve">  </w:t>
            </w:r>
          </w:p>
        </w:tc>
        <w:tc>
          <w:tcPr>
            <w:tcW w:w="439" w:type="dxa"/>
            <w:tcBorders/>
            <w:shd w:fill="CCEEFF" w:val="clear"/>
            <w:vAlign w:val="bottom"/>
          </w:tcPr>
          <w:p>
            <w:pPr>
              <w:pStyle w:val="TableContents"/>
              <w:spacing w:before="0" w:after="283"/>
              <w:jc w:val="left"/>
              <w:rPr/>
            </w:pPr>
            <w:r>
              <w:rPr/>
              <w:t xml:space="preserve">$ </w:t>
            </w:r>
          </w:p>
        </w:tc>
        <w:tc>
          <w:tcPr>
            <w:tcW w:w="1463" w:type="dxa"/>
            <w:tcBorders/>
            <w:shd w:fill="CCEEFF" w:val="clear"/>
            <w:vAlign w:val="bottom"/>
          </w:tcPr>
          <w:p>
            <w:pPr>
              <w:pStyle w:val="TableContents"/>
              <w:spacing w:before="0" w:after="283"/>
              <w:jc w:val="right"/>
              <w:rPr/>
            </w:pPr>
            <w:r>
              <w:rPr/>
              <w:t xml:space="preserve">(5.6 </w:t>
            </w:r>
          </w:p>
        </w:tc>
        <w:tc>
          <w:tcPr>
            <w:tcW w:w="20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381" w:type="dxa"/>
            <w:tcBorders/>
            <w:shd w:fill="CCEEFF" w:val="clear"/>
            <w:vAlign w:val="bottom"/>
          </w:tcPr>
          <w:p>
            <w:pPr>
              <w:pStyle w:val="TableContents"/>
              <w:spacing w:before="0" w:after="283"/>
              <w:jc w:val="left"/>
              <w:rPr/>
            </w:pPr>
            <w:r>
              <w:rPr/>
              <w:t xml:space="preserve">$ </w:t>
            </w:r>
          </w:p>
        </w:tc>
        <w:tc>
          <w:tcPr>
            <w:tcW w:w="1520" w:type="dxa"/>
            <w:tcBorders/>
            <w:shd w:fill="CCEEFF" w:val="clear"/>
            <w:vAlign w:val="bottom"/>
          </w:tcPr>
          <w:p>
            <w:pPr>
              <w:pStyle w:val="TableContents"/>
              <w:spacing w:before="0" w:after="283"/>
              <w:jc w:val="right"/>
              <w:rPr/>
            </w:pPr>
            <w:r>
              <w:rPr/>
              <w:t xml:space="preserve">(18.1 </w:t>
            </w:r>
          </w:p>
        </w:tc>
        <w:tc>
          <w:tcPr>
            <w:tcW w:w="206" w:type="dxa"/>
            <w:tcBorders/>
            <w:shd w:fill="CCEEFF" w:val="clear"/>
            <w:vAlign w:val="bottom"/>
          </w:tcPr>
          <w:p>
            <w:pPr>
              <w:pStyle w:val="TableContents"/>
              <w:spacing w:before="0" w:after="283"/>
              <w:jc w:val="left"/>
              <w:rPr/>
            </w:pPr>
            <w:r>
              <w:rPr/>
              <w:t xml:space="preserve">) </w:t>
            </w:r>
          </w:p>
        </w:tc>
      </w:tr>
      <w:tr>
        <w:trPr/>
        <w:tc>
          <w:tcPr>
            <w:tcW w:w="5548" w:type="dxa"/>
            <w:tcBorders/>
            <w:shd w:fill="FFFFFF" w:val="clear"/>
            <w:vAlign w:val="bottom"/>
          </w:tcPr>
          <w:p>
            <w:pPr>
              <w:pStyle w:val="TableContents"/>
              <w:spacing w:before="0" w:after="0"/>
              <w:ind w:left="200" w:right="0" w:hanging="200"/>
              <w:jc w:val="left"/>
              <w:rPr>
                <w:sz w:val="17"/>
              </w:rPr>
            </w:pPr>
            <w:r>
              <w:rPr>
                <w:sz w:val="17"/>
              </w:rPr>
              <w:t xml:space="preserve">Ineffective portion of cash flow hedges </w:t>
            </w:r>
          </w:p>
        </w:tc>
        <w:tc>
          <w:tcPr>
            <w:tcW w:w="189" w:type="dxa"/>
            <w:tcBorders/>
            <w:shd w:fill="FFFFFF" w:val="clear"/>
            <w:vAlign w:val="bottom"/>
          </w:tcPr>
          <w:p>
            <w:pPr>
              <w:pStyle w:val="TableContents"/>
              <w:spacing w:before="0" w:after="283"/>
              <w:rPr/>
            </w:pPr>
            <w:r>
              <w:rPr/>
              <w:t xml:space="preserve">  </w:t>
            </w:r>
          </w:p>
        </w:tc>
        <w:tc>
          <w:tcPr>
            <w:tcW w:w="439" w:type="dxa"/>
            <w:tcBorders/>
            <w:shd w:fill="FFFFFF" w:val="clear"/>
            <w:vAlign w:val="bottom"/>
          </w:tcPr>
          <w:p>
            <w:pPr>
              <w:pStyle w:val="TableContents"/>
              <w:spacing w:before="0" w:after="283"/>
              <w:jc w:val="left"/>
              <w:rPr/>
            </w:pPr>
            <w:r>
              <w:rPr/>
              <w:t xml:space="preserve">  </w:t>
            </w:r>
          </w:p>
        </w:tc>
        <w:tc>
          <w:tcPr>
            <w:tcW w:w="1463" w:type="dxa"/>
            <w:tcBorders/>
            <w:shd w:fill="FFFFFF" w:val="clear"/>
            <w:vAlign w:val="bottom"/>
          </w:tcPr>
          <w:p>
            <w:pPr>
              <w:pStyle w:val="TableContents"/>
              <w:spacing w:before="0" w:after="283"/>
              <w:jc w:val="right"/>
              <w:rPr/>
            </w:pPr>
            <w:r>
              <w:rPr/>
              <w:t xml:space="preserve">1.2 </w:t>
            </w:r>
          </w:p>
        </w:tc>
        <w:tc>
          <w:tcPr>
            <w:tcW w:w="201" w:type="dxa"/>
            <w:tcBorders/>
            <w:shd w:fill="FFFFFF" w:val="clear"/>
            <w:vAlign w:val="bottom"/>
          </w:tcPr>
          <w:p>
            <w:pPr>
              <w:pStyle w:val="TableContents"/>
              <w:spacing w:before="0" w:after="283"/>
              <w:jc w:val="left"/>
              <w:rPr/>
            </w:pPr>
            <w:r>
              <w:rPr/>
              <w:t xml:space="preserve">  </w:t>
            </w:r>
          </w:p>
        </w:tc>
        <w:tc>
          <w:tcPr>
            <w:tcW w:w="258" w:type="dxa"/>
            <w:tcBorders/>
            <w:shd w:fill="FFFFFF" w:val="clear"/>
            <w:vAlign w:val="bottom"/>
          </w:tcPr>
          <w:p>
            <w:pPr>
              <w:pStyle w:val="TableContents"/>
              <w:spacing w:before="0" w:after="283"/>
              <w:rPr/>
            </w:pPr>
            <w:r>
              <w:rPr/>
              <w:t xml:space="preserve">  </w:t>
            </w:r>
          </w:p>
        </w:tc>
        <w:tc>
          <w:tcPr>
            <w:tcW w:w="381" w:type="dxa"/>
            <w:tcBorders/>
            <w:shd w:fill="FFFFFF" w:val="clear"/>
            <w:vAlign w:val="bottom"/>
          </w:tcPr>
          <w:p>
            <w:pPr>
              <w:pStyle w:val="TableContents"/>
              <w:spacing w:before="0" w:after="283"/>
              <w:jc w:val="left"/>
              <w:rPr/>
            </w:pPr>
            <w:r>
              <w:rPr/>
              <w:t xml:space="preserve">  </w:t>
            </w:r>
          </w:p>
        </w:tc>
        <w:tc>
          <w:tcPr>
            <w:tcW w:w="1520" w:type="dxa"/>
            <w:tcBorders/>
            <w:shd w:fill="FFFFFF" w:val="clear"/>
            <w:vAlign w:val="bottom"/>
          </w:tcPr>
          <w:p>
            <w:pPr>
              <w:pStyle w:val="TableContents"/>
              <w:spacing w:before="0" w:after="283"/>
              <w:jc w:val="right"/>
              <w:rPr/>
            </w:pPr>
            <w:r>
              <w:rPr/>
              <w:t xml:space="preserve">(0.8 </w:t>
            </w:r>
          </w:p>
        </w:tc>
        <w:tc>
          <w:tcPr>
            <w:tcW w:w="206" w:type="dxa"/>
            <w:tcBorders/>
            <w:shd w:fill="FFFFFF" w:val="clear"/>
            <w:vAlign w:val="bottom"/>
          </w:tcPr>
          <w:p>
            <w:pPr>
              <w:pStyle w:val="TableContents"/>
              <w:spacing w:before="0" w:after="283"/>
              <w:jc w:val="left"/>
              <w:rPr/>
            </w:pPr>
            <w:r>
              <w:rPr/>
              <w:t xml:space="preserve">) </w:t>
            </w:r>
          </w:p>
        </w:tc>
      </w:tr>
      <w:tr>
        <w:trPr/>
        <w:tc>
          <w:tcPr>
            <w:tcW w:w="5548"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4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3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2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r>
      <w:tr>
        <w:trPr/>
        <w:tc>
          <w:tcPr>
            <w:tcW w:w="5548"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189" w:type="dxa"/>
            <w:tcBorders/>
            <w:shd w:fill="CCEEFF" w:val="clear"/>
            <w:vAlign w:val="bottom"/>
          </w:tcPr>
          <w:p>
            <w:pPr>
              <w:pStyle w:val="TableContents"/>
              <w:spacing w:before="0" w:after="283"/>
              <w:rPr/>
            </w:pPr>
            <w:r>
              <w:rPr/>
              <w:t xml:space="preserve">  </w:t>
            </w:r>
          </w:p>
        </w:tc>
        <w:tc>
          <w:tcPr>
            <w:tcW w:w="439" w:type="dxa"/>
            <w:tcBorders/>
            <w:shd w:fill="CCEEFF" w:val="clear"/>
            <w:vAlign w:val="bottom"/>
          </w:tcPr>
          <w:p>
            <w:pPr>
              <w:pStyle w:val="TableContents"/>
              <w:spacing w:before="0" w:after="283"/>
              <w:jc w:val="left"/>
              <w:rPr/>
            </w:pPr>
            <w:r>
              <w:rPr/>
              <w:t xml:space="preserve">$ </w:t>
            </w:r>
          </w:p>
        </w:tc>
        <w:tc>
          <w:tcPr>
            <w:tcW w:w="1463" w:type="dxa"/>
            <w:tcBorders/>
            <w:shd w:fill="CCEEFF" w:val="clear"/>
            <w:vAlign w:val="bottom"/>
          </w:tcPr>
          <w:p>
            <w:pPr>
              <w:pStyle w:val="TableContents"/>
              <w:spacing w:before="0" w:after="283"/>
              <w:jc w:val="right"/>
              <w:rPr/>
            </w:pPr>
            <w:r>
              <w:rPr/>
              <w:t xml:space="preserve">(4.4 </w:t>
            </w:r>
          </w:p>
        </w:tc>
        <w:tc>
          <w:tcPr>
            <w:tcW w:w="201" w:type="dxa"/>
            <w:tcBorders/>
            <w:shd w:fill="CCEEFF" w:val="clear"/>
            <w:vAlign w:val="bottom"/>
          </w:tcPr>
          <w:p>
            <w:pPr>
              <w:pStyle w:val="TableContents"/>
              <w:spacing w:before="0" w:after="283"/>
              <w:jc w:val="left"/>
              <w:rPr/>
            </w:pPr>
            <w:r>
              <w:rPr/>
              <w:t xml:space="preserve">) </w:t>
            </w:r>
          </w:p>
        </w:tc>
        <w:tc>
          <w:tcPr>
            <w:tcW w:w="258" w:type="dxa"/>
            <w:tcBorders/>
            <w:shd w:fill="CCEEFF" w:val="clear"/>
            <w:vAlign w:val="bottom"/>
          </w:tcPr>
          <w:p>
            <w:pPr>
              <w:pStyle w:val="TableContents"/>
              <w:spacing w:before="0" w:after="283"/>
              <w:rPr/>
            </w:pPr>
            <w:r>
              <w:rPr/>
              <w:t xml:space="preserve">  </w:t>
            </w:r>
          </w:p>
        </w:tc>
        <w:tc>
          <w:tcPr>
            <w:tcW w:w="381" w:type="dxa"/>
            <w:tcBorders/>
            <w:shd w:fill="CCEEFF" w:val="clear"/>
            <w:vAlign w:val="bottom"/>
          </w:tcPr>
          <w:p>
            <w:pPr>
              <w:pStyle w:val="TableContents"/>
              <w:spacing w:before="0" w:after="283"/>
              <w:jc w:val="left"/>
              <w:rPr/>
            </w:pPr>
            <w:r>
              <w:rPr/>
              <w:t xml:space="preserve">$ </w:t>
            </w:r>
          </w:p>
        </w:tc>
        <w:tc>
          <w:tcPr>
            <w:tcW w:w="1520" w:type="dxa"/>
            <w:tcBorders/>
            <w:shd w:fill="CCEEFF" w:val="clear"/>
            <w:vAlign w:val="bottom"/>
          </w:tcPr>
          <w:p>
            <w:pPr>
              <w:pStyle w:val="TableContents"/>
              <w:spacing w:before="0" w:after="283"/>
              <w:jc w:val="right"/>
              <w:rPr/>
            </w:pPr>
            <w:r>
              <w:rPr/>
              <w:t xml:space="preserve">(18.9 </w:t>
            </w:r>
          </w:p>
        </w:tc>
        <w:tc>
          <w:tcPr>
            <w:tcW w:w="206" w:type="dxa"/>
            <w:tcBorders/>
            <w:shd w:fill="CCEEFF" w:val="clear"/>
            <w:vAlign w:val="bottom"/>
          </w:tcPr>
          <w:p>
            <w:pPr>
              <w:pStyle w:val="TableContents"/>
              <w:spacing w:before="0" w:after="283"/>
              <w:jc w:val="left"/>
              <w:rPr/>
            </w:pPr>
            <w:r>
              <w:rPr/>
              <w:t xml:space="preserve">) </w:t>
            </w:r>
          </w:p>
        </w:tc>
      </w:tr>
      <w:tr>
        <w:trPr/>
        <w:tc>
          <w:tcPr>
            <w:tcW w:w="5548" w:type="dxa"/>
            <w:tcBorders/>
            <w:shd w:fill="FFFFFF" w:val="cle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c>
          <w:tcPr>
            <w:tcW w:w="4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rPr/>
            </w:pPr>
            <w:r>
              <w:rPr/>
              <w:t xml:space="preserve">  </w:t>
            </w:r>
          </w:p>
        </w:tc>
        <w:tc>
          <w:tcPr>
            <w:tcW w:w="258" w:type="dxa"/>
            <w:tcBorders/>
            <w:shd w:fill="FFFFFF" w:val="clear"/>
            <w:vAlign w:val="bottom"/>
          </w:tcPr>
          <w:p>
            <w:pPr>
              <w:pStyle w:val="TableContents"/>
              <w:spacing w:before="0" w:after="283"/>
              <w:rPr/>
            </w:pPr>
            <w:r>
              <w:rPr/>
              <w:t xml:space="preserve">  </w:t>
            </w:r>
          </w:p>
        </w:tc>
        <w:tc>
          <w:tcPr>
            <w:tcW w:w="3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2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majority of the derivatives that do not qualify for hedge accounting treatment are related to activities associated with our storage assets as these contracts will not necessarily result in physical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the net assets and liabilities on our consolidated balance sheet that are related to the fair value of our open derivative positions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571"/>
        <w:gridCol w:w="210"/>
        <w:gridCol w:w="202"/>
        <w:gridCol w:w="682"/>
        <w:gridCol w:w="176"/>
        <w:gridCol w:w="297"/>
        <w:gridCol w:w="202"/>
        <w:gridCol w:w="682"/>
        <w:gridCol w:w="183"/>
      </w:tblGrid>
      <w:tr>
        <w:trPr/>
        <w:tc>
          <w:tcPr>
            <w:tcW w:w="7571"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97"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82"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r>
      <w:tr>
        <w:trPr/>
        <w:tc>
          <w:tcPr>
            <w:tcW w:w="7571"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224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7571" w:type="dxa"/>
            <w:tcBorders/>
            <w:shd w:fill="FFFFFF" w:val="clear"/>
            <w:vAlign w:val="bottom"/>
          </w:tcPr>
          <w:p>
            <w:pPr>
              <w:pStyle w:val="TableContents"/>
              <w:spacing w:before="0" w:after="283"/>
              <w:jc w:val="center"/>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8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97" w:type="dxa"/>
            <w:tcBorders/>
            <w:shd w:fill="FFFFFF" w:val="clear"/>
            <w:vAlign w:val="bottom"/>
          </w:tcPr>
          <w:p>
            <w:pPr>
              <w:pStyle w:val="TableContents"/>
              <w:spacing w:before="0" w:after="283"/>
              <w:jc w:val="center"/>
              <w:rPr/>
            </w:pPr>
            <w:r>
              <w:rPr/>
              <w:t xml:space="preserve">  </w:t>
            </w:r>
          </w:p>
        </w:tc>
        <w:tc>
          <w:tcPr>
            <w:tcW w:w="8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7571" w:type="dxa"/>
            <w:tcBorders/>
            <w:shd w:fill="FFFFFF" w:val="clear"/>
            <w:vAlign w:val="center"/>
          </w:tcPr>
          <w:p>
            <w:pPr>
              <w:pStyle w:val="TableContents"/>
              <w:spacing w:before="0" w:after="283"/>
              <w:rPr/>
            </w:pPr>
            <w:r>
              <w:rPr/>
              <w:t xml:space="preserve">  </w:t>
            </w:r>
          </w:p>
        </w:tc>
        <w:tc>
          <w:tcPr>
            <w:tcW w:w="2634" w:type="dxa"/>
            <w:gridSpan w:val="8"/>
            <w:tcBorders/>
            <w:shd w:fill="FFFFFF" w:val="clear"/>
          </w:tcPr>
          <w:p>
            <w:pPr>
              <w:pStyle w:val="TableContents"/>
              <w:spacing w:before="0" w:after="283"/>
              <w:rPr>
                <w:sz w:val="4"/>
                <w:szCs w:val="4"/>
              </w:rPr>
            </w:pPr>
            <w:r>
              <w:rPr>
                <w:sz w:val="4"/>
                <w:szCs w:val="4"/>
              </w:rPr>
            </w:r>
          </w:p>
        </w:tc>
      </w:tr>
      <w:tr>
        <w:trPr/>
        <w:tc>
          <w:tcPr>
            <w:tcW w:w="7571" w:type="dxa"/>
            <w:tcBorders/>
            <w:shd w:fill="CCEEFF" w:val="clear"/>
            <w:vAlign w:val="bottom"/>
          </w:tcPr>
          <w:p>
            <w:pPr>
              <w:pStyle w:val="TableContents"/>
              <w:spacing w:before="0" w:after="0"/>
              <w:ind w:left="200" w:right="0" w:hanging="200"/>
              <w:jc w:val="left"/>
              <w:rPr>
                <w:sz w:val="17"/>
              </w:rPr>
            </w:pPr>
            <w:r>
              <w:rPr>
                <w:sz w:val="17"/>
              </w:rPr>
              <w:t xml:space="preserve">Other current assets </w:t>
            </w:r>
          </w:p>
        </w:tc>
        <w:tc>
          <w:tcPr>
            <w:tcW w:w="21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55.2 </w:t>
            </w:r>
          </w:p>
        </w:tc>
        <w:tc>
          <w:tcPr>
            <w:tcW w:w="176"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45.7 </w:t>
            </w:r>
          </w:p>
        </w:tc>
        <w:tc>
          <w:tcPr>
            <w:tcW w:w="183" w:type="dxa"/>
            <w:tcBorders/>
            <w:shd w:fill="CCEEFF" w:val="clear"/>
            <w:vAlign w:val="bottom"/>
          </w:tcPr>
          <w:p>
            <w:pPr>
              <w:pStyle w:val="TableContents"/>
              <w:spacing w:before="0" w:after="283"/>
              <w:jc w:val="left"/>
              <w:rPr/>
            </w:pPr>
            <w:r>
              <w:rPr/>
              <w:t xml:space="preserve">  </w:t>
            </w:r>
          </w:p>
        </w:tc>
      </w:tr>
      <w:tr>
        <w:trPr/>
        <w:tc>
          <w:tcPr>
            <w:tcW w:w="7571" w:type="dxa"/>
            <w:tcBorders/>
            <w:shd w:fill="FFFFFF" w:val="clear"/>
            <w:vAlign w:val="bottom"/>
          </w:tcPr>
          <w:p>
            <w:pPr>
              <w:pStyle w:val="TableContents"/>
              <w:spacing w:before="0" w:after="0"/>
              <w:ind w:left="200" w:right="0" w:hanging="200"/>
              <w:jc w:val="left"/>
              <w:rPr>
                <w:sz w:val="17"/>
              </w:rPr>
            </w:pPr>
            <w:r>
              <w:rPr>
                <w:sz w:val="17"/>
              </w:rPr>
              <w:t xml:space="preserve">Other long-term assets </w:t>
            </w:r>
          </w:p>
        </w:tc>
        <w:tc>
          <w:tcPr>
            <w:tcW w:w="21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9.0 </w:t>
            </w:r>
          </w:p>
        </w:tc>
        <w:tc>
          <w:tcPr>
            <w:tcW w:w="176"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5.5 </w:t>
            </w:r>
          </w:p>
        </w:tc>
        <w:tc>
          <w:tcPr>
            <w:tcW w:w="183" w:type="dxa"/>
            <w:tcBorders/>
            <w:shd w:fill="FFFFFF" w:val="clear"/>
            <w:vAlign w:val="bottom"/>
          </w:tcPr>
          <w:p>
            <w:pPr>
              <w:pStyle w:val="TableContents"/>
              <w:spacing w:before="0" w:after="283"/>
              <w:jc w:val="left"/>
              <w:rPr/>
            </w:pPr>
            <w:r>
              <w:rPr/>
              <w:t xml:space="preserve">  </w:t>
            </w:r>
          </w:p>
        </w:tc>
      </w:tr>
      <w:tr>
        <w:trPr/>
        <w:tc>
          <w:tcPr>
            <w:tcW w:w="7571" w:type="dxa"/>
            <w:tcBorders/>
            <w:shd w:fill="CCEEFF" w:val="clear"/>
            <w:vAlign w:val="bottom"/>
          </w:tcPr>
          <w:p>
            <w:pPr>
              <w:pStyle w:val="TableContents"/>
              <w:spacing w:before="0" w:after="0"/>
              <w:ind w:left="200" w:right="0" w:hanging="200"/>
              <w:jc w:val="left"/>
              <w:rPr>
                <w:sz w:val="17"/>
              </w:rPr>
            </w:pPr>
            <w:r>
              <w:rPr>
                <w:sz w:val="17"/>
              </w:rPr>
              <w:t xml:space="preserve">Other current liabilities </w:t>
            </w:r>
          </w:p>
        </w:tc>
        <w:tc>
          <w:tcPr>
            <w:tcW w:w="21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(77.3 </w:t>
            </w:r>
          </w:p>
        </w:tc>
        <w:tc>
          <w:tcPr>
            <w:tcW w:w="176"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(72.5 </w:t>
            </w:r>
          </w:p>
        </w:tc>
        <w:tc>
          <w:tcPr>
            <w:tcW w:w="183" w:type="dxa"/>
            <w:tcBorders/>
            <w:shd w:fill="CCEEFF" w:val="clear"/>
            <w:vAlign w:val="bottom"/>
          </w:tcPr>
          <w:p>
            <w:pPr>
              <w:pStyle w:val="TableContents"/>
              <w:spacing w:before="0" w:after="283"/>
              <w:jc w:val="left"/>
              <w:rPr/>
            </w:pPr>
            <w:r>
              <w:rPr/>
              <w:t xml:space="preserve">) </w:t>
            </w:r>
          </w:p>
        </w:tc>
      </w:tr>
      <w:tr>
        <w:trPr/>
        <w:tc>
          <w:tcPr>
            <w:tcW w:w="7571" w:type="dxa"/>
            <w:tcBorders/>
            <w:shd w:fill="FFFFFF" w:val="clear"/>
            <w:vAlign w:val="bottom"/>
          </w:tcPr>
          <w:p>
            <w:pPr>
              <w:pStyle w:val="TableContents"/>
              <w:spacing w:before="0" w:after="0"/>
              <w:ind w:left="200" w:right="0" w:hanging="200"/>
              <w:jc w:val="left"/>
              <w:rPr>
                <w:sz w:val="17"/>
              </w:rPr>
            </w:pPr>
            <w:r>
              <w:rPr>
                <w:sz w:val="17"/>
              </w:rPr>
              <w:t xml:space="preserve">Other long-term liabilities and deferred credits </w:t>
            </w:r>
          </w:p>
        </w:tc>
        <w:tc>
          <w:tcPr>
            <w:tcW w:w="21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(21.4 </w:t>
            </w:r>
          </w:p>
        </w:tc>
        <w:tc>
          <w:tcPr>
            <w:tcW w:w="176"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82" w:type="dxa"/>
            <w:tcBorders/>
            <w:shd w:fill="FFFFFF" w:val="clear"/>
            <w:vAlign w:val="bottom"/>
          </w:tcPr>
          <w:p>
            <w:pPr>
              <w:pStyle w:val="TableContents"/>
              <w:spacing w:before="0" w:after="283"/>
              <w:jc w:val="right"/>
              <w:rPr/>
            </w:pPr>
            <w:r>
              <w:rPr/>
              <w:t xml:space="preserve">(6.5 </w:t>
            </w:r>
          </w:p>
        </w:tc>
        <w:tc>
          <w:tcPr>
            <w:tcW w:w="183" w:type="dxa"/>
            <w:tcBorders/>
            <w:shd w:fill="FFFFFF" w:val="clear"/>
            <w:vAlign w:val="bottom"/>
          </w:tcPr>
          <w:p>
            <w:pPr>
              <w:pStyle w:val="TableContents"/>
              <w:spacing w:before="0" w:after="283"/>
              <w:jc w:val="left"/>
              <w:rPr/>
            </w:pPr>
            <w:r>
              <w:rPr/>
              <w:t xml:space="preserve">) </w:t>
            </w:r>
          </w:p>
        </w:tc>
      </w:tr>
      <w:tr>
        <w:trPr/>
        <w:tc>
          <w:tcPr>
            <w:tcW w:w="7571"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7571" w:type="dxa"/>
            <w:tcBorders/>
            <w:shd w:fill="CCEEFF" w:val="clear"/>
            <w:vAlign w:val="bottom"/>
          </w:tcPr>
          <w:p>
            <w:pPr>
              <w:pStyle w:val="TableContents"/>
              <w:spacing w:before="0" w:after="0"/>
              <w:ind w:left="200" w:right="0" w:hanging="200"/>
              <w:jc w:val="left"/>
              <w:rPr>
                <w:sz w:val="17"/>
              </w:rPr>
            </w:pPr>
            <w:r>
              <w:rPr>
                <w:sz w:val="17"/>
              </w:rPr>
              <w:t xml:space="preserve">Net asset (liability) </w:t>
            </w:r>
          </w:p>
        </w:tc>
        <w:tc>
          <w:tcPr>
            <w:tcW w:w="21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(34.5 </w:t>
            </w:r>
          </w:p>
        </w:tc>
        <w:tc>
          <w:tcPr>
            <w:tcW w:w="176"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82" w:type="dxa"/>
            <w:tcBorders/>
            <w:shd w:fill="CCEEFF" w:val="clear"/>
            <w:vAlign w:val="bottom"/>
          </w:tcPr>
          <w:p>
            <w:pPr>
              <w:pStyle w:val="TableContents"/>
              <w:spacing w:before="0" w:after="283"/>
              <w:jc w:val="right"/>
              <w:rPr/>
            </w:pPr>
            <w:r>
              <w:rPr/>
              <w:t xml:space="preserve">(27.8 </w:t>
            </w:r>
          </w:p>
        </w:tc>
        <w:tc>
          <w:tcPr>
            <w:tcW w:w="183" w:type="dxa"/>
            <w:tcBorders/>
            <w:shd w:fill="CCEEFF" w:val="clear"/>
            <w:vAlign w:val="bottom"/>
          </w:tcPr>
          <w:p>
            <w:pPr>
              <w:pStyle w:val="TableContents"/>
              <w:spacing w:before="0" w:after="283"/>
              <w:jc w:val="left"/>
              <w:rPr/>
            </w:pPr>
            <w:r>
              <w:rPr/>
              <w:t xml:space="preserve">) </w:t>
            </w:r>
          </w:p>
        </w:tc>
      </w:tr>
      <w:tr>
        <w:trPr/>
        <w:tc>
          <w:tcPr>
            <w:tcW w:w="7571"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net liability related to the fair value of our open derivative positions consists of unrealized gains/losses recognized in earnings and unrealized gains/losses deferred to AOCI as follows, by category (in millions, losses designated in brackets):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341"/>
        <w:gridCol w:w="127"/>
        <w:gridCol w:w="253"/>
        <w:gridCol w:w="776"/>
        <w:gridCol w:w="170"/>
        <w:gridCol w:w="165"/>
        <w:gridCol w:w="260"/>
        <w:gridCol w:w="795"/>
        <w:gridCol w:w="170"/>
        <w:gridCol w:w="165"/>
        <w:gridCol w:w="208"/>
        <w:gridCol w:w="645"/>
        <w:gridCol w:w="170"/>
        <w:gridCol w:w="165"/>
        <w:gridCol w:w="253"/>
        <w:gridCol w:w="776"/>
        <w:gridCol w:w="170"/>
        <w:gridCol w:w="165"/>
        <w:gridCol w:w="260"/>
        <w:gridCol w:w="795"/>
        <w:gridCol w:w="170"/>
        <w:gridCol w:w="165"/>
        <w:gridCol w:w="208"/>
        <w:gridCol w:w="645"/>
        <w:gridCol w:w="188"/>
      </w:tblGrid>
      <w:tr>
        <w:trPr/>
        <w:tc>
          <w:tcPr>
            <w:tcW w:w="234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right"/>
              <w:rPr/>
            </w:pPr>
            <w:r>
              <w:rPr/>
              <w:t> </w:t>
            </w:r>
          </w:p>
        </w:tc>
        <w:tc>
          <w:tcPr>
            <w:tcW w:w="776"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165"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79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165"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pPr>
            <w:r>
              <w:rPr/>
              <w:t> </w:t>
            </w:r>
          </w:p>
        </w:tc>
        <w:tc>
          <w:tcPr>
            <w:tcW w:w="64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165"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right"/>
              <w:rPr/>
            </w:pPr>
            <w:r>
              <w:rPr/>
              <w:t> </w:t>
            </w:r>
          </w:p>
        </w:tc>
        <w:tc>
          <w:tcPr>
            <w:tcW w:w="776"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165"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jc w:val="right"/>
              <w:rPr/>
            </w:pPr>
            <w:r>
              <w:rPr/>
              <w:t> </w:t>
            </w:r>
          </w:p>
        </w:tc>
        <w:tc>
          <w:tcPr>
            <w:tcW w:w="795" w:type="dxa"/>
            <w:tcBorders/>
            <w:shd w:fill="FFFFFF" w:val="clear"/>
            <w:vAlign w:val="bottom"/>
          </w:tcPr>
          <w:p>
            <w:pPr>
              <w:pStyle w:val="TableContents"/>
              <w:spacing w:before="0" w:after="283"/>
              <w:jc w:val="right"/>
              <w:rPr/>
            </w:pPr>
            <w:r>
              <w:rPr/>
              <w:t> </w:t>
            </w:r>
          </w:p>
        </w:tc>
        <w:tc>
          <w:tcPr>
            <w:tcW w:w="170" w:type="dxa"/>
            <w:tcBorders/>
            <w:shd w:fill="FFFFFF" w:val="clear"/>
            <w:vAlign w:val="bottom"/>
          </w:tcPr>
          <w:p>
            <w:pPr>
              <w:pStyle w:val="TableContents"/>
              <w:spacing w:before="0" w:after="283"/>
              <w:jc w:val="left"/>
              <w:rPr/>
            </w:pPr>
            <w:r>
              <w:rPr/>
              <w:t> </w:t>
            </w:r>
          </w:p>
        </w:tc>
        <w:tc>
          <w:tcPr>
            <w:tcW w:w="165"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pPr>
            <w:r>
              <w:rPr/>
              <w:t> </w:t>
            </w:r>
          </w:p>
        </w:tc>
        <w:tc>
          <w:tcPr>
            <w:tcW w:w="645" w:type="dxa"/>
            <w:tcBorders/>
            <w:shd w:fill="FFFFFF" w:val="clear"/>
            <w:vAlign w:val="bottom"/>
          </w:tcPr>
          <w:p>
            <w:pPr>
              <w:pStyle w:val="TableContents"/>
              <w:spacing w:before="0" w:after="283"/>
              <w:jc w:val="right"/>
              <w:rPr/>
            </w:pPr>
            <w:r>
              <w:rPr/>
              <w:t> </w:t>
            </w:r>
          </w:p>
        </w:tc>
        <w:tc>
          <w:tcPr>
            <w:tcW w:w="188" w:type="dxa"/>
            <w:tcBorders/>
            <w:shd w:fill="FFFFFF" w:val="clear"/>
            <w:vAlign w:val="bottom"/>
          </w:tcPr>
          <w:p>
            <w:pPr>
              <w:pStyle w:val="TableContents"/>
              <w:spacing w:before="0" w:after="283"/>
              <w:jc w:val="left"/>
              <w:rPr/>
            </w:pPr>
            <w:r>
              <w:rPr/>
              <w:t> </w:t>
            </w:r>
          </w:p>
        </w:tc>
      </w:tr>
      <w:tr>
        <w:trPr/>
        <w:tc>
          <w:tcPr>
            <w:tcW w:w="2341"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3607"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3607"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2341"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1029" w:type="dxa"/>
            <w:gridSpan w:val="2"/>
            <w:tcBorders/>
            <w:shd w:fill="FFFFFF" w:val="clear"/>
            <w:vAlign w:val="bottom"/>
          </w:tcPr>
          <w:p>
            <w:pPr>
              <w:pStyle w:val="TableContents"/>
              <w:spacing w:before="0" w:after="283"/>
              <w:jc w:val="center"/>
              <w:rPr>
                <w:b/>
              </w:rPr>
            </w:pPr>
            <w:r>
              <w:rPr>
                <w:b/>
              </w:rPr>
              <w:t>Net asset</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55" w:type="dxa"/>
            <w:gridSpan w:val="2"/>
            <w:tcBorders/>
            <w:shd w:fill="FFFFFF" w:val="clear"/>
            <w:vAlign w:val="bottom"/>
          </w:tcPr>
          <w:p>
            <w:pPr>
              <w:pStyle w:val="TableContents"/>
              <w:spacing w:before="0" w:after="283"/>
              <w:jc w:val="center"/>
              <w:rPr/>
            </w:pP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853" w:type="dxa"/>
            <w:gridSpan w:val="2"/>
            <w:tcBorders/>
            <w:shd w:fill="FFFFFF" w:val="clear"/>
            <w:vAlign w:val="bottom"/>
          </w:tcPr>
          <w:p>
            <w:pPr>
              <w:pStyle w:val="TableContents"/>
              <w:spacing w:before="0" w:after="283"/>
              <w:jc w:val="center"/>
              <w:rPr/>
            </w:pP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29" w:type="dxa"/>
            <w:gridSpan w:val="2"/>
            <w:tcBorders/>
            <w:shd w:fill="FFFFFF" w:val="clear"/>
            <w:vAlign w:val="bottom"/>
          </w:tcPr>
          <w:p>
            <w:pPr>
              <w:pStyle w:val="TableContents"/>
              <w:spacing w:before="0" w:after="283"/>
              <w:jc w:val="center"/>
              <w:rPr>
                <w:b/>
              </w:rPr>
            </w:pPr>
            <w:r>
              <w:rPr>
                <w:b/>
              </w:rPr>
              <w:t>Net asset</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55" w:type="dxa"/>
            <w:gridSpan w:val="2"/>
            <w:tcBorders/>
            <w:shd w:fill="FFFFFF" w:val="clear"/>
            <w:vAlign w:val="bottom"/>
          </w:tcPr>
          <w:p>
            <w:pPr>
              <w:pStyle w:val="TableContents"/>
              <w:spacing w:before="0" w:after="283"/>
              <w:jc w:val="center"/>
              <w:rPr/>
            </w:pP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853" w:type="dxa"/>
            <w:gridSpan w:val="2"/>
            <w:tcBorders/>
            <w:shd w:fill="FFFFFF" w:val="clear"/>
            <w:vAlign w:val="bottom"/>
          </w:tcPr>
          <w:p>
            <w:pPr>
              <w:pStyle w:val="TableContents"/>
              <w:spacing w:before="0" w:after="283"/>
              <w:jc w:val="center"/>
              <w:rPr/>
            </w:pP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2341"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10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(liability)</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Earnings</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8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AOCI</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(liability)</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105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Earnings</w:t>
            </w:r>
            <w:r>
              <w:rPr/>
              <w:t xml:space="preserve"> </w:t>
            </w:r>
          </w:p>
        </w:tc>
        <w:tc>
          <w:tcPr>
            <w:tcW w:w="170" w:type="dxa"/>
            <w:tcBorders/>
            <w:shd w:fill="FFFFFF" w:val="clear"/>
            <w:vAlign w:val="bottom"/>
          </w:tcPr>
          <w:p>
            <w:pPr>
              <w:pStyle w:val="TableContents"/>
              <w:spacing w:before="0" w:after="283"/>
              <w:jc w:val="center"/>
              <w:rPr/>
            </w:pPr>
            <w:r>
              <w:rPr/>
              <w:t xml:space="preserve">  </w:t>
            </w:r>
          </w:p>
        </w:tc>
        <w:tc>
          <w:tcPr>
            <w:tcW w:w="165" w:type="dxa"/>
            <w:tcBorders/>
            <w:shd w:fill="FFFFFF" w:val="clear"/>
            <w:vAlign w:val="bottom"/>
          </w:tcPr>
          <w:p>
            <w:pPr>
              <w:pStyle w:val="TableContents"/>
              <w:spacing w:before="0" w:after="283"/>
              <w:jc w:val="center"/>
              <w:rPr/>
            </w:pPr>
            <w:r>
              <w:rPr/>
              <w:t xml:space="preserve">  </w:t>
            </w:r>
          </w:p>
        </w:tc>
        <w:tc>
          <w:tcPr>
            <w:tcW w:w="8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AOCI</w:t>
            </w:r>
            <w:r>
              <w:rPr/>
              <w:t xml:space="preserve"> </w:t>
            </w:r>
          </w:p>
        </w:tc>
        <w:tc>
          <w:tcPr>
            <w:tcW w:w="188" w:type="dxa"/>
            <w:tcBorders/>
            <w:shd w:fill="FFFFFF" w:val="clear"/>
            <w:vAlign w:val="bottom"/>
          </w:tcPr>
          <w:p>
            <w:pPr>
              <w:pStyle w:val="TableContents"/>
              <w:spacing w:before="0" w:after="283"/>
              <w:jc w:val="center"/>
              <w:rPr/>
            </w:pPr>
            <w:r>
              <w:rPr/>
              <w:t xml:space="preserve">  </w:t>
            </w:r>
          </w:p>
        </w:tc>
      </w:tr>
      <w:tr>
        <w:trPr/>
        <w:tc>
          <w:tcPr>
            <w:tcW w:w="2341" w:type="dxa"/>
            <w:tcBorders/>
            <w:shd w:fill="FFFFFF" w:val="clear"/>
            <w:vAlign w:val="center"/>
          </w:tcPr>
          <w:p>
            <w:pPr>
              <w:pStyle w:val="TableContents"/>
              <w:spacing w:before="0" w:after="283"/>
              <w:rPr/>
            </w:pPr>
            <w:r>
              <w:rPr/>
              <w:t xml:space="preserve">  </w:t>
            </w:r>
          </w:p>
        </w:tc>
        <w:tc>
          <w:tcPr>
            <w:tcW w:w="7864" w:type="dxa"/>
            <w:gridSpan w:val="24"/>
            <w:tcBorders/>
            <w:shd w:fill="FFFFFF" w:val="clear"/>
          </w:tcPr>
          <w:p>
            <w:pPr>
              <w:pStyle w:val="TableContents"/>
              <w:spacing w:before="0" w:after="283"/>
              <w:rPr>
                <w:sz w:val="4"/>
                <w:szCs w:val="4"/>
              </w:rPr>
            </w:pPr>
            <w:r>
              <w:rPr>
                <w:sz w:val="4"/>
                <w:szCs w:val="4"/>
              </w:rPr>
            </w:r>
          </w:p>
        </w:tc>
      </w:tr>
      <w:tr>
        <w:trPr/>
        <w:tc>
          <w:tcPr>
            <w:tcW w:w="2341" w:type="dxa"/>
            <w:tcBorders/>
            <w:shd w:fill="CCEEFF" w:val="clear"/>
            <w:vAlign w:val="bottom"/>
          </w:tcPr>
          <w:p>
            <w:pPr>
              <w:pStyle w:val="TableContents"/>
              <w:spacing w:before="0" w:after="0"/>
              <w:ind w:left="200" w:right="0" w:hanging="200"/>
              <w:jc w:val="left"/>
              <w:rPr>
                <w:sz w:val="17"/>
              </w:rPr>
            </w:pPr>
            <w:r>
              <w:rPr>
                <w:sz w:val="17"/>
              </w:rPr>
              <w:t xml:space="preserve">Commodity price-risk hedging </w:t>
            </w:r>
          </w:p>
        </w:tc>
        <w:tc>
          <w:tcPr>
            <w:tcW w:w="12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(32.5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(18.9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(13.6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(27.2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(16.0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(11.2 </w:t>
            </w:r>
          </w:p>
        </w:tc>
        <w:tc>
          <w:tcPr>
            <w:tcW w:w="188" w:type="dxa"/>
            <w:tcBorders/>
            <w:shd w:fill="CCEEFF" w:val="clear"/>
            <w:vAlign w:val="bottom"/>
          </w:tcPr>
          <w:p>
            <w:pPr>
              <w:pStyle w:val="TableContents"/>
              <w:spacing w:before="0" w:after="283"/>
              <w:jc w:val="left"/>
              <w:rPr/>
            </w:pPr>
            <w:r>
              <w:rPr/>
              <w:t xml:space="preserve">) </w:t>
            </w:r>
          </w:p>
        </w:tc>
      </w:tr>
      <w:tr>
        <w:trPr/>
        <w:tc>
          <w:tcPr>
            <w:tcW w:w="2341" w:type="dxa"/>
            <w:tcBorders/>
            <w:shd w:fill="FFFFFF" w:val="clear"/>
            <w:vAlign w:val="bottom"/>
          </w:tcPr>
          <w:p>
            <w:pPr>
              <w:pStyle w:val="TableContents"/>
              <w:spacing w:before="0" w:after="0"/>
              <w:ind w:left="200" w:right="0" w:hanging="200"/>
              <w:jc w:val="left"/>
              <w:rPr>
                <w:sz w:val="17"/>
              </w:rPr>
            </w:pPr>
            <w:r>
              <w:rPr>
                <w:sz w:val="17"/>
              </w:rPr>
              <w:t xml:space="preserve">Controlled trading program </w:t>
            </w:r>
          </w:p>
        </w:tc>
        <w:tc>
          <w:tcPr>
            <w:tcW w:w="12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76"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795"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645"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76"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795"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645"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2341" w:type="dxa"/>
            <w:tcBorders/>
            <w:shd w:fill="CCEEFF" w:val="clear"/>
            <w:vAlign w:val="bottom"/>
          </w:tcPr>
          <w:p>
            <w:pPr>
              <w:pStyle w:val="TableContents"/>
              <w:spacing w:before="0" w:after="0"/>
              <w:ind w:left="200" w:right="0" w:hanging="200"/>
              <w:jc w:val="left"/>
              <w:rPr>
                <w:sz w:val="17"/>
              </w:rPr>
            </w:pPr>
            <w:r>
              <w:rPr>
                <w:sz w:val="17"/>
              </w:rPr>
              <w:t xml:space="preserve">Interest rate risk hedging </w:t>
            </w:r>
          </w:p>
        </w:tc>
        <w:tc>
          <w:tcPr>
            <w:tcW w:w="12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r>
      <w:tr>
        <w:trPr/>
        <w:tc>
          <w:tcPr>
            <w:tcW w:w="2341" w:type="dxa"/>
            <w:tcBorders/>
            <w:shd w:fill="FFFFFF" w:val="clear"/>
            <w:vAlign w:val="bottom"/>
          </w:tcPr>
          <w:p>
            <w:pPr>
              <w:pStyle w:val="TableContents"/>
              <w:spacing w:before="0" w:after="0"/>
              <w:ind w:left="200" w:right="0" w:hanging="200"/>
              <w:jc w:val="left"/>
              <w:rPr>
                <w:sz w:val="17"/>
              </w:rPr>
            </w:pPr>
            <w:r>
              <w:rPr>
                <w:sz w:val="17"/>
              </w:rPr>
              <w:t xml:space="preserve">Currency exchange rate risk hedging </w:t>
            </w:r>
          </w:p>
        </w:tc>
        <w:tc>
          <w:tcPr>
            <w:tcW w:w="12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76" w:type="dxa"/>
            <w:tcBorders/>
            <w:shd w:fill="FFFFFF" w:val="clear"/>
            <w:vAlign w:val="bottom"/>
          </w:tcPr>
          <w:p>
            <w:pPr>
              <w:pStyle w:val="TableContents"/>
              <w:spacing w:before="0" w:after="283"/>
              <w:jc w:val="right"/>
              <w:rPr/>
            </w:pPr>
            <w:r>
              <w:rPr/>
              <w:t xml:space="preserve">(2.0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795" w:type="dxa"/>
            <w:tcBorders/>
            <w:shd w:fill="FFFFFF" w:val="clear"/>
            <w:vAlign w:val="bottom"/>
          </w:tcPr>
          <w:p>
            <w:pPr>
              <w:pStyle w:val="TableContents"/>
              <w:spacing w:before="0" w:after="283"/>
              <w:jc w:val="right"/>
              <w:rPr/>
            </w:pPr>
            <w:r>
              <w:rPr/>
              <w:t xml:space="preserve">(2.0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645" w:type="dxa"/>
            <w:tcBorders/>
            <w:shd w:fill="FFFFFF" w:val="cle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76" w:type="dxa"/>
            <w:tcBorders/>
            <w:shd w:fill="FFFFFF" w:val="clear"/>
            <w:vAlign w:val="bottom"/>
          </w:tcPr>
          <w:p>
            <w:pPr>
              <w:pStyle w:val="TableContents"/>
              <w:spacing w:before="0" w:after="283"/>
              <w:jc w:val="right"/>
              <w:rPr/>
            </w:pPr>
            <w:r>
              <w:rPr/>
              <w:t xml:space="preserve">(0.6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jc w:val="left"/>
              <w:rPr/>
            </w:pPr>
            <w:r>
              <w:rPr/>
              <w:t xml:space="preserve">  </w:t>
            </w:r>
          </w:p>
        </w:tc>
        <w:tc>
          <w:tcPr>
            <w:tcW w:w="795" w:type="dxa"/>
            <w:tcBorders/>
            <w:shd w:fill="FFFFFF" w:val="clear"/>
            <w:vAlign w:val="bottom"/>
          </w:tcPr>
          <w:p>
            <w:pPr>
              <w:pStyle w:val="TableContents"/>
              <w:spacing w:before="0" w:after="283"/>
              <w:jc w:val="right"/>
              <w:rPr/>
            </w:pPr>
            <w:r>
              <w:rPr/>
              <w:t xml:space="preserve">(0.6 </w:t>
            </w:r>
          </w:p>
        </w:tc>
        <w:tc>
          <w:tcPr>
            <w:tcW w:w="170" w:type="dxa"/>
            <w:tcBorders/>
            <w:shd w:fill="FFFFFF" w:val="clear"/>
            <w:vAlign w:val="bottom"/>
          </w:tcPr>
          <w:p>
            <w:pPr>
              <w:pStyle w:val="TableContents"/>
              <w:spacing w:before="0" w:after="283"/>
              <w:jc w:val="left"/>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645"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r>
      <w:tr>
        <w:trPr/>
        <w:tc>
          <w:tcPr>
            <w:tcW w:w="2341"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r>
        <w:trPr/>
        <w:tc>
          <w:tcPr>
            <w:tcW w:w="2341" w:type="dxa"/>
            <w:tcBorders/>
            <w:shd w:fill="CCEEFF" w:val="clear"/>
            <w:vAlign w:val="bottom"/>
          </w:tcPr>
          <w:p>
            <w:pPr>
              <w:pStyle w:val="TableContents"/>
              <w:spacing w:before="0" w:after="283"/>
              <w:jc w:val="left"/>
              <w:rPr/>
            </w:pPr>
            <w:r>
              <w:rPr/>
              <w:t xml:space="preserve">  </w:t>
            </w:r>
          </w:p>
        </w:tc>
        <w:tc>
          <w:tcPr>
            <w:tcW w:w="12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(34.5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(20.9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(13.6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76" w:type="dxa"/>
            <w:tcBorders/>
            <w:shd w:fill="CCEEFF" w:val="clear"/>
            <w:vAlign w:val="bottom"/>
          </w:tcPr>
          <w:p>
            <w:pPr>
              <w:pStyle w:val="TableContents"/>
              <w:spacing w:before="0" w:after="283"/>
              <w:jc w:val="right"/>
              <w:rPr/>
            </w:pPr>
            <w:r>
              <w:rPr/>
              <w:t xml:space="preserve">(27.8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60" w:type="dxa"/>
            <w:tcBorders/>
            <w:shd w:fill="CCEEFF" w:val="clear"/>
            <w:vAlign w:val="bottom"/>
          </w:tcPr>
          <w:p>
            <w:pPr>
              <w:pStyle w:val="TableContents"/>
              <w:spacing w:before="0" w:after="283"/>
              <w:jc w:val="left"/>
              <w:rPr/>
            </w:pPr>
            <w:r>
              <w:rPr/>
              <w:t xml:space="preserve">$ </w:t>
            </w:r>
          </w:p>
        </w:tc>
        <w:tc>
          <w:tcPr>
            <w:tcW w:w="795" w:type="dxa"/>
            <w:tcBorders/>
            <w:shd w:fill="CCEEFF" w:val="clear"/>
            <w:vAlign w:val="bottom"/>
          </w:tcPr>
          <w:p>
            <w:pPr>
              <w:pStyle w:val="TableContents"/>
              <w:spacing w:before="0" w:after="283"/>
              <w:jc w:val="right"/>
              <w:rPr/>
            </w:pPr>
            <w:r>
              <w:rPr/>
              <w:t xml:space="preserve">(16.6 </w:t>
            </w:r>
          </w:p>
        </w:tc>
        <w:tc>
          <w:tcPr>
            <w:tcW w:w="170" w:type="dxa"/>
            <w:tcBorders/>
            <w:shd w:fill="CCEEFF" w:val="clear"/>
            <w:vAlign w:val="bottom"/>
          </w:tcPr>
          <w:p>
            <w:pPr>
              <w:pStyle w:val="TableContents"/>
              <w:spacing w:before="0" w:after="283"/>
              <w:jc w:val="left"/>
              <w:rPr/>
            </w:pPr>
            <w:r>
              <w:rPr/>
              <w:t xml:space="preserve">) </w:t>
            </w:r>
          </w:p>
        </w:tc>
        <w:tc>
          <w:tcPr>
            <w:tcW w:w="165"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645" w:type="dxa"/>
            <w:tcBorders/>
            <w:shd w:fill="CCEEFF" w:val="clear"/>
            <w:vAlign w:val="bottom"/>
          </w:tcPr>
          <w:p>
            <w:pPr>
              <w:pStyle w:val="TableContents"/>
              <w:spacing w:before="0" w:after="283"/>
              <w:jc w:val="right"/>
              <w:rPr/>
            </w:pPr>
            <w:r>
              <w:rPr/>
              <w:t xml:space="preserve">(11.2 </w:t>
            </w:r>
          </w:p>
        </w:tc>
        <w:tc>
          <w:tcPr>
            <w:tcW w:w="188" w:type="dxa"/>
            <w:tcBorders/>
            <w:shd w:fill="CCEEFF" w:val="clear"/>
            <w:vAlign w:val="bottom"/>
          </w:tcPr>
          <w:p>
            <w:pPr>
              <w:pStyle w:val="TableContents"/>
              <w:spacing w:before="0" w:after="283"/>
              <w:jc w:val="left"/>
              <w:rPr/>
            </w:pPr>
            <w:r>
              <w:rPr/>
              <w:t xml:space="preserve">) </w:t>
            </w:r>
          </w:p>
        </w:tc>
      </w:tr>
      <w:tr>
        <w:trPr/>
        <w:tc>
          <w:tcPr>
            <w:tcW w:w="2341"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0" w:type="dxa"/>
            <w:tcBorders/>
            <w:shd w:fill="FFFFFF" w:val="clear"/>
            <w:vAlign w:val="bottom"/>
          </w:tcPr>
          <w:p>
            <w:pPr>
              <w:pStyle w:val="TableContents"/>
              <w:spacing w:before="0" w:after="283"/>
              <w:rPr/>
            </w:pPr>
            <w:r>
              <w:rPr/>
              <w:t xml:space="preserve">  </w:t>
            </w:r>
          </w:p>
        </w:tc>
        <w:tc>
          <w:tcPr>
            <w:tcW w:w="165" w:type="dxa"/>
            <w:tcBorders/>
            <w:shd w:fill="FFFFFF" w:val="clear"/>
            <w:vAlign w:val="bottom"/>
          </w:tcPr>
          <w:p>
            <w:pPr>
              <w:pStyle w:val="TableContents"/>
              <w:spacing w:before="0" w:after="283"/>
              <w:rPr/>
            </w:pPr>
            <w:r>
              <w:rPr/>
              <w:t xml:space="preserve">  </w:t>
            </w:r>
          </w:p>
        </w:tc>
        <w:tc>
          <w:tcPr>
            <w:tcW w:w="2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8"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$13.6 million of unrealized losses deferred to AOCI for open derivative positions, AOCI also includes a deferred loss of approximately $6.2 million that relates to terminated interest rate swaps that were cash settled in connection with the refinancing of debt agreements over the past four years. The deferred loss related to these instruments is being amortized to interest expense over the original terms of the terminated instruments.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total amount of deferred net losses recorded in AOCI are expected to be reclassified to future earnings, contemporaneously with the related physical purchase or delivery of the underlying commodity or payments of interest. Of the total net loss deferred in AOCI at December 31, 2006, a net loss of $14.3 million will be reclassified into earnings in the next twelve months; the remaining net loss will be reclassified at various intervals (ending in 2016 for amounts related to our terminated interest rate swaps and 2009 for amounts related to our commodity price-risk hedging). Because a portion of these amounts is based on market prices at the current period end, actual amounts to be reclassified will differ and could vary materially as a result of changes in market conditions. During the year ended December 31, 2006 and 2005, no amounts were reclassified to earnings from AOCI in connection with forecasted transactions that were no longer considered probable of occurring.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sections discuss our risk management activities in the indicated categories.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Commodity Price-Risk Hedging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hedge our exposure to price fluctuations with respect to crude oil, LPG, refined products, and natural gas, and expected purchases, sales and transportation of these commodities. The derivative instruments we use consist primarily of futures and option contracts traded on the NYMEX, ICE and over-the-counter transactions, including crude oil swap and option contracts entered into with financial institutions and other energy companies. In accordance with SFAS 133, these derivative instruments are recognized on the balance sheet at fair value. The majority of the instruments that qualify for hedge accounting are cash flow hedges. Therefore, the corresponding changes in fair value for the effective portion of the hedges are deferred into AOCI and recognized in revenues or crude oil and LPG purchases and related costs in the periods during which the underlying physical transactions occur. We have determined that substantially all of our physical purchase and sale agreements qualify for the normal purchase and sale exclusion and thus are not subject to SFAS 133. Physical transactions that are derivatives and are ineligible, or become ineligible, for the normal purchase and sale treatment (e.g. due to changes in settlement provisions) are recorded on the balance sheet as assets or liabilities at their fair value, with the changes in fair value recorded net in revenues.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majority of the unrealized losses that have been recognized in earnings relate to activities associated with our storage assets. In general, revenue from storing crude oil is reduced in a backwardated market (when oil prices for future deliveries are lower than for current deliveries), as there is less incentive to store crude oil from month-to-month. We enter into derivative contracts that will offset the reduction in revenue by generating offsetting gains in a backwardated market structure. These derivatives do not qualify for hedge accounting because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contracts will not necessarily result in physical delivery. A portion of the net liability as of December 31, 2006 was caused by a reduction in backwardation (a decrease in the amount that the price of future deliveries are lower than current deliveries) from the time that we entered into the derivative contracts to the end of the year. The net gain or loss related to these instruments will offset storage revenue in the period that the derivative instruments are hedging.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unrealized losses deferred in AOCI are related to inventory hedges which are mostly short derivative positions that will result in losses when prices rise. These hedge losses are offset by an increase in the physical inventory value and will be reclassed into earnings from AOCI in the same period that the underlying physical inventory is sold.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Controlled Trading Program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we seek to maintain a position that is substantially balanced within our crude oil lease purchase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These activities are monitored independently by our risk management function and must take place within predefined limits and authorizations. In accordance with SFAS 133, these derivative instruments are recorded in the balance sheet as assets or liabilities at their fair value, with the changes in fair value recorded net in revenues.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Interest Rate Risk Hedging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November 2006, in conjunction with the Pacific merger, we assumed interest rate swap agreements with an aggregate notional principal amount of $80.0 million to receive interest at a fixed rate of 7.125% and to pay interest at an average variable rate of six month LIBOR plus 1.67% (set in advance or in arrears depending on the swap transaction). The interest rate swaps mature June 15, 2014 and are callable at the same dates and terms as the 7.125% senior notes. We designated these swaps as a hedge against changes in the fair value of the 7.125% Senior Notes resulting from market fluctuations to LIBOR. The changes in fair values of the interest rate swaps are recorded in earnings each period. Similarly, the change in fair value of the underlying $80.0 million of senior notes, which are expected to be offsetting to changes in the fair value of the interest swaps, are recorded into earnings each period. For the year ended December 31, 2006 we had an immaterial amount of ineffectiveness relating to these interest rate swaps.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August 2006, we entered into two treasury locks with large creditworthy financial institutions in anticipation of a debt issuance in conjunction with our acquisition of Pacific. A treasury lock is a financial derivative instrument that enables a company to lock in the U.S. Treasury Note rate. The U.S. Treasury Note rate was the benchmark interest rate for our anticipated debt issuance. The two treasury locks had a combined notional principal amount of $200 million and an effective interest rate of 4.97%. The treasury locks were designated as cash flow hedges and the changes in fair value of the treasury locks were therefore deferred in AOCI. In October 2006, both treasury locks were terminated prior to maturity in connection with the debt issuance in October 2006 for an aggregate cash payment of $2.4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AOCI includes a deferred loss of approximately $6.2 million that relates to terminated interest rate swaps that were cash settled in connection with the refinancing of debt agreements over the past four years. The deferred loss related to these instruments is being amortized to interest expense over the original terms of the terminated instruments.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Currency Exchange Rate Risk Hedging</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Because a significant portion of our Canadian business is conducted in Canadian dollars and, at times, a portion of our debt is denominated in Canadian dollars, we use certain financial instruments to minimize the risks 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unfavorable changes in exchange rates. These instruments include forward exchange contracts and cross currency swaps. The open foreign currency derivatives that were assumed in the Pacific merger do not qualify for hedge accounting in accordance with SFAS 133. At December 31, 2006, our open foreign exchange derivatives consisted of forward exchange contracts that exchange Canadian dollars (Cdn) and US dollars on a net basis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609"/>
        <w:gridCol w:w="136"/>
        <w:gridCol w:w="683"/>
        <w:gridCol w:w="1164"/>
        <w:gridCol w:w="504"/>
        <w:gridCol w:w="175"/>
        <w:gridCol w:w="401"/>
        <w:gridCol w:w="750"/>
        <w:gridCol w:w="288"/>
        <w:gridCol w:w="175"/>
        <w:gridCol w:w="1052"/>
        <w:gridCol w:w="1749"/>
        <w:gridCol w:w="519"/>
      </w:tblGrid>
      <w:tr>
        <w:trPr/>
        <w:tc>
          <w:tcPr>
            <w:tcW w:w="260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683" w:type="dxa"/>
            <w:tcBorders/>
            <w:shd w:fill="FFFFFF" w:val="clear"/>
            <w:vAlign w:val="bottom"/>
          </w:tcPr>
          <w:p>
            <w:pPr>
              <w:pStyle w:val="TableContents"/>
              <w:spacing w:before="0" w:after="283"/>
              <w:jc w:val="right"/>
              <w:rPr/>
            </w:pPr>
            <w:r>
              <w:rPr/>
              <w:t> </w:t>
            </w:r>
          </w:p>
        </w:tc>
        <w:tc>
          <w:tcPr>
            <w:tcW w:w="1164" w:type="dxa"/>
            <w:tcBorders/>
            <w:shd w:fill="FFFFFF" w:val="clear"/>
            <w:vAlign w:val="bottom"/>
          </w:tcPr>
          <w:p>
            <w:pPr>
              <w:pStyle w:val="TableContents"/>
              <w:spacing w:before="0" w:after="283"/>
              <w:jc w:val="right"/>
              <w:rPr/>
            </w:pPr>
            <w:r>
              <w:rPr/>
              <w:t> </w:t>
            </w:r>
          </w:p>
        </w:tc>
        <w:tc>
          <w:tcPr>
            <w:tcW w:w="504" w:type="dxa"/>
            <w:tcBorders/>
            <w:shd w:fill="FFFFFF" w:val="clear"/>
            <w:vAlign w:val="bottom"/>
          </w:tcPr>
          <w:p>
            <w:pPr>
              <w:pStyle w:val="TableContents"/>
              <w:spacing w:before="0" w:after="283"/>
              <w:jc w:val="left"/>
              <w:rPr/>
            </w:pPr>
            <w:r>
              <w:rPr/>
              <w:t> </w:t>
            </w:r>
          </w:p>
        </w:tc>
        <w:tc>
          <w:tcPr>
            <w:tcW w:w="175" w:type="dxa"/>
            <w:tcBorders/>
            <w:shd w:fill="FFFFFF" w:val="clear"/>
            <w:vAlign w:val="bottom"/>
          </w:tcPr>
          <w:p>
            <w:pPr>
              <w:pStyle w:val="TableContents"/>
              <w:spacing w:before="0" w:after="283"/>
              <w:rPr/>
            </w:pPr>
            <w:r>
              <w:rPr/>
              <w:t> </w:t>
            </w:r>
          </w:p>
        </w:tc>
        <w:tc>
          <w:tcPr>
            <w:tcW w:w="401" w:type="dxa"/>
            <w:tcBorders/>
            <w:shd w:fill="FFFFFF" w:val="clear"/>
            <w:vAlign w:val="bottom"/>
          </w:tcPr>
          <w:p>
            <w:pPr>
              <w:pStyle w:val="TableContents"/>
              <w:spacing w:before="0" w:after="283"/>
              <w:jc w:val="right"/>
              <w:rPr/>
            </w:pPr>
            <w:r>
              <w:rPr/>
              <w:t> </w:t>
            </w:r>
          </w:p>
        </w:tc>
        <w:tc>
          <w:tcPr>
            <w:tcW w:w="750" w:type="dxa"/>
            <w:tcBorders/>
            <w:shd w:fill="FFFFFF" w:val="clear"/>
            <w:vAlign w:val="bottom"/>
          </w:tcPr>
          <w:p>
            <w:pPr>
              <w:pStyle w:val="TableContents"/>
              <w:spacing w:before="0" w:after="283"/>
              <w:jc w:val="right"/>
              <w:rPr/>
            </w:pPr>
            <w:r>
              <w:rPr/>
              <w:t> </w:t>
            </w:r>
          </w:p>
        </w:tc>
        <w:tc>
          <w:tcPr>
            <w:tcW w:w="288" w:type="dxa"/>
            <w:tcBorders/>
            <w:shd w:fill="FFFFFF" w:val="clear"/>
            <w:vAlign w:val="bottom"/>
          </w:tcPr>
          <w:p>
            <w:pPr>
              <w:pStyle w:val="TableContents"/>
              <w:spacing w:before="0" w:after="283"/>
              <w:jc w:val="left"/>
              <w:rPr/>
            </w:pPr>
            <w:r>
              <w:rPr/>
              <w:t> </w:t>
            </w:r>
          </w:p>
        </w:tc>
        <w:tc>
          <w:tcPr>
            <w:tcW w:w="175" w:type="dxa"/>
            <w:tcBorders/>
            <w:shd w:fill="FFFFFF" w:val="clear"/>
            <w:vAlign w:val="bottom"/>
          </w:tcPr>
          <w:p>
            <w:pPr>
              <w:pStyle w:val="TableContents"/>
              <w:spacing w:before="0" w:after="283"/>
              <w:rPr/>
            </w:pPr>
            <w:r>
              <w:rPr/>
              <w:t> </w:t>
            </w:r>
          </w:p>
        </w:tc>
        <w:tc>
          <w:tcPr>
            <w:tcW w:w="1052" w:type="dxa"/>
            <w:tcBorders/>
            <w:shd w:fill="FFFFFF" w:val="clear"/>
            <w:vAlign w:val="bottom"/>
          </w:tcPr>
          <w:p>
            <w:pPr>
              <w:pStyle w:val="TableContents"/>
              <w:spacing w:before="0" w:after="283"/>
              <w:jc w:val="right"/>
              <w:rPr/>
            </w:pPr>
            <w:r>
              <w:rPr/>
              <w:t> </w:t>
            </w:r>
          </w:p>
        </w:tc>
        <w:tc>
          <w:tcPr>
            <w:tcW w:w="1749" w:type="dxa"/>
            <w:tcBorders/>
            <w:shd w:fill="FFFFFF" w:val="clear"/>
            <w:vAlign w:val="bottom"/>
          </w:tcPr>
          <w:p>
            <w:pPr>
              <w:pStyle w:val="TableContents"/>
              <w:spacing w:before="0" w:after="283"/>
              <w:jc w:val="right"/>
              <w:rPr/>
            </w:pPr>
            <w:r>
              <w:rPr/>
              <w:t> </w:t>
            </w:r>
          </w:p>
        </w:tc>
        <w:tc>
          <w:tcPr>
            <w:tcW w:w="519" w:type="dxa"/>
            <w:tcBorders/>
            <w:shd w:fill="FFFFFF" w:val="clear"/>
            <w:vAlign w:val="bottom"/>
          </w:tcPr>
          <w:p>
            <w:pPr>
              <w:pStyle w:val="TableContents"/>
              <w:spacing w:before="0" w:after="283"/>
              <w:jc w:val="left"/>
              <w:rPr/>
            </w:pPr>
            <w:r>
              <w:rPr/>
              <w:t> </w:t>
            </w:r>
          </w:p>
        </w:tc>
      </w:tr>
      <w:tr>
        <w:trPr/>
        <w:tc>
          <w:tcPr>
            <w:tcW w:w="2609" w:type="dxa"/>
            <w:tcBorders/>
            <w:shd w:fill="FFFFFF" w:val="clear"/>
            <w:vAlign w:val="bottom"/>
          </w:tcPr>
          <w:p>
            <w:pPr>
              <w:pStyle w:val="TableContents"/>
              <w:spacing w:before="0" w:after="283"/>
              <w:jc w:val="center"/>
              <w:rPr/>
            </w:pP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235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Canadian Dollars</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1439"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US Dollars</w:t>
            </w:r>
            <w:r>
              <w:rPr/>
              <w:t xml:space="preserve"> </w:t>
            </w:r>
          </w:p>
        </w:tc>
        <w:tc>
          <w:tcPr>
            <w:tcW w:w="175" w:type="dxa"/>
            <w:tcBorders/>
            <w:shd w:fill="FFFFFF" w:val="clear"/>
            <w:vAlign w:val="bottom"/>
          </w:tcPr>
          <w:p>
            <w:pPr>
              <w:pStyle w:val="TableContents"/>
              <w:spacing w:before="0" w:after="283"/>
              <w:jc w:val="center"/>
              <w:rPr/>
            </w:pPr>
            <w:r>
              <w:rPr/>
              <w:t xml:space="preserve">  </w:t>
            </w:r>
          </w:p>
        </w:tc>
        <w:tc>
          <w:tcPr>
            <w:tcW w:w="332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Average Exchange Rate</w:t>
            </w:r>
            <w:r>
              <w:rPr/>
              <w:t xml:space="preserve"> </w:t>
            </w:r>
          </w:p>
        </w:tc>
      </w:tr>
      <w:tr>
        <w:trPr/>
        <w:tc>
          <w:tcPr>
            <w:tcW w:w="2609" w:type="dxa"/>
            <w:tcBorders/>
            <w:shd w:fill="FFFFFF" w:val="clear"/>
            <w:vAlign w:val="center"/>
          </w:tcPr>
          <w:p>
            <w:pPr>
              <w:pStyle w:val="TableContents"/>
              <w:spacing w:before="0" w:after="283"/>
              <w:rPr/>
            </w:pPr>
            <w:r>
              <w:rPr/>
              <w:t xml:space="preserve">  </w:t>
            </w:r>
          </w:p>
        </w:tc>
        <w:tc>
          <w:tcPr>
            <w:tcW w:w="7596" w:type="dxa"/>
            <w:gridSpan w:val="12"/>
            <w:tcBorders/>
            <w:shd w:fill="FFFFFF" w:val="clear"/>
          </w:tcPr>
          <w:p>
            <w:pPr>
              <w:pStyle w:val="TableContents"/>
              <w:spacing w:before="0" w:after="283"/>
              <w:rPr>
                <w:sz w:val="4"/>
                <w:szCs w:val="4"/>
              </w:rPr>
            </w:pPr>
            <w:r>
              <w:rPr>
                <w:sz w:val="4"/>
                <w:szCs w:val="4"/>
              </w:rPr>
            </w:r>
          </w:p>
        </w:tc>
      </w:tr>
      <w:tr>
        <w:trPr/>
        <w:tc>
          <w:tcPr>
            <w:tcW w:w="2609" w:type="dxa"/>
            <w:tcBorders/>
            <w:shd w:fill="FFFFFF" w:val="clear"/>
            <w:vAlign w:val="bottom"/>
          </w:tcPr>
          <w:p>
            <w:pPr>
              <w:pStyle w:val="TableContents"/>
              <w:spacing w:before="0" w:after="0"/>
              <w:ind w:left="200" w:right="0" w:hanging="200"/>
              <w:jc w:val="left"/>
              <w:rPr>
                <w:sz w:val="17"/>
              </w:rPr>
            </w:pPr>
            <w:r>
              <w:rPr>
                <w:sz w:val="17"/>
              </w:rPr>
              <w:t xml:space="preserve">2007(1) </w:t>
            </w:r>
          </w:p>
        </w:tc>
        <w:tc>
          <w:tcPr>
            <w:tcW w:w="136" w:type="dxa"/>
            <w:tcBorders/>
            <w:shd w:fill="FFFFFF" w:val="clear"/>
            <w:vAlign w:val="bottom"/>
          </w:tcPr>
          <w:p>
            <w:pPr>
              <w:pStyle w:val="TableContents"/>
              <w:spacing w:before="0" w:after="283"/>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98.3 </w:t>
            </w:r>
          </w:p>
        </w:tc>
        <w:tc>
          <w:tcPr>
            <w:tcW w:w="504"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right"/>
              <w:rPr/>
            </w:pPr>
            <w:r>
              <w:rPr/>
              <w:t xml:space="preserve">$ </w:t>
            </w:r>
          </w:p>
        </w:tc>
        <w:tc>
          <w:tcPr>
            <w:tcW w:w="750" w:type="dxa"/>
            <w:tcBorders/>
            <w:shd w:fill="FFFFFF" w:val="clear"/>
            <w:vAlign w:val="bottom"/>
          </w:tcPr>
          <w:p>
            <w:pPr>
              <w:pStyle w:val="TableContents"/>
              <w:spacing w:before="0" w:after="283"/>
              <w:jc w:val="right"/>
              <w:rPr/>
            </w:pPr>
            <w:r>
              <w:rPr/>
              <w:t xml:space="preserve">84.1 </w:t>
            </w:r>
          </w:p>
        </w:tc>
        <w:tc>
          <w:tcPr>
            <w:tcW w:w="288"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rPr/>
            </w:pPr>
            <w:r>
              <w:rPr/>
              <w:t xml:space="preserve">  </w:t>
            </w:r>
          </w:p>
        </w:tc>
        <w:tc>
          <w:tcPr>
            <w:tcW w:w="1052" w:type="dxa"/>
            <w:tcBorders/>
            <w:shd w:fill="FFFFFF" w:val="clear"/>
            <w:vAlign w:val="bottom"/>
          </w:tcPr>
          <w:p>
            <w:pPr>
              <w:pStyle w:val="TableContents"/>
              <w:spacing w:before="0" w:after="283"/>
              <w:jc w:val="right"/>
              <w:rPr/>
            </w:pPr>
            <w:r>
              <w:rPr/>
              <w:t xml:space="preserve">Cdn $ </w:t>
            </w:r>
          </w:p>
        </w:tc>
        <w:tc>
          <w:tcPr>
            <w:tcW w:w="1749" w:type="dxa"/>
            <w:tcBorders/>
            <w:shd w:fill="FFFFFF" w:val="clear"/>
            <w:vAlign w:val="bottom"/>
          </w:tcPr>
          <w:p>
            <w:pPr>
              <w:pStyle w:val="TableContents"/>
              <w:spacing w:before="0" w:after="283"/>
              <w:jc w:val="right"/>
              <w:rPr/>
            </w:pPr>
            <w:r>
              <w:rPr/>
              <w:t xml:space="preserve">1.17 to US $1.00 </w:t>
            </w:r>
          </w:p>
        </w:tc>
        <w:tc>
          <w:tcPr>
            <w:tcW w:w="519" w:type="dxa"/>
            <w:tcBorders/>
            <w:shd w:fill="FFFFFF" w:val="clear"/>
            <w:vAlign w:val="bottom"/>
          </w:tcPr>
          <w:p>
            <w:pPr>
              <w:pStyle w:val="TableContents"/>
              <w:spacing w:before="0" w:after="283"/>
              <w:jc w:val="left"/>
              <w:rPr/>
            </w:pPr>
            <w:r>
              <w:rPr/>
              <w:t xml:space="preserve">  </w:t>
            </w:r>
          </w:p>
        </w:tc>
      </w:tr>
      <w:tr>
        <w:trPr/>
        <w:tc>
          <w:tcPr>
            <w:tcW w:w="2609" w:type="dxa"/>
            <w:tcBorders/>
            <w:shd w:fill="FFFFFF" w:val="clear"/>
            <w:vAlign w:val="bottom"/>
          </w:tcPr>
          <w:p>
            <w:pPr>
              <w:pStyle w:val="TableContents"/>
              <w:spacing w:before="0" w:after="0"/>
              <w:ind w:left="200" w:right="0" w:hanging="200"/>
              <w:jc w:val="left"/>
              <w:rPr>
                <w:sz w:val="17"/>
              </w:rPr>
            </w:pPr>
            <w:r>
              <w:rPr>
                <w:sz w:val="17"/>
              </w:rPr>
              <w:t xml:space="preserve">2008 </w:t>
            </w:r>
          </w:p>
        </w:tc>
        <w:tc>
          <w:tcPr>
            <w:tcW w:w="136" w:type="dxa"/>
            <w:tcBorders/>
            <w:shd w:fill="FFFFFF" w:val="clear"/>
            <w:vAlign w:val="bottom"/>
          </w:tcPr>
          <w:p>
            <w:pPr>
              <w:pStyle w:val="TableContents"/>
              <w:spacing w:before="0" w:after="283"/>
              <w:rPr/>
            </w:pPr>
            <w:r>
              <w:rPr/>
              <w:t xml:space="preserve">  </w:t>
            </w:r>
          </w:p>
        </w:tc>
        <w:tc>
          <w:tcPr>
            <w:tcW w:w="683"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3.2 </w:t>
            </w:r>
          </w:p>
        </w:tc>
        <w:tc>
          <w:tcPr>
            <w:tcW w:w="504"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right"/>
              <w:rPr/>
            </w:pPr>
            <w:r>
              <w:rPr/>
              <w:t xml:space="preserve">$ </w:t>
            </w:r>
          </w:p>
        </w:tc>
        <w:tc>
          <w:tcPr>
            <w:tcW w:w="750" w:type="dxa"/>
            <w:tcBorders/>
            <w:shd w:fill="FFFFFF" w:val="clear"/>
            <w:vAlign w:val="bottom"/>
          </w:tcPr>
          <w:p>
            <w:pPr>
              <w:pStyle w:val="TableContents"/>
              <w:spacing w:before="0" w:after="283"/>
              <w:jc w:val="right"/>
              <w:rPr/>
            </w:pPr>
            <w:r>
              <w:rPr/>
              <w:t xml:space="preserve">2.8 </w:t>
            </w:r>
          </w:p>
        </w:tc>
        <w:tc>
          <w:tcPr>
            <w:tcW w:w="288" w:type="dxa"/>
            <w:tcBorders/>
            <w:shd w:fill="FFFFFF" w:val="clear"/>
            <w:vAlign w:val="bottom"/>
          </w:tcPr>
          <w:p>
            <w:pPr>
              <w:pStyle w:val="TableContents"/>
              <w:spacing w:before="0" w:after="283"/>
              <w:jc w:val="left"/>
              <w:rPr/>
            </w:pPr>
            <w:r>
              <w:rPr/>
              <w:t xml:space="preserve">  </w:t>
            </w:r>
          </w:p>
        </w:tc>
        <w:tc>
          <w:tcPr>
            <w:tcW w:w="175" w:type="dxa"/>
            <w:tcBorders/>
            <w:shd w:fill="FFFFFF" w:val="clear"/>
            <w:vAlign w:val="bottom"/>
          </w:tcPr>
          <w:p>
            <w:pPr>
              <w:pStyle w:val="TableContents"/>
              <w:spacing w:before="0" w:after="283"/>
              <w:rPr/>
            </w:pPr>
            <w:r>
              <w:rPr/>
              <w:t xml:space="preserve">  </w:t>
            </w:r>
          </w:p>
        </w:tc>
        <w:tc>
          <w:tcPr>
            <w:tcW w:w="1052" w:type="dxa"/>
            <w:tcBorders/>
            <w:shd w:fill="FFFFFF" w:val="clear"/>
            <w:vAlign w:val="bottom"/>
          </w:tcPr>
          <w:p>
            <w:pPr>
              <w:pStyle w:val="TableContents"/>
              <w:spacing w:before="0" w:after="283"/>
              <w:jc w:val="right"/>
              <w:rPr/>
            </w:pPr>
            <w:r>
              <w:rPr/>
              <w:t xml:space="preserve">Cdn $ </w:t>
            </w:r>
          </w:p>
        </w:tc>
        <w:tc>
          <w:tcPr>
            <w:tcW w:w="1749" w:type="dxa"/>
            <w:tcBorders/>
            <w:shd w:fill="FFFFFF" w:val="clear"/>
            <w:vAlign w:val="bottom"/>
          </w:tcPr>
          <w:p>
            <w:pPr>
              <w:pStyle w:val="TableContents"/>
              <w:spacing w:before="0" w:after="283"/>
              <w:jc w:val="right"/>
              <w:rPr/>
            </w:pPr>
            <w:r>
              <w:rPr/>
              <w:t xml:space="preserve">1.16 to US $1.00 </w:t>
            </w:r>
          </w:p>
        </w:tc>
        <w:tc>
          <w:tcPr>
            <w:tcW w:w="519"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Of these amounts, Cdn $108.3 was exchanged for US $93.0 on a net basis on January 2, 2007 at an average exchange rate of Cdn $1.16 to US $1.00.</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financial instruments are placed with large, creditworthy financial institutions.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Fair Value of Financial Instruments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carrying amount of our derivative financial instruments approximate fair value as these instruments are recorded on the balance sheet at their fair value under SFAS 133. Our derivative financial instruments currently include: (i) forward exchange contracts for which fair values are based on current liquidation values; (ii) over-the-counter option and swap contracts for which fair values are estimated based on various sources such as independent reporting services, industry publications and brokers; and (iii) NYMEX futures and options for which the fair values are based on quoted market prices. For positions where independent quotations are not available, an estimate is provided, or the prevailing market price at which the positions could be liquidated is used.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82"/>
        <w:gridCol w:w="9223"/>
      </w:tblGrid>
      <w:tr>
        <w:trPr/>
        <w:tc>
          <w:tcPr>
            <w:tcW w:w="982" w:type="dxa"/>
            <w:tcBorders/>
            <w:shd w:fill="FFFFFF" w:val="clear"/>
            <w:vAlign w:val="center"/>
          </w:tcPr>
          <w:p>
            <w:pPr>
              <w:pStyle w:val="TableContents"/>
              <w:spacing w:before="0" w:after="283"/>
              <w:rPr>
                <w:sz w:val="4"/>
                <w:szCs w:val="4"/>
              </w:rPr>
            </w:pPr>
            <w:r>
              <w:rPr>
                <w:sz w:val="4"/>
                <w:szCs w:val="4"/>
              </w:rPr>
            </w:r>
          </w:p>
        </w:tc>
        <w:tc>
          <w:tcPr>
            <w:tcW w:w="9223" w:type="dxa"/>
            <w:tcBorders/>
            <w:shd w:fill="FFFFFF" w:val="clear"/>
            <w:vAlign w:val="center"/>
          </w:tcPr>
          <w:p>
            <w:pPr>
              <w:pStyle w:val="TableContents"/>
              <w:spacing w:before="0" w:after="283"/>
              <w:rPr>
                <w:sz w:val="4"/>
                <w:szCs w:val="4"/>
              </w:rPr>
            </w:pPr>
            <w:r>
              <w:rPr>
                <w:sz w:val="4"/>
                <w:szCs w:val="4"/>
              </w:rPr>
            </w:r>
          </w:p>
        </w:tc>
      </w:tr>
      <w:tr>
        <w:trPr/>
        <w:tc>
          <w:tcPr>
            <w:tcW w:w="982"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7  </w:t>
            </w:r>
          </w:p>
        </w:tc>
        <w:tc>
          <w:tcPr>
            <w:tcW w:w="9223" w:type="dxa"/>
            <w:tcBorders/>
            <w:shd w:fill="FFFFFF" w:val="clear"/>
          </w:tcPr>
          <w:p>
            <w:pPr>
              <w:pStyle w:val="TableContents"/>
              <w:spacing w:before="0" w:after="283"/>
              <w:rPr/>
            </w:pPr>
            <w:r>
              <w:rPr>
                <w:rFonts w:ascii="Times New Roman;Times" w:hAnsi="Times New Roman;Times"/>
                <w:b/>
              </w:rPr>
              <w:t>Income Taxes</w:t>
            </w:r>
            <w:r>
              <w:rPr/>
              <w:t xml:space="preserve">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U.S. and Canadian subsidiaries are not taxable entities in the U.S. and are not subject to U.S. federal or state income taxes as the tax effect of operations is passed through to our unitholders. However, certain of our Canadian subsidiaries (acquired through the Pacific acquisition in 2006) are taxable entities in Canada and are subject to Canadian federal and provincial income taxes.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Components of the income tax expense for the year are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735"/>
        <w:gridCol w:w="214"/>
        <w:gridCol w:w="454"/>
        <w:gridCol w:w="1588"/>
        <w:gridCol w:w="214"/>
      </w:tblGrid>
      <w:tr>
        <w:trPr/>
        <w:tc>
          <w:tcPr>
            <w:tcW w:w="7735"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454" w:type="dxa"/>
            <w:tcBorders/>
            <w:shd w:fill="FFFFFF" w:val="clear"/>
            <w:vAlign w:val="bottom"/>
          </w:tcPr>
          <w:p>
            <w:pPr>
              <w:pStyle w:val="TableContents"/>
              <w:spacing w:before="0" w:after="283"/>
              <w:jc w:val="right"/>
              <w:rPr/>
            </w:pPr>
            <w:r>
              <w:rPr/>
              <w:t> </w:t>
            </w:r>
          </w:p>
        </w:tc>
        <w:tc>
          <w:tcPr>
            <w:tcW w:w="1588" w:type="dxa"/>
            <w:tcBorders/>
            <w:shd w:fill="FFFFFF" w:val="clear"/>
            <w:vAlign w:val="bottom"/>
          </w:tcPr>
          <w:p>
            <w:pPr>
              <w:pStyle w:val="TableContents"/>
              <w:spacing w:before="0" w:after="283"/>
              <w:jc w:val="right"/>
              <w:rPr/>
            </w:pPr>
            <w:r>
              <w:rPr/>
              <w:t> </w:t>
            </w:r>
          </w:p>
        </w:tc>
        <w:tc>
          <w:tcPr>
            <w:tcW w:w="214" w:type="dxa"/>
            <w:tcBorders/>
            <w:shd w:fill="FFFFFF" w:val="clear"/>
            <w:vAlign w:val="bottom"/>
          </w:tcPr>
          <w:p>
            <w:pPr>
              <w:pStyle w:val="TableContents"/>
              <w:spacing w:before="0" w:after="283"/>
              <w:jc w:val="left"/>
              <w:rPr/>
            </w:pPr>
            <w:r>
              <w:rPr/>
              <w:t> </w:t>
            </w:r>
          </w:p>
        </w:tc>
      </w:tr>
      <w:tr>
        <w:trPr/>
        <w:tc>
          <w:tcPr>
            <w:tcW w:w="7735"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2042" w:type="dxa"/>
            <w:gridSpan w:val="2"/>
            <w:tcBorders/>
            <w:shd w:fill="FFFFFF" w:val="clear"/>
            <w:vAlign w:val="bottom"/>
          </w:tcPr>
          <w:p>
            <w:pPr>
              <w:pStyle w:val="TableContents"/>
              <w:spacing w:before="0" w:after="0"/>
              <w:jc w:val="center"/>
              <w:rPr>
                <w:bdr w:val="single" w:sz="2" w:space="1" w:color="000000"/>
              </w:rPr>
            </w:pPr>
            <w:r>
              <w:rPr>
                <w:b/>
                <w:bdr w:val="single" w:sz="2" w:space="1" w:color="000000"/>
              </w:rPr>
              <w:t>December 31,</w:t>
            </w:r>
            <w:r>
              <w:rPr>
                <w:bdr w:val="single" w:sz="2" w:space="1" w:color="000000"/>
              </w:rPr>
              <w:t xml:space="preserve"> </w:t>
            </w:r>
          </w:p>
        </w:tc>
        <w:tc>
          <w:tcPr>
            <w:tcW w:w="214" w:type="dxa"/>
            <w:tcBorders/>
            <w:shd w:fill="FFFFFF" w:val="clear"/>
            <w:vAlign w:val="bottom"/>
          </w:tcPr>
          <w:p>
            <w:pPr>
              <w:pStyle w:val="TableContents"/>
              <w:spacing w:before="0" w:after="283"/>
              <w:jc w:val="center"/>
              <w:rPr/>
            </w:pPr>
            <w:r>
              <w:rPr/>
              <w:t xml:space="preserve">  </w:t>
            </w:r>
          </w:p>
        </w:tc>
      </w:tr>
      <w:tr>
        <w:trPr/>
        <w:tc>
          <w:tcPr>
            <w:tcW w:w="7735" w:type="dxa"/>
            <w:tcBorders/>
            <w:shd w:fill="FFFFFF" w:val="clear"/>
            <w:vAlign w:val="bottom"/>
          </w:tcPr>
          <w:p>
            <w:pPr>
              <w:pStyle w:val="TableContents"/>
              <w:spacing w:before="0" w:after="283"/>
              <w:jc w:val="center"/>
              <w:rPr/>
            </w:pPr>
            <w:r>
              <w:rPr/>
              <w:t xml:space="preserve">  </w:t>
            </w:r>
          </w:p>
        </w:tc>
        <w:tc>
          <w:tcPr>
            <w:tcW w:w="214" w:type="dxa"/>
            <w:tcBorders/>
            <w:shd w:fill="FFFFFF" w:val="clear"/>
            <w:vAlign w:val="bottom"/>
          </w:tcPr>
          <w:p>
            <w:pPr>
              <w:pStyle w:val="TableContents"/>
              <w:spacing w:before="0" w:after="283"/>
              <w:jc w:val="center"/>
              <w:rPr/>
            </w:pPr>
            <w:r>
              <w:rPr/>
              <w:t xml:space="preserve">  </w:t>
            </w:r>
          </w:p>
        </w:tc>
        <w:tc>
          <w:tcPr>
            <w:tcW w:w="20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14" w:type="dxa"/>
            <w:tcBorders/>
            <w:shd w:fill="FFFFFF" w:val="clear"/>
            <w:vAlign w:val="bottom"/>
          </w:tcPr>
          <w:p>
            <w:pPr>
              <w:pStyle w:val="TableContents"/>
              <w:spacing w:before="0" w:after="283"/>
              <w:jc w:val="center"/>
              <w:rPr/>
            </w:pPr>
            <w:r>
              <w:rPr/>
              <w:t xml:space="preserve">  </w:t>
            </w:r>
          </w:p>
        </w:tc>
      </w:tr>
      <w:tr>
        <w:trPr/>
        <w:tc>
          <w:tcPr>
            <w:tcW w:w="7735" w:type="dxa"/>
            <w:tcBorders/>
            <w:shd w:fill="CCEEFF" w:val="clear"/>
            <w:vAlign w:val="bottom"/>
          </w:tcPr>
          <w:p>
            <w:pPr>
              <w:pStyle w:val="TableContents"/>
              <w:spacing w:before="0" w:after="0"/>
              <w:ind w:left="200" w:right="0" w:hanging="200"/>
              <w:jc w:val="left"/>
              <w:rPr>
                <w:sz w:val="17"/>
              </w:rPr>
            </w:pPr>
            <w:r>
              <w:rPr>
                <w:sz w:val="17"/>
              </w:rPr>
              <w:t xml:space="preserve">Canadian federal and provincial income tax: </w:t>
            </w:r>
          </w:p>
        </w:tc>
        <w:tc>
          <w:tcPr>
            <w:tcW w:w="214"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1588" w:type="dxa"/>
            <w:tcBorders/>
            <w:shd w:fill="CCEEFF" w:val="clear"/>
            <w:vAlign w:val="bottom"/>
          </w:tcPr>
          <w:p>
            <w:pPr>
              <w:pStyle w:val="TableContents"/>
              <w:spacing w:before="0" w:after="283"/>
              <w:jc w:val="right"/>
              <w:rPr/>
            </w:pPr>
            <w:r>
              <w:rPr/>
              <w:t xml:space="preserve">  </w:t>
            </w:r>
          </w:p>
        </w:tc>
        <w:tc>
          <w:tcPr>
            <w:tcW w:w="214" w:type="dxa"/>
            <w:tcBorders/>
            <w:shd w:fill="CCEEFF" w:val="clear"/>
            <w:vAlign w:val="bottom"/>
          </w:tcPr>
          <w:p>
            <w:pPr>
              <w:pStyle w:val="TableContents"/>
              <w:spacing w:before="0" w:after="283"/>
              <w:jc w:val="left"/>
              <w:rPr/>
            </w:pPr>
            <w:r>
              <w:rPr/>
              <w:t xml:space="preserve">  </w:t>
            </w:r>
          </w:p>
        </w:tc>
      </w:tr>
      <w:tr>
        <w:trPr/>
        <w:tc>
          <w:tcPr>
            <w:tcW w:w="7735" w:type="dxa"/>
            <w:tcBorders/>
            <w:shd w:fill="FFFFFF" w:val="clear"/>
            <w:vAlign w:val="bottom"/>
          </w:tcPr>
          <w:p>
            <w:pPr>
              <w:pStyle w:val="TableContents"/>
              <w:spacing w:before="0" w:after="0"/>
              <w:ind w:left="400" w:right="0" w:hanging="200"/>
              <w:jc w:val="left"/>
              <w:rPr>
                <w:sz w:val="17"/>
              </w:rPr>
            </w:pPr>
            <w:r>
              <w:rPr>
                <w:sz w:val="17"/>
              </w:rPr>
              <w:t xml:space="preserve">Current </w:t>
            </w:r>
          </w:p>
        </w:tc>
        <w:tc>
          <w:tcPr>
            <w:tcW w:w="214"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1588" w:type="dxa"/>
            <w:tcBorders/>
            <w:shd w:fill="FFFFFF" w:val="clear"/>
            <w:vAlign w:val="bottom"/>
          </w:tcPr>
          <w:p>
            <w:pPr>
              <w:pStyle w:val="TableContents"/>
              <w:spacing w:before="0" w:after="283"/>
              <w:jc w:val="right"/>
              <w:rPr/>
            </w:pPr>
            <w:r>
              <w:rPr/>
              <w:t xml:space="preserve">0.4 </w:t>
            </w:r>
          </w:p>
        </w:tc>
        <w:tc>
          <w:tcPr>
            <w:tcW w:w="214" w:type="dxa"/>
            <w:tcBorders/>
            <w:shd w:fill="FFFFFF" w:val="clear"/>
            <w:vAlign w:val="bottom"/>
          </w:tcPr>
          <w:p>
            <w:pPr>
              <w:pStyle w:val="TableContents"/>
              <w:spacing w:before="0" w:after="283"/>
              <w:jc w:val="left"/>
              <w:rPr/>
            </w:pPr>
            <w:r>
              <w:rPr/>
              <w:t xml:space="preserve">  </w:t>
            </w:r>
          </w:p>
        </w:tc>
      </w:tr>
      <w:tr>
        <w:trPr/>
        <w:tc>
          <w:tcPr>
            <w:tcW w:w="7735" w:type="dxa"/>
            <w:tcBorders/>
            <w:shd w:fill="CCEEFF" w:val="clear"/>
            <w:vAlign w:val="bottom"/>
          </w:tcPr>
          <w:p>
            <w:pPr>
              <w:pStyle w:val="TableContents"/>
              <w:spacing w:before="0" w:after="0"/>
              <w:ind w:left="400" w:right="0" w:hanging="200"/>
              <w:jc w:val="left"/>
              <w:rPr>
                <w:sz w:val="17"/>
              </w:rPr>
            </w:pPr>
            <w:r>
              <w:rPr>
                <w:sz w:val="17"/>
              </w:rPr>
              <w:t xml:space="preserve">Deferred </w:t>
            </w:r>
          </w:p>
        </w:tc>
        <w:tc>
          <w:tcPr>
            <w:tcW w:w="214" w:type="dxa"/>
            <w:tcBorders/>
            <w:shd w:fill="CCEEFF" w:val="clear"/>
            <w:vAlign w:val="bottom"/>
          </w:tcPr>
          <w:p>
            <w:pPr>
              <w:pStyle w:val="TableContents"/>
              <w:spacing w:before="0" w:after="283"/>
              <w:rPr/>
            </w:pPr>
            <w:r>
              <w:rPr/>
              <w:t xml:space="preserve">  </w:t>
            </w:r>
          </w:p>
        </w:tc>
        <w:tc>
          <w:tcPr>
            <w:tcW w:w="454" w:type="dxa"/>
            <w:tcBorders/>
            <w:shd w:fill="CCEEFF" w:val="clear"/>
            <w:vAlign w:val="bottom"/>
          </w:tcPr>
          <w:p>
            <w:pPr>
              <w:pStyle w:val="TableContents"/>
              <w:spacing w:before="0" w:after="283"/>
              <w:jc w:val="left"/>
              <w:rPr/>
            </w:pPr>
            <w:r>
              <w:rPr/>
              <w:t xml:space="preserve">  </w:t>
            </w:r>
          </w:p>
        </w:tc>
        <w:tc>
          <w:tcPr>
            <w:tcW w:w="1588" w:type="dxa"/>
            <w:tcBorders/>
            <w:shd w:fill="CCEEFF" w:val="clear"/>
            <w:vAlign w:val="bottom"/>
          </w:tcPr>
          <w:p>
            <w:pPr>
              <w:pStyle w:val="TableContents"/>
              <w:spacing w:before="0" w:after="283"/>
              <w:jc w:val="right"/>
              <w:rPr/>
            </w:pPr>
            <w:r>
              <w:rPr/>
              <w:t xml:space="preserve">(0.1 </w:t>
            </w:r>
          </w:p>
        </w:tc>
        <w:tc>
          <w:tcPr>
            <w:tcW w:w="214" w:type="dxa"/>
            <w:tcBorders/>
            <w:shd w:fill="CCEEFF" w:val="clear"/>
            <w:vAlign w:val="bottom"/>
          </w:tcPr>
          <w:p>
            <w:pPr>
              <w:pStyle w:val="TableContents"/>
              <w:spacing w:before="0" w:after="283"/>
              <w:jc w:val="left"/>
              <w:rPr/>
            </w:pPr>
            <w:r>
              <w:rPr/>
              <w:t xml:space="preserve">) </w:t>
            </w:r>
          </w:p>
        </w:tc>
      </w:tr>
      <w:tr>
        <w:trPr/>
        <w:tc>
          <w:tcPr>
            <w:tcW w:w="773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4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8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r>
      <w:tr>
        <w:trPr/>
        <w:tc>
          <w:tcPr>
            <w:tcW w:w="7735" w:type="dxa"/>
            <w:tcBorders/>
            <w:shd w:fill="FFFFFF" w:val="clear"/>
            <w:vAlign w:val="bottom"/>
          </w:tcPr>
          <w:p>
            <w:pPr>
              <w:pStyle w:val="TableContents"/>
              <w:spacing w:before="0" w:after="0"/>
              <w:ind w:left="200" w:right="0" w:hanging="200"/>
              <w:jc w:val="left"/>
              <w:rPr>
                <w:sz w:val="17"/>
              </w:rPr>
            </w:pPr>
            <w:r>
              <w:rPr>
                <w:sz w:val="17"/>
              </w:rPr>
              <w:t xml:space="preserve">Total </w:t>
            </w:r>
          </w:p>
        </w:tc>
        <w:tc>
          <w:tcPr>
            <w:tcW w:w="214" w:type="dxa"/>
            <w:tcBorders/>
            <w:shd w:fill="FFFFFF" w:val="clear"/>
            <w:vAlign w:val="bottom"/>
          </w:tcPr>
          <w:p>
            <w:pPr>
              <w:pStyle w:val="TableContents"/>
              <w:spacing w:before="0" w:after="283"/>
              <w:rPr/>
            </w:pPr>
            <w:r>
              <w:rPr/>
              <w:t xml:space="preserve">  </w:t>
            </w:r>
          </w:p>
        </w:tc>
        <w:tc>
          <w:tcPr>
            <w:tcW w:w="454" w:type="dxa"/>
            <w:tcBorders/>
            <w:shd w:fill="FFFFFF" w:val="clear"/>
            <w:vAlign w:val="bottom"/>
          </w:tcPr>
          <w:p>
            <w:pPr>
              <w:pStyle w:val="TableContents"/>
              <w:spacing w:before="0" w:after="283"/>
              <w:jc w:val="left"/>
              <w:rPr/>
            </w:pPr>
            <w:r>
              <w:rPr/>
              <w:t xml:space="preserve">$ </w:t>
            </w:r>
          </w:p>
        </w:tc>
        <w:tc>
          <w:tcPr>
            <w:tcW w:w="1588" w:type="dxa"/>
            <w:tcBorders/>
            <w:shd w:fill="FFFFFF" w:val="clear"/>
            <w:vAlign w:val="bottom"/>
          </w:tcPr>
          <w:p>
            <w:pPr>
              <w:pStyle w:val="TableContents"/>
              <w:spacing w:before="0" w:after="283"/>
              <w:jc w:val="right"/>
              <w:rPr/>
            </w:pPr>
            <w:r>
              <w:rPr/>
              <w:t xml:space="preserve">0.3 </w:t>
            </w:r>
          </w:p>
        </w:tc>
        <w:tc>
          <w:tcPr>
            <w:tcW w:w="214" w:type="dxa"/>
            <w:tcBorders/>
            <w:shd w:fill="FFFFFF" w:val="clear"/>
            <w:vAlign w:val="bottom"/>
          </w:tcPr>
          <w:p>
            <w:pPr>
              <w:pStyle w:val="TableContents"/>
              <w:spacing w:before="0" w:after="283"/>
              <w:jc w:val="left"/>
              <w:rPr/>
            </w:pPr>
            <w:r>
              <w:rPr/>
              <w:t xml:space="preserve">  </w:t>
            </w:r>
          </w:p>
        </w:tc>
      </w:tr>
      <w:tr>
        <w:trPr/>
        <w:tc>
          <w:tcPr>
            <w:tcW w:w="7735"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c>
          <w:tcPr>
            <w:tcW w:w="4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8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difference between the statutory federal income tax rate and our effective income tax rate is summarized as follows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745"/>
        <w:gridCol w:w="212"/>
        <w:gridCol w:w="332"/>
        <w:gridCol w:w="1621"/>
        <w:gridCol w:w="295"/>
      </w:tblGrid>
      <w:tr>
        <w:trPr/>
        <w:tc>
          <w:tcPr>
            <w:tcW w:w="7745"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332" w:type="dxa"/>
            <w:tcBorders/>
            <w:shd w:fill="FFFFFF" w:val="clear"/>
            <w:vAlign w:val="bottom"/>
          </w:tcPr>
          <w:p>
            <w:pPr>
              <w:pStyle w:val="TableContents"/>
              <w:spacing w:before="0" w:after="283"/>
              <w:jc w:val="right"/>
              <w:rPr/>
            </w:pPr>
            <w:r>
              <w:rPr/>
              <w:t> </w:t>
            </w:r>
          </w:p>
        </w:tc>
        <w:tc>
          <w:tcPr>
            <w:tcW w:w="1621" w:type="dxa"/>
            <w:tcBorders/>
            <w:shd w:fill="FFFFFF" w:val="clear"/>
            <w:vAlign w:val="bottom"/>
          </w:tcPr>
          <w:p>
            <w:pPr>
              <w:pStyle w:val="TableContents"/>
              <w:spacing w:before="0" w:after="283"/>
              <w:jc w:val="right"/>
              <w:rPr/>
            </w:pPr>
            <w:r>
              <w:rPr/>
              <w:t> </w:t>
            </w:r>
          </w:p>
        </w:tc>
        <w:tc>
          <w:tcPr>
            <w:tcW w:w="295" w:type="dxa"/>
            <w:tcBorders/>
            <w:shd w:fill="FFFFFF" w:val="clear"/>
            <w:vAlign w:val="bottom"/>
          </w:tcPr>
          <w:p>
            <w:pPr>
              <w:pStyle w:val="TableContents"/>
              <w:spacing w:before="0" w:after="283"/>
              <w:jc w:val="left"/>
              <w:rPr/>
            </w:pPr>
            <w:r>
              <w:rPr/>
              <w:t> </w:t>
            </w:r>
          </w:p>
        </w:tc>
      </w:tr>
      <w:tr>
        <w:trPr/>
        <w:tc>
          <w:tcPr>
            <w:tcW w:w="7745" w:type="dxa"/>
            <w:tcBorders/>
            <w:shd w:fill="FFFFFF" w:val="clear"/>
            <w:vAlign w:val="bottom"/>
          </w:tcPr>
          <w:p>
            <w:pPr>
              <w:pStyle w:val="TableContents"/>
              <w:spacing w:before="0" w:after="283"/>
              <w:jc w:val="center"/>
              <w:rPr/>
            </w:pPr>
            <w:r>
              <w:rPr/>
              <w:t xml:space="preserve">  </w:t>
            </w:r>
          </w:p>
        </w:tc>
        <w:tc>
          <w:tcPr>
            <w:tcW w:w="212" w:type="dxa"/>
            <w:tcBorders/>
            <w:shd w:fill="FFFFFF" w:val="clear"/>
            <w:vAlign w:val="bottom"/>
          </w:tcPr>
          <w:p>
            <w:pPr>
              <w:pStyle w:val="TableContents"/>
              <w:spacing w:before="0" w:after="283"/>
              <w:jc w:val="center"/>
              <w:rPr/>
            </w:pPr>
            <w:r>
              <w:rPr/>
              <w:t xml:space="preserve">  </w:t>
            </w:r>
          </w:p>
        </w:tc>
        <w:tc>
          <w:tcPr>
            <w:tcW w:w="1953" w:type="dxa"/>
            <w:gridSpan w:val="2"/>
            <w:tcBorders/>
            <w:shd w:fill="FFFFFF" w:val="clear"/>
            <w:vAlign w:val="bottom"/>
          </w:tcPr>
          <w:p>
            <w:pPr>
              <w:pStyle w:val="TableContents"/>
              <w:spacing w:before="0" w:after="0"/>
              <w:jc w:val="center"/>
              <w:rPr>
                <w:bdr w:val="single" w:sz="2" w:space="1" w:color="000000"/>
              </w:rPr>
            </w:pPr>
            <w:r>
              <w:rPr>
                <w:b/>
                <w:bdr w:val="single" w:sz="2" w:space="1" w:color="000000"/>
              </w:rPr>
              <w:t>December 31,</w:t>
            </w:r>
            <w:r>
              <w:rPr>
                <w:bdr w:val="single" w:sz="2" w:space="1" w:color="000000"/>
              </w:rPr>
              <w:t xml:space="preserve"> </w:t>
            </w:r>
          </w:p>
        </w:tc>
        <w:tc>
          <w:tcPr>
            <w:tcW w:w="295" w:type="dxa"/>
            <w:tcBorders/>
            <w:shd w:fill="FFFFFF" w:val="clear"/>
            <w:vAlign w:val="bottom"/>
          </w:tcPr>
          <w:p>
            <w:pPr>
              <w:pStyle w:val="TableContents"/>
              <w:spacing w:before="0" w:after="283"/>
              <w:jc w:val="center"/>
              <w:rPr/>
            </w:pPr>
            <w:r>
              <w:rPr/>
              <w:t xml:space="preserve">  </w:t>
            </w:r>
          </w:p>
        </w:tc>
      </w:tr>
      <w:tr>
        <w:trPr/>
        <w:tc>
          <w:tcPr>
            <w:tcW w:w="7745" w:type="dxa"/>
            <w:tcBorders/>
            <w:shd w:fill="FFFFFF" w:val="clear"/>
            <w:vAlign w:val="bottom"/>
          </w:tcPr>
          <w:p>
            <w:pPr>
              <w:pStyle w:val="TableContents"/>
              <w:spacing w:before="0" w:after="283"/>
              <w:jc w:val="center"/>
              <w:rPr/>
            </w:pPr>
            <w:r>
              <w:rPr/>
              <w:t xml:space="preserve">  </w:t>
            </w:r>
          </w:p>
        </w:tc>
        <w:tc>
          <w:tcPr>
            <w:tcW w:w="212" w:type="dxa"/>
            <w:tcBorders/>
            <w:shd w:fill="FFFFFF" w:val="clear"/>
            <w:vAlign w:val="bottom"/>
          </w:tcPr>
          <w:p>
            <w:pPr>
              <w:pStyle w:val="TableContents"/>
              <w:spacing w:before="0" w:after="283"/>
              <w:jc w:val="center"/>
              <w:rPr/>
            </w:pPr>
            <w:r>
              <w:rPr/>
              <w:t xml:space="preserve">  </w:t>
            </w:r>
          </w:p>
        </w:tc>
        <w:tc>
          <w:tcPr>
            <w:tcW w:w="19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95" w:type="dxa"/>
            <w:tcBorders/>
            <w:shd w:fill="FFFFFF" w:val="clear"/>
            <w:vAlign w:val="bottom"/>
          </w:tcPr>
          <w:p>
            <w:pPr>
              <w:pStyle w:val="TableContents"/>
              <w:spacing w:before="0" w:after="283"/>
              <w:jc w:val="center"/>
              <w:rPr/>
            </w:pPr>
            <w:r>
              <w:rPr/>
              <w:t xml:space="preserve">  </w:t>
            </w:r>
          </w:p>
        </w:tc>
      </w:tr>
      <w:tr>
        <w:trPr/>
        <w:tc>
          <w:tcPr>
            <w:tcW w:w="7745" w:type="dxa"/>
            <w:tcBorders/>
            <w:shd w:fill="CCEEFF" w:val="clear"/>
            <w:vAlign w:val="bottom"/>
          </w:tcPr>
          <w:p>
            <w:pPr>
              <w:pStyle w:val="TableContents"/>
              <w:spacing w:before="0" w:after="0"/>
              <w:ind w:left="200" w:right="0" w:hanging="200"/>
              <w:jc w:val="left"/>
              <w:rPr>
                <w:sz w:val="17"/>
              </w:rPr>
            </w:pPr>
            <w:r>
              <w:rPr>
                <w:sz w:val="17"/>
              </w:rPr>
              <w:t xml:space="preserve">Earnings before income tax </w:t>
            </w:r>
          </w:p>
        </w:tc>
        <w:tc>
          <w:tcPr>
            <w:tcW w:w="212" w:type="dxa"/>
            <w:tcBorders/>
            <w:shd w:fill="CCEEFF" w:val="clear"/>
            <w:vAlign w:val="bottom"/>
          </w:tcPr>
          <w:p>
            <w:pPr>
              <w:pStyle w:val="TableContents"/>
              <w:spacing w:before="0" w:after="283"/>
              <w:rPr/>
            </w:pPr>
            <w:r>
              <w:rPr/>
              <w:t xml:space="preserve">  </w:t>
            </w:r>
          </w:p>
        </w:tc>
        <w:tc>
          <w:tcPr>
            <w:tcW w:w="332" w:type="dxa"/>
            <w:tcBorders/>
            <w:shd w:fill="CCEEFF" w:val="clear"/>
            <w:vAlign w:val="bottom"/>
          </w:tcPr>
          <w:p>
            <w:pPr>
              <w:pStyle w:val="TableContents"/>
              <w:spacing w:before="0" w:after="283"/>
              <w:jc w:val="left"/>
              <w:rPr/>
            </w:pPr>
            <w:r>
              <w:rPr/>
              <w:t xml:space="preserve">$ </w:t>
            </w:r>
          </w:p>
        </w:tc>
        <w:tc>
          <w:tcPr>
            <w:tcW w:w="1621" w:type="dxa"/>
            <w:tcBorders/>
            <w:shd w:fill="CCEEFF" w:val="clear"/>
            <w:vAlign w:val="bottom"/>
          </w:tcPr>
          <w:p>
            <w:pPr>
              <w:pStyle w:val="TableContents"/>
              <w:spacing w:before="0" w:after="283"/>
              <w:jc w:val="right"/>
              <w:rPr/>
            </w:pPr>
            <w:r>
              <w:rPr/>
              <w:t xml:space="preserve">285.4 </w:t>
            </w:r>
          </w:p>
        </w:tc>
        <w:tc>
          <w:tcPr>
            <w:tcW w:w="295" w:type="dxa"/>
            <w:tcBorders/>
            <w:shd w:fill="CCEE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0"/>
              <w:ind w:left="200" w:right="0" w:hanging="200"/>
              <w:jc w:val="left"/>
              <w:rPr>
                <w:sz w:val="17"/>
              </w:rPr>
            </w:pPr>
            <w:r>
              <w:rPr>
                <w:sz w:val="17"/>
              </w:rPr>
              <w:t xml:space="preserve">Partnership earnings not subject to tax </w:t>
            </w:r>
          </w:p>
        </w:tc>
        <w:tc>
          <w:tcPr>
            <w:tcW w:w="212"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jc w:val="left"/>
              <w:rPr/>
            </w:pPr>
            <w:r>
              <w:rPr/>
              <w:t xml:space="preserve">  </w:t>
            </w:r>
          </w:p>
        </w:tc>
        <w:tc>
          <w:tcPr>
            <w:tcW w:w="1621" w:type="dxa"/>
            <w:tcBorders/>
            <w:shd w:fill="FFFFFF" w:val="clear"/>
            <w:vAlign w:val="bottom"/>
          </w:tcPr>
          <w:p>
            <w:pPr>
              <w:pStyle w:val="TableContents"/>
              <w:spacing w:before="0" w:after="283"/>
              <w:jc w:val="right"/>
              <w:rPr/>
            </w:pPr>
            <w:r>
              <w:rPr/>
              <w:t xml:space="preserve">(285.2 </w:t>
            </w:r>
          </w:p>
        </w:tc>
        <w:tc>
          <w:tcPr>
            <w:tcW w:w="295" w:type="dxa"/>
            <w:tcBorders/>
            <w:shd w:fill="FFFF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3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rPr/>
            </w:pPr>
            <w:r>
              <w:rPr/>
              <w:t xml:space="preserve">  </w:t>
            </w:r>
          </w:p>
        </w:tc>
      </w:tr>
      <w:tr>
        <w:trPr/>
        <w:tc>
          <w:tcPr>
            <w:tcW w:w="7745" w:type="dxa"/>
            <w:tcBorders/>
            <w:shd w:fill="CCEEFF" w:val="clear"/>
            <w:vAlign w:val="bottom"/>
          </w:tcPr>
          <w:p>
            <w:pPr>
              <w:pStyle w:val="TableContents"/>
              <w:spacing w:before="0" w:after="283"/>
              <w:jc w:val="left"/>
              <w:rPr/>
            </w:pPr>
            <w:r>
              <w:rPr/>
              <w:t xml:space="preserve">  </w:t>
            </w:r>
          </w:p>
        </w:tc>
        <w:tc>
          <w:tcPr>
            <w:tcW w:w="212" w:type="dxa"/>
            <w:tcBorders/>
            <w:shd w:fill="CCEEFF" w:val="clear"/>
            <w:vAlign w:val="bottom"/>
          </w:tcPr>
          <w:p>
            <w:pPr>
              <w:pStyle w:val="TableContents"/>
              <w:spacing w:before="0" w:after="283"/>
              <w:rPr/>
            </w:pPr>
            <w:r>
              <w:rPr/>
              <w:t xml:space="preserve">  </w:t>
            </w:r>
          </w:p>
        </w:tc>
        <w:tc>
          <w:tcPr>
            <w:tcW w:w="332" w:type="dxa"/>
            <w:tcBorders/>
            <w:shd w:fill="CCEEFF" w:val="clear"/>
            <w:vAlign w:val="bottom"/>
          </w:tcPr>
          <w:p>
            <w:pPr>
              <w:pStyle w:val="TableContents"/>
              <w:spacing w:before="0" w:after="283"/>
              <w:jc w:val="left"/>
              <w:rPr/>
            </w:pPr>
            <w:r>
              <w:rPr/>
              <w:t xml:space="preserve">  </w:t>
            </w:r>
          </w:p>
        </w:tc>
        <w:tc>
          <w:tcPr>
            <w:tcW w:w="1621" w:type="dxa"/>
            <w:tcBorders/>
            <w:shd w:fill="CCEEFF" w:val="clear"/>
            <w:vAlign w:val="bottom"/>
          </w:tcPr>
          <w:p>
            <w:pPr>
              <w:pStyle w:val="TableContents"/>
              <w:spacing w:before="0" w:after="283"/>
              <w:jc w:val="right"/>
              <w:rPr/>
            </w:pPr>
            <w:r>
              <w:rPr/>
              <w:t xml:space="preserve">0.2 </w:t>
            </w:r>
          </w:p>
        </w:tc>
        <w:tc>
          <w:tcPr>
            <w:tcW w:w="295" w:type="dxa"/>
            <w:tcBorders/>
            <w:shd w:fill="CCEE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0"/>
              <w:ind w:left="200" w:right="0" w:hanging="200"/>
              <w:jc w:val="left"/>
              <w:rPr>
                <w:sz w:val="17"/>
              </w:rPr>
            </w:pPr>
            <w:r>
              <w:rPr>
                <w:sz w:val="17"/>
              </w:rPr>
              <w:t xml:space="preserve">Federal and provincial income tax rate </w:t>
            </w:r>
          </w:p>
        </w:tc>
        <w:tc>
          <w:tcPr>
            <w:tcW w:w="212"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jc w:val="left"/>
              <w:rPr/>
            </w:pPr>
            <w:r>
              <w:rPr/>
              <w:t xml:space="preserve">  </w:t>
            </w:r>
          </w:p>
        </w:tc>
        <w:tc>
          <w:tcPr>
            <w:tcW w:w="1621" w:type="dxa"/>
            <w:tcBorders/>
            <w:shd w:fill="FFFFFF" w:val="clear"/>
            <w:vAlign w:val="bottom"/>
          </w:tcPr>
          <w:p>
            <w:pPr>
              <w:pStyle w:val="TableContents"/>
              <w:spacing w:before="0" w:after="283"/>
              <w:jc w:val="right"/>
              <w:rPr/>
            </w:pPr>
            <w:r>
              <w:rPr/>
              <w:t xml:space="preserve">32.5 </w:t>
            </w:r>
          </w:p>
        </w:tc>
        <w:tc>
          <w:tcPr>
            <w:tcW w:w="295" w:type="dxa"/>
            <w:tcBorders/>
            <w:shd w:fill="FFFF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3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rPr/>
            </w:pPr>
            <w:r>
              <w:rPr/>
              <w:t xml:space="preserve">  </w:t>
            </w:r>
          </w:p>
        </w:tc>
      </w:tr>
      <w:tr>
        <w:trPr/>
        <w:tc>
          <w:tcPr>
            <w:tcW w:w="7745" w:type="dxa"/>
            <w:tcBorders/>
            <w:shd w:fill="CCEEFF" w:val="clear"/>
            <w:vAlign w:val="bottom"/>
          </w:tcPr>
          <w:p>
            <w:pPr>
              <w:pStyle w:val="TableContents"/>
              <w:spacing w:before="0" w:after="0"/>
              <w:ind w:left="200" w:right="0" w:hanging="200"/>
              <w:jc w:val="left"/>
              <w:rPr>
                <w:sz w:val="17"/>
              </w:rPr>
            </w:pPr>
            <w:r>
              <w:rPr>
                <w:sz w:val="17"/>
              </w:rPr>
              <w:t xml:space="preserve">Income tax at statutory rate </w:t>
            </w:r>
          </w:p>
        </w:tc>
        <w:tc>
          <w:tcPr>
            <w:tcW w:w="212" w:type="dxa"/>
            <w:tcBorders/>
            <w:shd w:fill="CCEEFF" w:val="clear"/>
            <w:vAlign w:val="bottom"/>
          </w:tcPr>
          <w:p>
            <w:pPr>
              <w:pStyle w:val="TableContents"/>
              <w:spacing w:before="0" w:after="283"/>
              <w:rPr/>
            </w:pPr>
            <w:r>
              <w:rPr/>
              <w:t xml:space="preserve">  </w:t>
            </w:r>
          </w:p>
        </w:tc>
        <w:tc>
          <w:tcPr>
            <w:tcW w:w="332" w:type="dxa"/>
            <w:tcBorders/>
            <w:shd w:fill="CCEEFF" w:val="clear"/>
            <w:vAlign w:val="bottom"/>
          </w:tcPr>
          <w:p>
            <w:pPr>
              <w:pStyle w:val="TableContents"/>
              <w:spacing w:before="0" w:after="283"/>
              <w:jc w:val="left"/>
              <w:rPr/>
            </w:pPr>
            <w:r>
              <w:rPr/>
              <w:t xml:space="preserve">$ </w:t>
            </w:r>
          </w:p>
        </w:tc>
        <w:tc>
          <w:tcPr>
            <w:tcW w:w="1621" w:type="dxa"/>
            <w:tcBorders/>
            <w:shd w:fill="CCEEFF" w:val="clear"/>
            <w:vAlign w:val="bottom"/>
          </w:tcPr>
          <w:p>
            <w:pPr>
              <w:pStyle w:val="TableContents"/>
              <w:spacing w:before="0" w:after="283"/>
              <w:jc w:val="right"/>
              <w:rPr/>
            </w:pPr>
            <w:r>
              <w:rPr/>
              <w:t xml:space="preserve">0.1 </w:t>
            </w:r>
          </w:p>
        </w:tc>
        <w:tc>
          <w:tcPr>
            <w:tcW w:w="295" w:type="dxa"/>
            <w:tcBorders/>
            <w:shd w:fill="CCEE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0"/>
              <w:ind w:left="200" w:right="0" w:hanging="200"/>
              <w:jc w:val="left"/>
              <w:rPr>
                <w:sz w:val="17"/>
              </w:rPr>
            </w:pPr>
            <w:r>
              <w:rPr>
                <w:sz w:val="17"/>
              </w:rPr>
              <w:t xml:space="preserve">Increase as a result of other book versus tax differences </w:t>
            </w:r>
          </w:p>
        </w:tc>
        <w:tc>
          <w:tcPr>
            <w:tcW w:w="212"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jc w:val="left"/>
              <w:rPr/>
            </w:pPr>
            <w:r>
              <w:rPr/>
              <w:t xml:space="preserve">  </w:t>
            </w:r>
          </w:p>
        </w:tc>
        <w:tc>
          <w:tcPr>
            <w:tcW w:w="1621" w:type="dxa"/>
            <w:tcBorders/>
            <w:shd w:fill="FFFFFF" w:val="clear"/>
            <w:vAlign w:val="bottom"/>
          </w:tcPr>
          <w:p>
            <w:pPr>
              <w:pStyle w:val="TableContents"/>
              <w:spacing w:before="0" w:after="283"/>
              <w:jc w:val="right"/>
              <w:rPr/>
            </w:pPr>
            <w:r>
              <w:rPr/>
              <w:t xml:space="preserve">0.2 </w:t>
            </w:r>
          </w:p>
        </w:tc>
        <w:tc>
          <w:tcPr>
            <w:tcW w:w="295" w:type="dxa"/>
            <w:tcBorders/>
            <w:shd w:fill="FFFF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283"/>
              <w:jc w:val="left"/>
              <w:rPr/>
            </w:pPr>
            <w:r>
              <w:rPr/>
              <w:t xml:space="preserve">  </w:t>
            </w:r>
          </w:p>
        </w:tc>
        <w:tc>
          <w:tcPr>
            <w:tcW w:w="212"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jc w:val="left"/>
              <w:rPr/>
            </w:pPr>
            <w:r>
              <w:rPr/>
              <w:t xml:space="preserve">  </w:t>
            </w:r>
          </w:p>
        </w:tc>
        <w:tc>
          <w:tcPr>
            <w:tcW w:w="1621" w:type="dxa"/>
            <w:tcBorders/>
            <w:shd w:fill="FFFFFF" w:val="clear"/>
            <w:vAlign w:val="bottom"/>
          </w:tcPr>
          <w:p>
            <w:pPr>
              <w:pStyle w:val="TableContents"/>
              <w:spacing w:before="0" w:after="283"/>
              <w:jc w:val="right"/>
              <w:rPr/>
            </w:pPr>
            <w:r>
              <w:rPr/>
              <w:t xml:space="preserve">  </w:t>
            </w:r>
          </w:p>
        </w:tc>
        <w:tc>
          <w:tcPr>
            <w:tcW w:w="295" w:type="dxa"/>
            <w:tcBorders/>
            <w:shd w:fill="FFFF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3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rPr/>
            </w:pPr>
            <w:r>
              <w:rPr/>
              <w:t xml:space="preserve">  </w:t>
            </w:r>
          </w:p>
        </w:tc>
      </w:tr>
      <w:tr>
        <w:trPr/>
        <w:tc>
          <w:tcPr>
            <w:tcW w:w="7745" w:type="dxa"/>
            <w:tcBorders/>
            <w:shd w:fill="CCEEFF" w:val="clear"/>
            <w:vAlign w:val="bottom"/>
          </w:tcPr>
          <w:p>
            <w:pPr>
              <w:pStyle w:val="TableContents"/>
              <w:spacing w:before="0" w:after="0"/>
              <w:ind w:left="200" w:right="0" w:hanging="200"/>
              <w:jc w:val="left"/>
              <w:rPr>
                <w:sz w:val="17"/>
              </w:rPr>
            </w:pPr>
            <w:r>
              <w:rPr>
                <w:sz w:val="17"/>
              </w:rPr>
              <w:t xml:space="preserve">Total tax expense </w:t>
            </w:r>
          </w:p>
        </w:tc>
        <w:tc>
          <w:tcPr>
            <w:tcW w:w="212" w:type="dxa"/>
            <w:tcBorders/>
            <w:shd w:fill="CCEEFF" w:val="clear"/>
            <w:vAlign w:val="bottom"/>
          </w:tcPr>
          <w:p>
            <w:pPr>
              <w:pStyle w:val="TableContents"/>
              <w:spacing w:before="0" w:after="283"/>
              <w:rPr/>
            </w:pPr>
            <w:r>
              <w:rPr/>
              <w:t xml:space="preserve">  </w:t>
            </w:r>
          </w:p>
        </w:tc>
        <w:tc>
          <w:tcPr>
            <w:tcW w:w="332" w:type="dxa"/>
            <w:tcBorders/>
            <w:shd w:fill="CCEEFF" w:val="clear"/>
            <w:vAlign w:val="bottom"/>
          </w:tcPr>
          <w:p>
            <w:pPr>
              <w:pStyle w:val="TableContents"/>
              <w:spacing w:before="0" w:after="283"/>
              <w:jc w:val="left"/>
              <w:rPr/>
            </w:pPr>
            <w:r>
              <w:rPr/>
              <w:t xml:space="preserve">$ </w:t>
            </w:r>
          </w:p>
        </w:tc>
        <w:tc>
          <w:tcPr>
            <w:tcW w:w="1621" w:type="dxa"/>
            <w:tcBorders/>
            <w:shd w:fill="CCEEFF" w:val="clear"/>
            <w:vAlign w:val="bottom"/>
          </w:tcPr>
          <w:p>
            <w:pPr>
              <w:pStyle w:val="TableContents"/>
              <w:spacing w:before="0" w:after="283"/>
              <w:jc w:val="right"/>
              <w:rPr/>
            </w:pPr>
            <w:r>
              <w:rPr/>
              <w:t xml:space="preserve">0.3 </w:t>
            </w:r>
          </w:p>
        </w:tc>
        <w:tc>
          <w:tcPr>
            <w:tcW w:w="295" w:type="dxa"/>
            <w:tcBorders/>
            <w:shd w:fill="CCEEFF" w:val="clear"/>
            <w:vAlign w:val="bottom"/>
          </w:tcPr>
          <w:p>
            <w:pPr>
              <w:pStyle w:val="TableContents"/>
              <w:spacing w:before="0" w:after="283"/>
              <w:jc w:val="left"/>
              <w:rPr/>
            </w:pPr>
            <w:r>
              <w:rPr/>
              <w:t xml:space="preserve">  </w:t>
            </w:r>
          </w:p>
        </w:tc>
      </w:tr>
      <w:tr>
        <w:trPr/>
        <w:tc>
          <w:tcPr>
            <w:tcW w:w="7745"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3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Deferred tax assets and liabilities, which are included within other long-term liabilities and deferred credits in our consolidated balance sheet, result from the following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792"/>
        <w:gridCol w:w="215"/>
        <w:gridCol w:w="380"/>
        <w:gridCol w:w="1611"/>
        <w:gridCol w:w="207"/>
      </w:tblGrid>
      <w:tr>
        <w:trPr/>
        <w:tc>
          <w:tcPr>
            <w:tcW w:w="7792"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380" w:type="dxa"/>
            <w:tcBorders/>
            <w:shd w:fill="FFFFFF" w:val="clear"/>
            <w:vAlign w:val="bottom"/>
          </w:tcPr>
          <w:p>
            <w:pPr>
              <w:pStyle w:val="TableContents"/>
              <w:spacing w:before="0" w:after="283"/>
              <w:jc w:val="right"/>
              <w:rPr/>
            </w:pPr>
            <w:r>
              <w:rPr/>
              <w:t> </w:t>
            </w:r>
          </w:p>
        </w:tc>
        <w:tc>
          <w:tcPr>
            <w:tcW w:w="1611"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7792" w:type="dxa"/>
            <w:tcBorders/>
            <w:shd w:fill="FFFFFF" w:val="clear"/>
            <w:vAlign w:val="bottom"/>
          </w:tcPr>
          <w:p>
            <w:pPr>
              <w:pStyle w:val="TableContents"/>
              <w:spacing w:before="0" w:after="283"/>
              <w:jc w:val="center"/>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19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207" w:type="dxa"/>
            <w:tcBorders/>
            <w:shd w:fill="FFFFFF" w:val="clear"/>
            <w:vAlign w:val="bottom"/>
          </w:tcPr>
          <w:p>
            <w:pPr>
              <w:pStyle w:val="TableContents"/>
              <w:spacing w:before="0" w:after="283"/>
              <w:jc w:val="center"/>
              <w:rPr/>
            </w:pPr>
            <w:r>
              <w:rPr/>
              <w:t xml:space="preserve">  </w:t>
            </w:r>
          </w:p>
        </w:tc>
      </w:tr>
      <w:tr>
        <w:trPr/>
        <w:tc>
          <w:tcPr>
            <w:tcW w:w="7792" w:type="dxa"/>
            <w:tcBorders/>
            <w:shd w:fill="FFFFFF" w:val="clear"/>
            <w:vAlign w:val="bottom"/>
          </w:tcPr>
          <w:p>
            <w:pPr>
              <w:pStyle w:val="TableContents"/>
              <w:spacing w:before="0" w:after="283"/>
              <w:jc w:val="center"/>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19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7" w:type="dxa"/>
            <w:tcBorders/>
            <w:shd w:fill="FFFFFF" w:val="clear"/>
            <w:vAlign w:val="bottom"/>
          </w:tcPr>
          <w:p>
            <w:pPr>
              <w:pStyle w:val="TableContents"/>
              <w:spacing w:before="0" w:after="283"/>
              <w:jc w:val="center"/>
              <w:rPr/>
            </w:pPr>
            <w:r>
              <w:rPr/>
              <w:t xml:space="preserve">  </w:t>
            </w:r>
          </w:p>
        </w:tc>
      </w:tr>
      <w:tr>
        <w:trPr/>
        <w:tc>
          <w:tcPr>
            <w:tcW w:w="7792" w:type="dxa"/>
            <w:tcBorders/>
            <w:shd w:fill="FFFFFF" w:val="clear"/>
            <w:vAlign w:val="center"/>
          </w:tcPr>
          <w:p>
            <w:pPr>
              <w:pStyle w:val="TableContents"/>
              <w:spacing w:before="0" w:after="283"/>
              <w:rPr/>
            </w:pPr>
            <w:r>
              <w:rPr/>
              <w:t xml:space="preserve">  </w:t>
            </w:r>
          </w:p>
        </w:tc>
        <w:tc>
          <w:tcPr>
            <w:tcW w:w="2413" w:type="dxa"/>
            <w:gridSpan w:val="4"/>
            <w:tcBorders/>
            <w:shd w:fill="FFFFFF" w:val="clear"/>
          </w:tcPr>
          <w:p>
            <w:pPr>
              <w:pStyle w:val="TableContents"/>
              <w:spacing w:before="0" w:after="283"/>
              <w:rPr>
                <w:sz w:val="4"/>
                <w:szCs w:val="4"/>
              </w:rPr>
            </w:pPr>
            <w:r>
              <w:rPr>
                <w:sz w:val="4"/>
                <w:szCs w:val="4"/>
              </w:rPr>
            </w:r>
          </w:p>
        </w:tc>
      </w:tr>
      <w:tr>
        <w:trPr/>
        <w:tc>
          <w:tcPr>
            <w:tcW w:w="7792" w:type="dxa"/>
            <w:tcBorders/>
            <w:shd w:fill="CCEEFF" w:val="clear"/>
            <w:vAlign w:val="bottom"/>
          </w:tcPr>
          <w:p>
            <w:pPr>
              <w:pStyle w:val="TableContents"/>
              <w:spacing w:before="0" w:after="0"/>
              <w:ind w:left="200" w:right="0" w:hanging="200"/>
              <w:jc w:val="left"/>
              <w:rPr>
                <w:sz w:val="17"/>
              </w:rPr>
            </w:pPr>
            <w:r>
              <w:rPr>
                <w:sz w:val="17"/>
              </w:rPr>
              <w:t xml:space="preserve">Deferred tax assets: </w:t>
            </w:r>
          </w:p>
        </w:tc>
        <w:tc>
          <w:tcPr>
            <w:tcW w:w="215" w:type="dxa"/>
            <w:tcBorders/>
            <w:shd w:fill="CCEEFF" w:val="clear"/>
            <w:vAlign w:val="bottom"/>
          </w:tcPr>
          <w:p>
            <w:pPr>
              <w:pStyle w:val="TableContents"/>
              <w:spacing w:before="0" w:after="283"/>
              <w:rPr/>
            </w:pPr>
            <w:r>
              <w:rPr/>
              <w:t xml:space="preserve">  </w:t>
            </w:r>
          </w:p>
        </w:tc>
        <w:tc>
          <w:tcPr>
            <w:tcW w:w="380" w:type="dxa"/>
            <w:tcBorders/>
            <w:shd w:fill="CCEEFF" w:val="clear"/>
            <w:vAlign w:val="bottom"/>
          </w:tcPr>
          <w:p>
            <w:pPr>
              <w:pStyle w:val="TableContents"/>
              <w:spacing w:before="0" w:after="283"/>
              <w:jc w:val="left"/>
              <w:rPr/>
            </w:pPr>
            <w:r>
              <w:rPr/>
              <w:t xml:space="preserve">  </w:t>
            </w:r>
          </w:p>
        </w:tc>
        <w:tc>
          <w:tcPr>
            <w:tcW w:w="1611" w:type="dxa"/>
            <w:tcBorders/>
            <w:shd w:fill="CCEEFF" w:val="clear"/>
            <w:vAlign w:val="bottom"/>
          </w:tcPr>
          <w:p>
            <w:pPr>
              <w:pStyle w:val="TableContents"/>
              <w:spacing w:before="0" w:after="283"/>
              <w:jc w:val="right"/>
              <w:rPr/>
            </w:pPr>
            <w:r>
              <w:rPr/>
              <w:t xml:space="preserve">  </w:t>
            </w:r>
          </w:p>
        </w:tc>
        <w:tc>
          <w:tcPr>
            <w:tcW w:w="207" w:type="dxa"/>
            <w:tcBorders/>
            <w:shd w:fill="CCEE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0"/>
              <w:ind w:left="400" w:right="0" w:hanging="200"/>
              <w:jc w:val="left"/>
              <w:rPr>
                <w:sz w:val="17"/>
              </w:rPr>
            </w:pPr>
            <w:r>
              <w:rPr>
                <w:sz w:val="17"/>
              </w:rPr>
              <w:t xml:space="preserve">Book accruals in excess of current tax deductions </w:t>
            </w:r>
          </w:p>
        </w:tc>
        <w:tc>
          <w:tcPr>
            <w:tcW w:w="215" w:type="dxa"/>
            <w:tcBorders/>
            <w:shd w:fill="FFFFFF" w:val="clear"/>
            <w:vAlign w:val="bottom"/>
          </w:tcPr>
          <w:p>
            <w:pPr>
              <w:pStyle w:val="TableContents"/>
              <w:spacing w:before="0" w:after="283"/>
              <w:rPr/>
            </w:pPr>
            <w:r>
              <w:rPr/>
              <w:t xml:space="preserve">  </w:t>
            </w:r>
          </w:p>
        </w:tc>
        <w:tc>
          <w:tcPr>
            <w:tcW w:w="380" w:type="dxa"/>
            <w:tcBorders/>
            <w:shd w:fill="FFFFFF" w:val="clear"/>
            <w:vAlign w:val="bottom"/>
          </w:tcPr>
          <w:p>
            <w:pPr>
              <w:pStyle w:val="TableContents"/>
              <w:spacing w:before="0" w:after="283"/>
              <w:jc w:val="left"/>
              <w:rPr/>
            </w:pPr>
            <w:r>
              <w:rPr/>
              <w:t xml:space="preserve">$ </w:t>
            </w:r>
          </w:p>
        </w:tc>
        <w:tc>
          <w:tcPr>
            <w:tcW w:w="1611" w:type="dxa"/>
            <w:tcBorders/>
            <w:shd w:fill="FFFFFF" w:val="clear"/>
            <w:vAlign w:val="bottom"/>
          </w:tcPr>
          <w:p>
            <w:pPr>
              <w:pStyle w:val="TableContents"/>
              <w:spacing w:before="0" w:after="283"/>
              <w:jc w:val="right"/>
              <w:rPr/>
            </w:pPr>
            <w:r>
              <w:rPr/>
              <w:t xml:space="preserve">4.8 </w:t>
            </w:r>
          </w:p>
        </w:tc>
        <w:tc>
          <w:tcPr>
            <w:tcW w:w="207" w:type="dxa"/>
            <w:tcBorders/>
            <w:shd w:fill="FFFFFF" w:val="clear"/>
            <w:vAlign w:val="bottom"/>
          </w:tcPr>
          <w:p>
            <w:pPr>
              <w:pStyle w:val="TableContents"/>
              <w:spacing w:before="0" w:after="283"/>
              <w:jc w:val="left"/>
              <w:rPr/>
            </w:pPr>
            <w:r>
              <w:rPr/>
              <w:t xml:space="preserve">  </w:t>
            </w:r>
          </w:p>
        </w:tc>
      </w:tr>
      <w:tr>
        <w:trPr/>
        <w:tc>
          <w:tcPr>
            <w:tcW w:w="7792" w:type="dxa"/>
            <w:tcBorders/>
            <w:shd w:fill="CCEEFF" w:val="clear"/>
            <w:vAlign w:val="bottom"/>
          </w:tcPr>
          <w:p>
            <w:pPr>
              <w:pStyle w:val="TableContents"/>
              <w:spacing w:before="0" w:after="0"/>
              <w:ind w:left="400" w:right="0" w:hanging="200"/>
              <w:jc w:val="left"/>
              <w:rPr>
                <w:sz w:val="17"/>
              </w:rPr>
            </w:pPr>
            <w:r>
              <w:rPr>
                <w:sz w:val="17"/>
              </w:rPr>
              <w:t xml:space="preserve">Net operating losses carried forward (which expire at various times from 2013 to 2015) </w:t>
            </w:r>
          </w:p>
        </w:tc>
        <w:tc>
          <w:tcPr>
            <w:tcW w:w="215" w:type="dxa"/>
            <w:tcBorders/>
            <w:shd w:fill="CCEEFF" w:val="clear"/>
            <w:vAlign w:val="bottom"/>
          </w:tcPr>
          <w:p>
            <w:pPr>
              <w:pStyle w:val="TableContents"/>
              <w:spacing w:before="0" w:after="283"/>
              <w:rPr/>
            </w:pPr>
            <w:r>
              <w:rPr/>
              <w:t xml:space="preserve">  </w:t>
            </w:r>
          </w:p>
        </w:tc>
        <w:tc>
          <w:tcPr>
            <w:tcW w:w="380" w:type="dxa"/>
            <w:tcBorders/>
            <w:shd w:fill="CCEEFF" w:val="clear"/>
            <w:vAlign w:val="bottom"/>
          </w:tcPr>
          <w:p>
            <w:pPr>
              <w:pStyle w:val="TableContents"/>
              <w:spacing w:before="0" w:after="283"/>
              <w:jc w:val="left"/>
              <w:rPr/>
            </w:pPr>
            <w:r>
              <w:rPr/>
              <w:t xml:space="preserve">  </w:t>
            </w:r>
          </w:p>
        </w:tc>
        <w:tc>
          <w:tcPr>
            <w:tcW w:w="1611" w:type="dxa"/>
            <w:tcBorders/>
            <w:shd w:fill="CCEEFF" w:val="clear"/>
            <w:vAlign w:val="bottom"/>
          </w:tcPr>
          <w:p>
            <w:pPr>
              <w:pStyle w:val="TableContents"/>
              <w:spacing w:before="0" w:after="283"/>
              <w:jc w:val="right"/>
              <w:rPr/>
            </w:pPr>
            <w:r>
              <w:rPr/>
              <w:t xml:space="preserve">2.8 </w:t>
            </w:r>
          </w:p>
        </w:tc>
        <w:tc>
          <w:tcPr>
            <w:tcW w:w="207" w:type="dxa"/>
            <w:tcBorders/>
            <w:shd w:fill="CCEE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r>
        <w:trPr/>
        <w:tc>
          <w:tcPr>
            <w:tcW w:w="7792" w:type="dxa"/>
            <w:tcBorders/>
            <w:shd w:fill="FFFFFF" w:val="clear"/>
            <w:vAlign w:val="bottom"/>
          </w:tcPr>
          <w:p>
            <w:pPr>
              <w:pStyle w:val="TableContents"/>
              <w:spacing w:before="0" w:after="0"/>
              <w:ind w:left="200" w:right="0" w:hanging="200"/>
              <w:jc w:val="left"/>
              <w:rPr>
                <w:sz w:val="17"/>
              </w:rPr>
            </w:pPr>
            <w:r>
              <w:rPr>
                <w:sz w:val="17"/>
              </w:rPr>
              <w:t xml:space="preserve">Total deferred tax assets </w:t>
            </w:r>
          </w:p>
        </w:tc>
        <w:tc>
          <w:tcPr>
            <w:tcW w:w="215" w:type="dxa"/>
            <w:tcBorders/>
            <w:shd w:fill="FFFFFF" w:val="clear"/>
            <w:vAlign w:val="bottom"/>
          </w:tcPr>
          <w:p>
            <w:pPr>
              <w:pStyle w:val="TableContents"/>
              <w:spacing w:before="0" w:after="283"/>
              <w:rPr/>
            </w:pPr>
            <w:r>
              <w:rPr/>
              <w:t xml:space="preserve">  </w:t>
            </w:r>
          </w:p>
        </w:tc>
        <w:tc>
          <w:tcPr>
            <w:tcW w:w="380" w:type="dxa"/>
            <w:tcBorders/>
            <w:shd w:fill="FFFFFF" w:val="clear"/>
            <w:vAlign w:val="bottom"/>
          </w:tcPr>
          <w:p>
            <w:pPr>
              <w:pStyle w:val="TableContents"/>
              <w:spacing w:before="0" w:after="283"/>
              <w:jc w:val="left"/>
              <w:rPr/>
            </w:pPr>
            <w:r>
              <w:rPr/>
              <w:t xml:space="preserve">$ </w:t>
            </w:r>
          </w:p>
        </w:tc>
        <w:tc>
          <w:tcPr>
            <w:tcW w:w="1611" w:type="dxa"/>
            <w:tcBorders/>
            <w:shd w:fill="FFFFFF" w:val="clear"/>
            <w:vAlign w:val="bottom"/>
          </w:tcPr>
          <w:p>
            <w:pPr>
              <w:pStyle w:val="TableContents"/>
              <w:spacing w:before="0" w:after="283"/>
              <w:jc w:val="right"/>
              <w:rPr/>
            </w:pPr>
            <w:r>
              <w:rPr/>
              <w:t xml:space="preserve">7.6 </w:t>
            </w:r>
          </w:p>
        </w:tc>
        <w:tc>
          <w:tcPr>
            <w:tcW w:w="207" w:type="dxa"/>
            <w:tcBorders/>
            <w:shd w:fill="FFFF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r>
        <w:trPr/>
        <w:tc>
          <w:tcPr>
            <w:tcW w:w="7792" w:type="dxa"/>
            <w:tcBorders/>
            <w:shd w:fill="CCEEFF" w:val="clear"/>
            <w:vAlign w:val="bottom"/>
          </w:tcPr>
          <w:p>
            <w:pPr>
              <w:pStyle w:val="TableContents"/>
              <w:spacing w:before="0" w:after="0"/>
              <w:ind w:left="200" w:right="0" w:hanging="200"/>
              <w:jc w:val="left"/>
              <w:rPr>
                <w:sz w:val="17"/>
              </w:rPr>
            </w:pPr>
            <w:r>
              <w:rPr>
                <w:sz w:val="17"/>
              </w:rPr>
              <w:t xml:space="preserve">Deferred tax liabilities: </w:t>
            </w:r>
          </w:p>
        </w:tc>
        <w:tc>
          <w:tcPr>
            <w:tcW w:w="215" w:type="dxa"/>
            <w:tcBorders/>
            <w:shd w:fill="CCEEFF" w:val="clear"/>
            <w:vAlign w:val="bottom"/>
          </w:tcPr>
          <w:p>
            <w:pPr>
              <w:pStyle w:val="TableContents"/>
              <w:spacing w:before="0" w:after="283"/>
              <w:rPr/>
            </w:pPr>
            <w:r>
              <w:rPr/>
              <w:t xml:space="preserve">  </w:t>
            </w:r>
          </w:p>
        </w:tc>
        <w:tc>
          <w:tcPr>
            <w:tcW w:w="380" w:type="dxa"/>
            <w:tcBorders/>
            <w:shd w:fill="CCEEFF" w:val="clear"/>
            <w:vAlign w:val="bottom"/>
          </w:tcPr>
          <w:p>
            <w:pPr>
              <w:pStyle w:val="TableContents"/>
              <w:spacing w:before="0" w:after="283"/>
              <w:jc w:val="left"/>
              <w:rPr/>
            </w:pPr>
            <w:r>
              <w:rPr/>
              <w:t xml:space="preserve">  </w:t>
            </w:r>
          </w:p>
        </w:tc>
        <w:tc>
          <w:tcPr>
            <w:tcW w:w="1611" w:type="dxa"/>
            <w:tcBorders/>
            <w:shd w:fill="CCEEFF" w:val="clear"/>
            <w:vAlign w:val="bottom"/>
          </w:tcPr>
          <w:p>
            <w:pPr>
              <w:pStyle w:val="TableContents"/>
              <w:spacing w:before="0" w:after="283"/>
              <w:jc w:val="right"/>
              <w:rPr/>
            </w:pPr>
            <w:r>
              <w:rPr/>
              <w:t xml:space="preserve">  </w:t>
            </w:r>
          </w:p>
        </w:tc>
        <w:tc>
          <w:tcPr>
            <w:tcW w:w="207" w:type="dxa"/>
            <w:tcBorders/>
            <w:shd w:fill="CCEE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0"/>
              <w:ind w:left="400" w:right="0" w:hanging="200"/>
              <w:jc w:val="left"/>
              <w:rPr>
                <w:sz w:val="17"/>
              </w:rPr>
            </w:pPr>
            <w:r>
              <w:rPr>
                <w:sz w:val="17"/>
              </w:rPr>
              <w:t xml:space="preserve">Canadian partnership income subject to deferral </w:t>
            </w:r>
          </w:p>
        </w:tc>
        <w:tc>
          <w:tcPr>
            <w:tcW w:w="215" w:type="dxa"/>
            <w:tcBorders/>
            <w:shd w:fill="FFFFFF" w:val="clear"/>
            <w:vAlign w:val="bottom"/>
          </w:tcPr>
          <w:p>
            <w:pPr>
              <w:pStyle w:val="TableContents"/>
              <w:spacing w:before="0" w:after="283"/>
              <w:rPr/>
            </w:pPr>
            <w:r>
              <w:rPr/>
              <w:t xml:space="preserve">  </w:t>
            </w:r>
          </w:p>
        </w:tc>
        <w:tc>
          <w:tcPr>
            <w:tcW w:w="380" w:type="dxa"/>
            <w:tcBorders/>
            <w:shd w:fill="FFFFFF" w:val="clear"/>
            <w:vAlign w:val="bottom"/>
          </w:tcPr>
          <w:p>
            <w:pPr>
              <w:pStyle w:val="TableContents"/>
              <w:spacing w:before="0" w:after="283"/>
              <w:jc w:val="left"/>
              <w:rPr/>
            </w:pPr>
            <w:r>
              <w:rPr/>
              <w:t xml:space="preserve">$ </w:t>
            </w:r>
          </w:p>
        </w:tc>
        <w:tc>
          <w:tcPr>
            <w:tcW w:w="1611" w:type="dxa"/>
            <w:tcBorders/>
            <w:shd w:fill="FFFFFF" w:val="clear"/>
            <w:vAlign w:val="bottom"/>
          </w:tcPr>
          <w:p>
            <w:pPr>
              <w:pStyle w:val="TableContents"/>
              <w:spacing w:before="0" w:after="283"/>
              <w:jc w:val="right"/>
              <w:rPr/>
            </w:pPr>
            <w:r>
              <w:rPr/>
              <w:t xml:space="preserve">(2.5 </w:t>
            </w:r>
          </w:p>
        </w:tc>
        <w:tc>
          <w:tcPr>
            <w:tcW w:w="207" w:type="dxa"/>
            <w:tcBorders/>
            <w:shd w:fill="FFFFFF" w:val="clear"/>
            <w:vAlign w:val="bottom"/>
          </w:tcPr>
          <w:p>
            <w:pPr>
              <w:pStyle w:val="TableContents"/>
              <w:spacing w:before="0" w:after="283"/>
              <w:jc w:val="left"/>
              <w:rPr/>
            </w:pPr>
            <w:r>
              <w:rPr/>
              <w:t xml:space="preserve">) </w:t>
            </w:r>
          </w:p>
        </w:tc>
      </w:tr>
      <w:tr>
        <w:trPr/>
        <w:tc>
          <w:tcPr>
            <w:tcW w:w="7792" w:type="dxa"/>
            <w:tcBorders/>
            <w:shd w:fill="CCEEFF" w:val="clear"/>
            <w:vAlign w:val="bottom"/>
          </w:tcPr>
          <w:p>
            <w:pPr>
              <w:pStyle w:val="TableContents"/>
              <w:spacing w:before="0" w:after="0"/>
              <w:ind w:left="400" w:right="0" w:hanging="200"/>
              <w:jc w:val="left"/>
              <w:rPr>
                <w:sz w:val="17"/>
              </w:rPr>
            </w:pPr>
            <w:r>
              <w:rPr>
                <w:sz w:val="17"/>
              </w:rPr>
              <w:t xml:space="preserve">Property, plant and equipment in excess of tax values </w:t>
            </w:r>
          </w:p>
        </w:tc>
        <w:tc>
          <w:tcPr>
            <w:tcW w:w="215" w:type="dxa"/>
            <w:tcBorders/>
            <w:shd w:fill="CCEEFF" w:val="clear"/>
            <w:vAlign w:val="bottom"/>
          </w:tcPr>
          <w:p>
            <w:pPr>
              <w:pStyle w:val="TableContents"/>
              <w:spacing w:before="0" w:after="283"/>
              <w:rPr/>
            </w:pPr>
            <w:r>
              <w:rPr/>
              <w:t xml:space="preserve">  </w:t>
            </w:r>
          </w:p>
        </w:tc>
        <w:tc>
          <w:tcPr>
            <w:tcW w:w="380" w:type="dxa"/>
            <w:tcBorders/>
            <w:shd w:fill="CCEEFF" w:val="clear"/>
            <w:vAlign w:val="bottom"/>
          </w:tcPr>
          <w:p>
            <w:pPr>
              <w:pStyle w:val="TableContents"/>
              <w:spacing w:before="0" w:after="283"/>
              <w:jc w:val="left"/>
              <w:rPr/>
            </w:pPr>
            <w:r>
              <w:rPr/>
              <w:t xml:space="preserve">  </w:t>
            </w:r>
          </w:p>
        </w:tc>
        <w:tc>
          <w:tcPr>
            <w:tcW w:w="1611" w:type="dxa"/>
            <w:tcBorders/>
            <w:shd w:fill="CCEEFF" w:val="clear"/>
            <w:vAlign w:val="bottom"/>
          </w:tcPr>
          <w:p>
            <w:pPr>
              <w:pStyle w:val="TableContents"/>
              <w:spacing w:before="0" w:after="283"/>
              <w:jc w:val="right"/>
              <w:rPr/>
            </w:pPr>
            <w:r>
              <w:rPr/>
              <w:t xml:space="preserve">(14.5 </w:t>
            </w:r>
          </w:p>
        </w:tc>
        <w:tc>
          <w:tcPr>
            <w:tcW w:w="207" w:type="dxa"/>
            <w:tcBorders/>
            <w:shd w:fill="CCEE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r>
        <w:trPr/>
        <w:tc>
          <w:tcPr>
            <w:tcW w:w="7792" w:type="dxa"/>
            <w:tcBorders/>
            <w:shd w:fill="FFFFFF" w:val="clear"/>
            <w:vAlign w:val="bottom"/>
          </w:tcPr>
          <w:p>
            <w:pPr>
              <w:pStyle w:val="TableContents"/>
              <w:spacing w:before="0" w:after="0"/>
              <w:ind w:left="200" w:right="0" w:hanging="200"/>
              <w:jc w:val="left"/>
              <w:rPr>
                <w:sz w:val="17"/>
              </w:rPr>
            </w:pPr>
            <w:r>
              <w:rPr>
                <w:sz w:val="17"/>
              </w:rPr>
              <w:t xml:space="preserve">Total deferred tax liabilities </w:t>
            </w:r>
          </w:p>
        </w:tc>
        <w:tc>
          <w:tcPr>
            <w:tcW w:w="215" w:type="dxa"/>
            <w:tcBorders/>
            <w:shd w:fill="FFFFFF" w:val="clear"/>
            <w:vAlign w:val="bottom"/>
          </w:tcPr>
          <w:p>
            <w:pPr>
              <w:pStyle w:val="TableContents"/>
              <w:spacing w:before="0" w:after="283"/>
              <w:rPr/>
            </w:pPr>
            <w:r>
              <w:rPr/>
              <w:t xml:space="preserve">  </w:t>
            </w:r>
          </w:p>
        </w:tc>
        <w:tc>
          <w:tcPr>
            <w:tcW w:w="380" w:type="dxa"/>
            <w:tcBorders/>
            <w:shd w:fill="FFFFFF" w:val="clear"/>
            <w:vAlign w:val="bottom"/>
          </w:tcPr>
          <w:p>
            <w:pPr>
              <w:pStyle w:val="TableContents"/>
              <w:spacing w:before="0" w:after="283"/>
              <w:jc w:val="left"/>
              <w:rPr/>
            </w:pPr>
            <w:r>
              <w:rPr/>
              <w:t xml:space="preserve">  </w:t>
            </w:r>
          </w:p>
        </w:tc>
        <w:tc>
          <w:tcPr>
            <w:tcW w:w="1611" w:type="dxa"/>
            <w:tcBorders/>
            <w:shd w:fill="FFFFFF" w:val="clear"/>
            <w:vAlign w:val="bottom"/>
          </w:tcPr>
          <w:p>
            <w:pPr>
              <w:pStyle w:val="TableContents"/>
              <w:spacing w:before="0" w:after="283"/>
              <w:jc w:val="right"/>
              <w:rPr/>
            </w:pPr>
            <w:r>
              <w:rPr/>
              <w:t xml:space="preserve">(17.0 </w:t>
            </w:r>
          </w:p>
        </w:tc>
        <w:tc>
          <w:tcPr>
            <w:tcW w:w="207" w:type="dxa"/>
            <w:tcBorders/>
            <w:shd w:fill="FFFF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38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r>
        <w:trPr/>
        <w:tc>
          <w:tcPr>
            <w:tcW w:w="7792" w:type="dxa"/>
            <w:tcBorders/>
            <w:shd w:fill="CCEEFF" w:val="clear"/>
            <w:vAlign w:val="bottom"/>
          </w:tcPr>
          <w:p>
            <w:pPr>
              <w:pStyle w:val="TableContents"/>
              <w:spacing w:before="0" w:after="0"/>
              <w:ind w:left="200" w:right="0" w:hanging="200"/>
              <w:jc w:val="left"/>
              <w:rPr>
                <w:sz w:val="17"/>
              </w:rPr>
            </w:pPr>
            <w:r>
              <w:rPr>
                <w:sz w:val="17"/>
              </w:rPr>
              <w:t xml:space="preserve">Net deferred tax liabilities </w:t>
            </w:r>
          </w:p>
        </w:tc>
        <w:tc>
          <w:tcPr>
            <w:tcW w:w="215" w:type="dxa"/>
            <w:tcBorders/>
            <w:shd w:fill="CCEEFF" w:val="clear"/>
            <w:vAlign w:val="bottom"/>
          </w:tcPr>
          <w:p>
            <w:pPr>
              <w:pStyle w:val="TableContents"/>
              <w:spacing w:before="0" w:after="283"/>
              <w:rPr/>
            </w:pPr>
            <w:r>
              <w:rPr/>
              <w:t xml:space="preserve">  </w:t>
            </w:r>
          </w:p>
        </w:tc>
        <w:tc>
          <w:tcPr>
            <w:tcW w:w="380" w:type="dxa"/>
            <w:tcBorders/>
            <w:shd w:fill="CCEEFF" w:val="clear"/>
            <w:vAlign w:val="bottom"/>
          </w:tcPr>
          <w:p>
            <w:pPr>
              <w:pStyle w:val="TableContents"/>
              <w:spacing w:before="0" w:after="283"/>
              <w:jc w:val="left"/>
              <w:rPr/>
            </w:pPr>
            <w:r>
              <w:rPr/>
              <w:t xml:space="preserve">$ </w:t>
            </w:r>
          </w:p>
        </w:tc>
        <w:tc>
          <w:tcPr>
            <w:tcW w:w="1611" w:type="dxa"/>
            <w:tcBorders/>
            <w:shd w:fill="CCEEFF" w:val="clear"/>
            <w:vAlign w:val="bottom"/>
          </w:tcPr>
          <w:p>
            <w:pPr>
              <w:pStyle w:val="TableContents"/>
              <w:spacing w:before="0" w:after="283"/>
              <w:jc w:val="right"/>
              <w:rPr/>
            </w:pPr>
            <w:r>
              <w:rPr/>
              <w:t xml:space="preserve">(9.4 </w:t>
            </w:r>
          </w:p>
        </w:tc>
        <w:tc>
          <w:tcPr>
            <w:tcW w:w="207" w:type="dxa"/>
            <w:tcBorders/>
            <w:shd w:fill="CCEEFF" w:val="clear"/>
            <w:vAlign w:val="bottom"/>
          </w:tcPr>
          <w:p>
            <w:pPr>
              <w:pStyle w:val="TableContents"/>
              <w:spacing w:before="0" w:after="283"/>
              <w:jc w:val="left"/>
              <w:rPr/>
            </w:pPr>
            <w:r>
              <w:rPr/>
              <w:t xml:space="preserve">) </w:t>
            </w:r>
          </w:p>
        </w:tc>
      </w:tr>
      <w:tr>
        <w:trPr/>
        <w:tc>
          <w:tcPr>
            <w:tcW w:w="7792"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38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85"/>
        <w:gridCol w:w="9220"/>
      </w:tblGrid>
      <w:tr>
        <w:trPr/>
        <w:tc>
          <w:tcPr>
            <w:tcW w:w="985" w:type="dxa"/>
            <w:tcBorders/>
            <w:shd w:fill="FFFFFF" w:val="clear"/>
            <w:vAlign w:val="center"/>
          </w:tcPr>
          <w:p>
            <w:pPr>
              <w:pStyle w:val="TableContents"/>
              <w:spacing w:before="0" w:after="283"/>
              <w:rPr>
                <w:sz w:val="4"/>
                <w:szCs w:val="4"/>
              </w:rPr>
            </w:pPr>
            <w:r>
              <w:rPr>
                <w:sz w:val="4"/>
                <w:szCs w:val="4"/>
              </w:rPr>
            </w:r>
          </w:p>
        </w:tc>
        <w:tc>
          <w:tcPr>
            <w:tcW w:w="9220" w:type="dxa"/>
            <w:tcBorders/>
            <w:shd w:fill="FFFFFF" w:val="clear"/>
            <w:vAlign w:val="center"/>
          </w:tcPr>
          <w:p>
            <w:pPr>
              <w:pStyle w:val="TableContents"/>
              <w:spacing w:before="0" w:after="283"/>
              <w:rPr>
                <w:sz w:val="4"/>
                <w:szCs w:val="4"/>
              </w:rPr>
            </w:pPr>
            <w:r>
              <w:rPr>
                <w:sz w:val="4"/>
                <w:szCs w:val="4"/>
              </w:rPr>
            </w:r>
          </w:p>
        </w:tc>
      </w:tr>
      <w:tr>
        <w:trPr/>
        <w:tc>
          <w:tcPr>
            <w:tcW w:w="985"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8  </w:t>
            </w:r>
          </w:p>
        </w:tc>
        <w:tc>
          <w:tcPr>
            <w:tcW w:w="9220"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Major Customers and Concentration of Credit Risk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Marathon Petroleum Company, LLC (Marathon) accounted for 14%, 11% and 10% of our revenues for each of the three years in the period ended December 31, 2006. Valero Marketing &amp; Supply Company (Valero) accounted for 10% of our revenues for the year ended December 31, 2006. BP Oil Supply accounted for 14% and 10% of our revenues for the years ended December 31, 2005 and 2004, respectively. No other customers accounted for 10% or more of our revenues during any of the three years. The majority of revenues from Marathon, Valero and BP Oil Supply pertain to our marketing operations. We believe that the loss of these customers would have only a short-term impact on our operating results. There can be no assurance, however, that we would be able to identify and access a replacement market at comparable margins.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86"/>
        <w:gridCol w:w="9219"/>
      </w:tblGrid>
      <w:tr>
        <w:trPr/>
        <w:tc>
          <w:tcPr>
            <w:tcW w:w="986" w:type="dxa"/>
            <w:tcBorders/>
            <w:shd w:fill="FFFFFF" w:val="clear"/>
            <w:vAlign w:val="center"/>
          </w:tcPr>
          <w:p>
            <w:pPr>
              <w:pStyle w:val="TableContents"/>
              <w:spacing w:before="0" w:after="283"/>
              <w:rPr>
                <w:sz w:val="4"/>
                <w:szCs w:val="4"/>
              </w:rPr>
            </w:pPr>
            <w:r>
              <w:rPr>
                <w:sz w:val="4"/>
                <w:szCs w:val="4"/>
              </w:rPr>
            </w:r>
          </w:p>
        </w:tc>
        <w:tc>
          <w:tcPr>
            <w:tcW w:w="9219" w:type="dxa"/>
            <w:tcBorders/>
            <w:shd w:fill="FFFFFF" w:val="clear"/>
            <w:vAlign w:val="center"/>
          </w:tcPr>
          <w:p>
            <w:pPr>
              <w:pStyle w:val="TableContents"/>
              <w:spacing w:before="0" w:after="283"/>
              <w:rPr>
                <w:sz w:val="4"/>
                <w:szCs w:val="4"/>
              </w:rPr>
            </w:pPr>
            <w:r>
              <w:rPr>
                <w:sz w:val="4"/>
                <w:szCs w:val="4"/>
              </w:rPr>
            </w:r>
          </w:p>
        </w:tc>
      </w:tr>
      <w:tr>
        <w:trPr/>
        <w:tc>
          <w:tcPr>
            <w:tcW w:w="986"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Note 9  </w:t>
            </w:r>
          </w:p>
        </w:tc>
        <w:tc>
          <w:tcPr>
            <w:tcW w:w="9219" w:type="dxa"/>
            <w:tcBorders/>
            <w:shd w:fill="FFFFFF" w:val="clear"/>
          </w:tcPr>
          <w:p>
            <w:pPr>
              <w:pStyle w:val="TableContents"/>
              <w:spacing w:before="0" w:after="283"/>
              <w:rPr/>
            </w:pPr>
            <w:r>
              <w:rPr>
                <w:rFonts w:ascii="Times New Roman;Times" w:hAnsi="Times New Roman;Times"/>
                <w:b/>
              </w:rPr>
              <w:t>Related Party Transactions</w:t>
            </w:r>
            <w:r>
              <w:rPr/>
              <w:t xml:space="preserve"> </w:t>
            </w:r>
          </w:p>
        </w:tc>
      </w:tr>
    </w:tbl>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Reimbursement of Expenses of Our General Partner and its Affiliates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2006, 2005 and 2004 were $204.6 million, $165.2 million and $151.0 million respectively. Amounts due to our general partner at December 31, 2006 and 2005 were $0.8 million and $6.8 million, respectively.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Vulcan Energy Corporation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Vulcan Energy Corporation (Vulcan Energy) and its affiliates owned approximately 54% of our general partner interest, as well as approximately 11.3% of our outstanding limited partner units.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Voting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August 2005, one of the owners of our general partner notified the remaining owners of its intent to sell its 19% interest in the general partner. The remaining owners elected to exercise their right of first refusal, such that the 19% interest was purchased pro rata by all remaining owners. As a result of the transaction, the interest of Vulcan Energy increased from 44% to approximately 54%.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impact on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Administrative Services Agreement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October 14, 2005, Plains All American GP LLC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 million. The Services Agreement extends through October 2008, at which time it will automatically renew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or its affiliates then GP LLC is entitled to suspend the provision of that service and such a suspension will not constitute a breach of the Services Agreement.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Crude Oil Purchases from Calumet Florida L.L.C.</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Until August 12, 2005, Vulcan Energy owned 100% of Calumet Florida L.L.C. (Calumet). Calumet is now owned by Vulcan Resources Florida, Inc., the majority of which is owned by Paul G. Allen. We purchase crude oil from Calumet and paid approximately $45.1 million, $38.1 million and $28.3 million to Calumet in 2006, 2005 and 2004, respectively.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Investment in PAA/Vulcan Gas Storage, LLC</w:t>
      </w:r>
      <w:r>
        <w:rPr>
          <w:rFonts w:ascii="Arial;Helvetica" w:hAnsi="Arial;Helvetica"/>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a limited liability company, was formed in 2005. PAA/Vulcan is owned 50% by us and the other 50% is owned by Vulcan Gas Storage LLC, a subsidiary of Vulcan Capital, which is an affiliate of Vulcan Energy. The Board of Directors of PAA/Vulcan is comprised of an equal number of our representatives and representatives of Vulcan Gas Storage and is responsible for providing strategic direction and policy-making. We are responsible for the day-to-day operations. PAA/Vulcan is not a variable interest entity, and we do not have the ability to control the entity; therefore, we account for the investment under the equity method in accordance with APB 18. This investment is reflected in investments in unconsolidated entities in our consolidated balance sheet.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September 2005, PAA/Vulcan acquired ECI, an indirect subsidiary of Sempra Energy, for approximately $250 million. ECI develops and operates underground natural gas storage facilities. We and Vulcan Gas Storage LLC each made an initial cash investment of approximately $112.5 million, and Bluewater Natural Gas Holdings, LLC, a subsidiary of PAA/Vulcan (Bluewater) entered into a $90 million credit facility contemporaneously with closing. We currently have no direct or contingent obligations under the Bluewater credit facility.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2007, 2008 and 2009. We received a fee of approximately $1 million for our services to own and manage the hedge positions and to deliver the natural gas.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and Vulcan Gas Storage are both required to make capital contributions in equal proportions to fund equity requests associated with certain projects specified in the joint venture agreement. For certain other specified projects, Vulcan Gas Storage has the right, but not the obligation, to participate for up to 50% of such equity requests. In some cases, Vulcan Gas Storages obligation is subject to a maximum amount, beyond which Vulcan Gas Storages participation is optional. For any other capital expenditures, or capital expenditures with respect to which Vulcan Gas Storages participation is optional, if Vulcan Gas Storage elects not to participate, we have the right to make additional capital contributions to fund 100% of the project until our interest in PAA/Vulcan equals 70%. Such contributions would increase our interest in PAA/Vulcan and dilute Vulcan Gas Storages interest. Once PAAs ownership interest is 70% or more, Vulcan Gas Storage would have the right, but not the obligation, to make future capital contributions proportionate to its ownership interest at the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conjunction with the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$1.0 million over ten years from PAA/Vulcan (distributions that would otherwise have been paid to Vulcan Gas Storage LLC).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$75.0 million, we will receive a distribution from PAA/Vulcan equal to $6.0 million per year for each year since formation of the joint venture, subject to a maximum of 5 years or $30 million. Thereafter, we will receive annually a distribution equal to the greater of $2 million per year or two percent of the EBITDA of PAA/Vulcan.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Equity Offerings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2006, we sold 6,163,960 common units, approximately 10% and 10% of which were sold to investment funds affiliated with Kayne Anderson Capital Advisors, L.P. (KACALP) and Encap Investments, L.P., respectively. The net proceeds were used to fund capital expenditures, to reduce indebtedness and for general partnership purposes. KAFU Holdings, L.P., which owns a portion of our general partner and has a representative on our board of directors, is managed by KACALP. Affiliates of Encap own a portion of our general partner and have a representative on our board of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July and August 2006, we sold a total of 3,720,930 common units, approximately 18.7% and 12.5% of which were sold to investment funds affiliated with Vulcan Capital and KACALP, respectively. The proceeds from this offering were used to fund acquisition costs, repay indebtedness under our credit facility and for general partnership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March and April 2006, we sold 3,504,672 common units, approximately 20% of which were sold to investment funds affiliated with KACALP. The net proceeds were used to fund a portion of the Andrews acquisition, to reduce indebtedness and for general partnership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Concurrently with our public offering of equity in September 2005, we sold 679,000 common units pursuant to our existing shelf registration statement to investment funds affiliated with KACALP in a privately negotiated transaction for a purchase price of $40.512 per unit (equivalent to the public offering price less underwriting discounts and commissions).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February 25, 2005, we issued 575,000 common units in a private placement to a subsidiary of Vulcan Capital. The sale price was $38.13 per unit, which represented a 2.8% discount to the closing price of the units on February 24, 2005. The sale resulted in net proceeds, including the general partners proportionate capital contribution ($0.5 million) and net of expenses associated with the sale, of approximately $22.3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April 2004, we sold 3,245,700 unregistered Class C common units to a group of investors affiliated with KACALP, Vulcan Capital and Tortoise Capital pursuant to Rule 4(2) under the Securities Act. Total proceeds from the transaction, after deducting transaction costs and including the general partners proportionate contribution, were approximately $101 million.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10  Long-Term Incentive Plans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general partner has adopted the Plains All American GP LLC 1998 Long-Term Incentive Plan, the 2005 Long-Term Incentive Plan and the PPX Successor Long-Term Incentive Plan for employees and directors and the Plains All American GP LLC 2006 Long-Term Incentive Tracking Unit Plan for non-officer employees.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vesting criteria, a DER entitles the grantee to a cash payment equal to cash distributions paid on an outstanding common unit.Our general partner will be entitled to reimbursement by us for any costs incurred in settling obligations under the plans.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adopted SFAS 123(R) on January 1, 2006 (see Note 1 for a discussion of changes in accounting principles). Under SFAS 123(R) the fair value of the awards, which are subject to liability classification, is calculated based on the market price of our units at the balance sheet date adjusted for (i) the present value of any distributions that are estimated to occur on the underlying units over the vesting period that will not be received by the award recipients and (ii) an estimated forfeiture rate when appropriate. This fair value is then expensed over the period the awards are earned. For awards with performance conditions, we recognize LTIP expense only if the achievement of the performance condition is considered probable. When awards with performance conditions that were previously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considered improbable of occurring become probable of occurring, we incur additional LTIP expense necessary to adjust the life-to-date accrued liability associated with these awards. In addition, we recognize compensation expense for DER payments in the period the payment is earned.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there were outstanding awards of approximately 3.0 million with a weighted average grant-date fair value of approximately $31.94 per unit. Our LTIP awards typically contain performance conditions relative to our annualized distribution level and vest upon the latter of a certain date or upon the attainment of a certain annualized distribution level. Upon our February 2007 annualized distribution of $3.20, approximately 2.2 million of our outstanding awards will have satisfied all performance conditions necessary for vesting and will vest in various increments over the next 5 years. Approximately 0.8 million of our outstanding awards have performance conditions requiring the attainment of an annualized distribution of between $3.50 and $4.00 which is not yet considered probable of occurring. However, certain of these awards still outstanding in 2012 will vest regardless of whether or not the performance condition is attained. Provided the performance conditions associated with these awards are ultimately attained, these awards will vest in various increments between 2010 and 2012. Approximately 1.6 million of our outstanding awards include DERs. Our DER awards typically contain performance conditions relative to our annualized distribution level and vest upon the earlier of a certain date or a certain annualized distribution level. The DERs terminate with the vesting or forfeiture of the underlying award.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LTIP activity is summarized in the following table (in millions except weighted average grant date fair values):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369"/>
        <w:gridCol w:w="127"/>
        <w:gridCol w:w="150"/>
        <w:gridCol w:w="503"/>
        <w:gridCol w:w="172"/>
        <w:gridCol w:w="164"/>
        <w:gridCol w:w="286"/>
        <w:gridCol w:w="1039"/>
        <w:gridCol w:w="142"/>
        <w:gridCol w:w="164"/>
        <w:gridCol w:w="150"/>
        <w:gridCol w:w="503"/>
        <w:gridCol w:w="172"/>
        <w:gridCol w:w="164"/>
        <w:gridCol w:w="285"/>
        <w:gridCol w:w="1039"/>
        <w:gridCol w:w="142"/>
        <w:gridCol w:w="164"/>
        <w:gridCol w:w="150"/>
        <w:gridCol w:w="503"/>
        <w:gridCol w:w="172"/>
        <w:gridCol w:w="164"/>
        <w:gridCol w:w="286"/>
        <w:gridCol w:w="1039"/>
        <w:gridCol w:w="156"/>
      </w:tblGrid>
      <w:tr>
        <w:trPr/>
        <w:tc>
          <w:tcPr>
            <w:tcW w:w="236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jc w:val="right"/>
              <w:rPr/>
            </w:pPr>
            <w:r>
              <w:rPr/>
              <w:t> </w:t>
            </w:r>
          </w:p>
        </w:tc>
        <w:tc>
          <w:tcPr>
            <w:tcW w:w="1039"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039"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rPr/>
            </w:pPr>
            <w:r>
              <w:rPr/>
              <w:t> </w:t>
            </w:r>
          </w:p>
        </w:tc>
        <w:tc>
          <w:tcPr>
            <w:tcW w:w="286" w:type="dxa"/>
            <w:tcBorders/>
            <w:shd w:fill="FFFFFF" w:val="clear"/>
            <w:vAlign w:val="bottom"/>
          </w:tcPr>
          <w:p>
            <w:pPr>
              <w:pStyle w:val="TableContents"/>
              <w:spacing w:before="0" w:after="283"/>
              <w:jc w:val="right"/>
              <w:rPr/>
            </w:pPr>
            <w:r>
              <w:rPr/>
              <w:t> </w:t>
            </w:r>
          </w:p>
        </w:tc>
        <w:tc>
          <w:tcPr>
            <w:tcW w:w="1039"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7553"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231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231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231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Weighted</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4" w:type="dxa"/>
            <w:gridSpan w:val="2"/>
            <w:tcBorders/>
            <w:shd w:fill="FFFFFF" w:val="clear"/>
            <w:vAlign w:val="bottom"/>
          </w:tcPr>
          <w:p>
            <w:pPr>
              <w:pStyle w:val="TableContents"/>
              <w:spacing w:before="0" w:after="283"/>
              <w:jc w:val="center"/>
              <w:rPr>
                <w:b/>
              </w:rPr>
            </w:pPr>
            <w:r>
              <w:rPr>
                <w:b/>
              </w:rPr>
              <w:t>Weighted</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Weighted</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Average</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4" w:type="dxa"/>
            <w:gridSpan w:val="2"/>
            <w:tcBorders/>
            <w:shd w:fill="FFFFFF" w:val="clear"/>
            <w:vAlign w:val="bottom"/>
          </w:tcPr>
          <w:p>
            <w:pPr>
              <w:pStyle w:val="TableContents"/>
              <w:spacing w:before="0" w:after="283"/>
              <w:jc w:val="center"/>
              <w:rPr>
                <w:b/>
              </w:rPr>
            </w:pPr>
            <w:r>
              <w:rPr>
                <w:b/>
              </w:rPr>
              <w:t>Average</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Average</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Grant Date</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4" w:type="dxa"/>
            <w:gridSpan w:val="2"/>
            <w:tcBorders/>
            <w:shd w:fill="FFFFFF" w:val="clear"/>
            <w:vAlign w:val="bottom"/>
          </w:tcPr>
          <w:p>
            <w:pPr>
              <w:pStyle w:val="TableContents"/>
              <w:spacing w:before="0" w:after="283"/>
              <w:jc w:val="center"/>
              <w:rPr>
                <w:b/>
              </w:rPr>
            </w:pPr>
            <w:r>
              <w:rPr>
                <w:b/>
              </w:rPr>
              <w:t>Grant Date</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shd w:fill="FFFFFF" w:val="clear"/>
            <w:vAlign w:val="bottom"/>
          </w:tcPr>
          <w:p>
            <w:pPr>
              <w:pStyle w:val="TableContents"/>
              <w:spacing w:before="0" w:after="283"/>
              <w:jc w:val="center"/>
              <w:rPr>
                <w:b/>
              </w:rPr>
            </w:pPr>
            <w:r>
              <w:rPr>
                <w:b/>
              </w:rPr>
              <w:t>Grant Date</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bottom"/>
          </w:tcPr>
          <w:p>
            <w:pPr>
              <w:pStyle w:val="TableContents"/>
              <w:spacing w:before="0" w:after="283"/>
              <w:jc w:val="center"/>
              <w:rPr/>
            </w:pP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Fair Value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Fair Value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65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Units</w:t>
            </w: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2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Fair Value</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369" w:type="dxa"/>
            <w:tcBorders/>
            <w:shd w:fill="FFFFFF" w:val="clear"/>
            <w:vAlign w:val="center"/>
          </w:tcPr>
          <w:p>
            <w:pPr>
              <w:pStyle w:val="TableContents"/>
              <w:spacing w:before="0" w:after="283"/>
              <w:rPr/>
            </w:pPr>
            <w:r>
              <w:rPr/>
              <w:t xml:space="preserve">  </w:t>
            </w:r>
          </w:p>
        </w:tc>
        <w:tc>
          <w:tcPr>
            <w:tcW w:w="7836" w:type="dxa"/>
            <w:gridSpan w:val="24"/>
            <w:tcBorders/>
            <w:shd w:fill="FFFFFF" w:val="clear"/>
          </w:tcPr>
          <w:p>
            <w:pPr>
              <w:pStyle w:val="TableContents"/>
              <w:spacing w:before="0" w:after="283"/>
              <w:rPr>
                <w:sz w:val="4"/>
                <w:szCs w:val="4"/>
              </w:rPr>
            </w:pPr>
            <w:r>
              <w:rPr>
                <w:sz w:val="4"/>
                <w:szCs w:val="4"/>
              </w:rPr>
            </w:r>
          </w:p>
        </w:tc>
      </w:tr>
      <w:tr>
        <w:trPr/>
        <w:tc>
          <w:tcPr>
            <w:tcW w:w="2369" w:type="dxa"/>
            <w:tcBorders/>
            <w:shd w:fill="CCEEFF" w:val="clear"/>
            <w:vAlign w:val="bottom"/>
          </w:tcPr>
          <w:p>
            <w:pPr>
              <w:pStyle w:val="TableContents"/>
              <w:spacing w:before="0" w:after="0"/>
              <w:ind w:left="200" w:right="0" w:hanging="200"/>
              <w:jc w:val="left"/>
              <w:rPr>
                <w:sz w:val="17"/>
              </w:rPr>
            </w:pPr>
            <w:r>
              <w:rPr>
                <w:sz w:val="17"/>
              </w:rPr>
              <w:t xml:space="preserve">Outstanding at beginning of period </w:t>
            </w:r>
          </w:p>
        </w:tc>
        <w:tc>
          <w:tcPr>
            <w:tcW w:w="127"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2.2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34.37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0.1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23.40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1.0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17.17 </w:t>
            </w:r>
          </w:p>
        </w:tc>
        <w:tc>
          <w:tcPr>
            <w:tcW w:w="156" w:type="dxa"/>
            <w:tcBorders/>
            <w:shd w:fill="CCEEFF" w:val="clear"/>
            <w:vAlign w:val="bottom"/>
          </w:tcPr>
          <w:p>
            <w:pPr>
              <w:pStyle w:val="TableContents"/>
              <w:spacing w:before="0" w:after="283"/>
              <w:jc w:val="left"/>
              <w:rPr/>
            </w:pPr>
            <w:r>
              <w:rPr/>
              <w:t xml:space="preserve">  </w:t>
            </w:r>
          </w:p>
        </w:tc>
      </w:tr>
      <w:tr>
        <w:trPr/>
        <w:tc>
          <w:tcPr>
            <w:tcW w:w="2369" w:type="dxa"/>
            <w:tcBorders/>
            <w:shd w:fill="FFFFFF" w:val="clear"/>
            <w:vAlign w:val="bottom"/>
          </w:tcPr>
          <w:p>
            <w:pPr>
              <w:pStyle w:val="TableContents"/>
              <w:spacing w:before="0" w:after="0"/>
              <w:ind w:left="400" w:right="0" w:hanging="200"/>
              <w:jc w:val="left"/>
              <w:rPr>
                <w:sz w:val="17"/>
              </w:rPr>
            </w:pPr>
            <w:r>
              <w:rPr>
                <w:sz w:val="17"/>
              </w:rPr>
              <w:t xml:space="preserve">Granted(1) </w:t>
            </w:r>
          </w:p>
        </w:tc>
        <w:tc>
          <w:tcPr>
            <w:tcW w:w="127"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0.9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26.00 </w:t>
            </w:r>
          </w:p>
        </w:tc>
        <w:tc>
          <w:tcPr>
            <w:tcW w:w="14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2.2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34.41 </w:t>
            </w:r>
          </w:p>
        </w:tc>
        <w:tc>
          <w:tcPr>
            <w:tcW w:w="14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jc w:val="left"/>
              <w:rPr/>
            </w:pPr>
            <w:r>
              <w:rPr/>
              <w:t xml:space="preserve">  </w:t>
            </w:r>
          </w:p>
        </w:tc>
      </w:tr>
      <w:tr>
        <w:trPr/>
        <w:tc>
          <w:tcPr>
            <w:tcW w:w="2369" w:type="dxa"/>
            <w:tcBorders/>
            <w:shd w:fill="CCEEFF" w:val="clear"/>
            <w:vAlign w:val="bottom"/>
          </w:tcPr>
          <w:p>
            <w:pPr>
              <w:pStyle w:val="TableContents"/>
              <w:spacing w:before="0" w:after="0"/>
              <w:ind w:left="400" w:right="0" w:hanging="200"/>
              <w:jc w:val="left"/>
              <w:rPr>
                <w:sz w:val="17"/>
              </w:rPr>
            </w:pPr>
            <w:r>
              <w:rPr>
                <w:sz w:val="17"/>
              </w:rPr>
              <w:t xml:space="preserve">Vested </w:t>
            </w:r>
          </w:p>
        </w:tc>
        <w:tc>
          <w:tcPr>
            <w:tcW w:w="127"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(0.1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22.42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(0.9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16.64 </w:t>
            </w:r>
          </w:p>
        </w:tc>
        <w:tc>
          <w:tcPr>
            <w:tcW w:w="156" w:type="dxa"/>
            <w:tcBorders/>
            <w:shd w:fill="CCEEFF" w:val="clear"/>
            <w:vAlign w:val="bottom"/>
          </w:tcPr>
          <w:p>
            <w:pPr>
              <w:pStyle w:val="TableContents"/>
              <w:spacing w:before="0" w:after="283"/>
              <w:jc w:val="left"/>
              <w:rPr/>
            </w:pPr>
            <w:r>
              <w:rPr/>
              <w:t xml:space="preserve">  </w:t>
            </w:r>
          </w:p>
        </w:tc>
      </w:tr>
      <w:tr>
        <w:trPr/>
        <w:tc>
          <w:tcPr>
            <w:tcW w:w="2369" w:type="dxa"/>
            <w:tcBorders/>
            <w:shd w:fill="FFFFFF" w:val="clear"/>
            <w:vAlign w:val="bottom"/>
          </w:tcPr>
          <w:p>
            <w:pPr>
              <w:pStyle w:val="TableContents"/>
              <w:spacing w:before="0" w:after="0"/>
              <w:ind w:left="400" w:right="0" w:hanging="200"/>
              <w:jc w:val="left"/>
              <w:rPr>
                <w:sz w:val="17"/>
              </w:rPr>
            </w:pPr>
            <w:r>
              <w:rPr>
                <w:sz w:val="17"/>
              </w:rPr>
              <w:t xml:space="preserve">Cancelled or forfeited </w:t>
            </w:r>
          </w:p>
        </w:tc>
        <w:tc>
          <w:tcPr>
            <w:tcW w:w="127"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(0.1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33.05 </w:t>
            </w:r>
          </w:p>
        </w:tc>
        <w:tc>
          <w:tcPr>
            <w:tcW w:w="14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jc w:val="left"/>
              <w:rPr/>
            </w:pPr>
            <w:r>
              <w:rPr/>
              <w:t xml:space="preserve">$ </w:t>
            </w:r>
          </w:p>
        </w:tc>
        <w:tc>
          <w:tcPr>
            <w:tcW w:w="1039" w:type="dxa"/>
            <w:tcBorders/>
            <w:shd w:fill="FFFFFF" w:val="cle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jc w:val="left"/>
              <w:rPr/>
            </w:pPr>
            <w:r>
              <w:rPr/>
              <w:t xml:space="preserve">  </w:t>
            </w:r>
          </w:p>
        </w:tc>
      </w:tr>
      <w:tr>
        <w:trPr/>
        <w:tc>
          <w:tcPr>
            <w:tcW w:w="2369"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1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r>
      <w:tr>
        <w:trPr/>
        <w:tc>
          <w:tcPr>
            <w:tcW w:w="2369" w:type="dxa"/>
            <w:tcBorders/>
            <w:shd w:fill="CCEEFF" w:val="clear"/>
            <w:vAlign w:val="bottom"/>
          </w:tcPr>
          <w:p>
            <w:pPr>
              <w:pStyle w:val="TableContents"/>
              <w:spacing w:before="0" w:after="0"/>
              <w:ind w:left="200" w:right="0" w:hanging="200"/>
              <w:jc w:val="left"/>
              <w:rPr>
                <w:sz w:val="17"/>
              </w:rPr>
            </w:pPr>
            <w:r>
              <w:rPr>
                <w:sz w:val="17"/>
              </w:rPr>
              <w:t xml:space="preserve">Outstanding at end of period </w:t>
            </w:r>
          </w:p>
        </w:tc>
        <w:tc>
          <w:tcPr>
            <w:tcW w:w="127"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3.0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31.94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2.2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34.37 </w:t>
            </w:r>
          </w:p>
        </w:tc>
        <w:tc>
          <w:tcPr>
            <w:tcW w:w="14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0.1 </w:t>
            </w:r>
          </w:p>
        </w:tc>
        <w:tc>
          <w:tcPr>
            <w:tcW w:w="172" w:type="dxa"/>
            <w:tcBorders/>
            <w:shd w:fill="CCEEFF" w:val="clear"/>
            <w:vAlign w:val="bottom"/>
          </w:tcPr>
          <w:p>
            <w:pPr>
              <w:pStyle w:val="TableContents"/>
              <w:spacing w:before="0" w:after="283"/>
              <w:jc w:val="left"/>
              <w:rPr/>
            </w:pPr>
            <w:r>
              <w:rPr/>
              <w:t xml:space="preserve">  </w:t>
            </w:r>
          </w:p>
        </w:tc>
        <w:tc>
          <w:tcPr>
            <w:tcW w:w="164" w:type="dxa"/>
            <w:tcBorders/>
            <w:shd w:fill="CCEEFF" w:val="clear"/>
            <w:vAlign w:val="bottom"/>
          </w:tcPr>
          <w:p>
            <w:pPr>
              <w:pStyle w:val="TableContents"/>
              <w:spacing w:before="0" w:after="283"/>
              <w:rPr/>
            </w:pPr>
            <w:r>
              <w:rPr/>
              <w:t xml:space="preserve">  </w:t>
            </w:r>
          </w:p>
        </w:tc>
        <w:tc>
          <w:tcPr>
            <w:tcW w:w="286" w:type="dxa"/>
            <w:tcBorders/>
            <w:shd w:fill="CCEEFF" w:val="clear"/>
            <w:vAlign w:val="bottom"/>
          </w:tcPr>
          <w:p>
            <w:pPr>
              <w:pStyle w:val="TableContents"/>
              <w:spacing w:before="0" w:after="283"/>
              <w:jc w:val="left"/>
              <w:rPr/>
            </w:pPr>
            <w:r>
              <w:rPr/>
              <w:t xml:space="preserve">$ </w:t>
            </w:r>
          </w:p>
        </w:tc>
        <w:tc>
          <w:tcPr>
            <w:tcW w:w="1039" w:type="dxa"/>
            <w:tcBorders/>
            <w:shd w:fill="CCEEFF" w:val="clear"/>
            <w:vAlign w:val="bottom"/>
          </w:tcPr>
          <w:p>
            <w:pPr>
              <w:pStyle w:val="TableContents"/>
              <w:spacing w:before="0" w:after="283"/>
              <w:jc w:val="right"/>
              <w:rPr/>
            </w:pPr>
            <w:r>
              <w:rPr/>
              <w:t xml:space="preserve">23.40 </w:t>
            </w:r>
          </w:p>
        </w:tc>
        <w:tc>
          <w:tcPr>
            <w:tcW w:w="156" w:type="dxa"/>
            <w:tcBorders/>
            <w:shd w:fill="CCEEFF" w:val="clear"/>
            <w:vAlign w:val="bottom"/>
          </w:tcPr>
          <w:p>
            <w:pPr>
              <w:pStyle w:val="TableContents"/>
              <w:spacing w:before="0" w:after="283"/>
              <w:jc w:val="left"/>
              <w:rPr/>
            </w:pPr>
            <w:r>
              <w:rPr/>
              <w:t xml:space="preserve">  </w:t>
            </w:r>
          </w:p>
        </w:tc>
      </w:tr>
      <w:tr>
        <w:trPr/>
        <w:tc>
          <w:tcPr>
            <w:tcW w:w="2369"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1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286" w:type="dxa"/>
            <w:tcBorders/>
            <w:shd w:fill="FFFFFF" w:val="clear"/>
            <w:vAlign w:val="bottom"/>
          </w:tcPr>
          <w:p>
            <w:pPr>
              <w:pStyle w:val="TableContents"/>
              <w:spacing w:before="0" w:after="283"/>
              <w:rPr/>
            </w:pPr>
            <w:r>
              <w:rPr/>
              <w:t xml:space="preserve">  </w:t>
            </w:r>
          </w:p>
        </w:tc>
        <w:tc>
          <w:tcPr>
            <w:tcW w:w="103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For 2006, approximately 0.8 million of the awards granted will cash settle upon vesting.</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recognized expense related to our LTIP of approximately $43 million, $26 million and $8 million during 2006, 2005 and 2004, respectively. As of December 31, 2006, we have an accrued liability of approximately $58 million associated with our LTIP. Cash payments associated with LTIP vestings and DER awards were approximately $2 million and $3 million in 2006, $4 million and $1 million in 2005 and $29 million and $0 in 2004, respectively. Based on our unit price on the applicable vesting date, the total fair value of vested awards was approximately $1.4 million, $4.4 million and $28.3 million during 2006, 2005 and 2004, respectively. No units were issued during 2006 in connection with the settlement of vested awards.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the weighted average remaining contractual life of our outstanding awards was approximately three years based on expected vesting dates. Based on the December 31, 2006 fair value measurement and probability assessment regarding future distributions, we expect to recognize an additional $64 million of expense over the life of our outstanding awards related to the remaining unrecognized fair value. This estimate is based on the market price of our limited partner units at December 31, 2006 and actual amounts may differ materially as a result of a change in market price. We estimate that the remaining fair value will be recognized in expense as shown below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412"/>
        <w:gridCol w:w="212"/>
        <w:gridCol w:w="485"/>
        <w:gridCol w:w="1911"/>
        <w:gridCol w:w="185"/>
      </w:tblGrid>
      <w:tr>
        <w:trPr/>
        <w:tc>
          <w:tcPr>
            <w:tcW w:w="7412"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11"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r>
      <w:tr>
        <w:trPr/>
        <w:tc>
          <w:tcPr>
            <w:tcW w:w="7412" w:type="dxa"/>
            <w:tcBorders/>
            <w:shd w:fill="FFFFFF" w:val="clear"/>
            <w:vAlign w:val="bottom"/>
          </w:tcPr>
          <w:p>
            <w:pPr>
              <w:pStyle w:val="TableContents"/>
              <w:spacing w:before="0" w:after="283"/>
              <w:jc w:val="left"/>
              <w:rPr/>
            </w:pPr>
            <w:r>
              <w:rPr/>
              <w:t xml:space="preserve">  </w:t>
            </w:r>
          </w:p>
        </w:tc>
        <w:tc>
          <w:tcPr>
            <w:tcW w:w="212" w:type="dxa"/>
            <w:tcBorders/>
            <w:shd w:fill="FFFFFF" w:val="clear"/>
            <w:vAlign w:val="bottom"/>
          </w:tcPr>
          <w:p>
            <w:pPr>
              <w:pStyle w:val="TableContents"/>
              <w:spacing w:before="0" w:after="283"/>
              <w:jc w:val="center"/>
              <w:rPr/>
            </w:pPr>
            <w:r>
              <w:rPr/>
              <w:t xml:space="preserve">  </w:t>
            </w:r>
          </w:p>
        </w:tc>
        <w:tc>
          <w:tcPr>
            <w:tcW w:w="2396" w:type="dxa"/>
            <w:gridSpan w:val="2"/>
            <w:tcBorders/>
            <w:shd w:fill="FFFFFF" w:val="clear"/>
            <w:vAlign w:val="bottom"/>
          </w:tcPr>
          <w:p>
            <w:pPr>
              <w:pStyle w:val="TableContents"/>
              <w:spacing w:before="0" w:after="283"/>
              <w:jc w:val="center"/>
              <w:rPr>
                <w:b/>
              </w:rPr>
            </w:pPr>
            <w:r>
              <w:rPr>
                <w:b/>
              </w:rPr>
              <w:t>LTIP</w:t>
            </w:r>
          </w:p>
        </w:tc>
        <w:tc>
          <w:tcPr>
            <w:tcW w:w="185" w:type="dxa"/>
            <w:tcBorders/>
            <w:shd w:fill="FFFFFF" w:val="clear"/>
            <w:vAlign w:val="bottom"/>
          </w:tcPr>
          <w:p>
            <w:pPr>
              <w:pStyle w:val="TableContents"/>
              <w:spacing w:before="0" w:after="283"/>
              <w:jc w:val="center"/>
              <w:rPr/>
            </w:pPr>
            <w:r>
              <w:rPr/>
              <w:t xml:space="preserve">  </w:t>
            </w:r>
          </w:p>
        </w:tc>
      </w:tr>
      <w:tr>
        <w:trPr/>
        <w:tc>
          <w:tcPr>
            <w:tcW w:w="7412" w:type="dxa"/>
            <w:tcBorders/>
            <w:shd w:fill="FFFFFF" w:val="clear"/>
            <w:vAlign w:val="bottom"/>
          </w:tcPr>
          <w:p>
            <w:pPr>
              <w:pStyle w:val="TableContents"/>
              <w:spacing w:before="0" w:after="283"/>
              <w:jc w:val="left"/>
              <w:rPr/>
            </w:pPr>
            <w:r>
              <w:rPr/>
              <w:t xml:space="preserve">  </w:t>
            </w:r>
          </w:p>
        </w:tc>
        <w:tc>
          <w:tcPr>
            <w:tcW w:w="212" w:type="dxa"/>
            <w:tcBorders/>
            <w:shd w:fill="FFFFFF" w:val="clear"/>
            <w:vAlign w:val="bottom"/>
          </w:tcPr>
          <w:p>
            <w:pPr>
              <w:pStyle w:val="TableContents"/>
              <w:spacing w:before="0" w:after="283"/>
              <w:jc w:val="center"/>
              <w:rPr/>
            </w:pPr>
            <w:r>
              <w:rPr/>
              <w:t xml:space="preserve">  </w:t>
            </w:r>
          </w:p>
        </w:tc>
        <w:tc>
          <w:tcPr>
            <w:tcW w:w="2396" w:type="dxa"/>
            <w:gridSpan w:val="2"/>
            <w:tcBorders/>
            <w:shd w:fill="FFFFFF" w:val="clear"/>
            <w:vAlign w:val="bottom"/>
          </w:tcPr>
          <w:p>
            <w:pPr>
              <w:pStyle w:val="TableContents"/>
              <w:spacing w:before="0" w:after="283"/>
              <w:jc w:val="center"/>
              <w:rPr>
                <w:b/>
              </w:rPr>
            </w:pPr>
            <w:r>
              <w:rPr>
                <w:b/>
              </w:rPr>
              <w:t>Fair Value</w:t>
            </w:r>
          </w:p>
        </w:tc>
        <w:tc>
          <w:tcPr>
            <w:tcW w:w="185" w:type="dxa"/>
            <w:tcBorders/>
            <w:shd w:fill="FFFFFF" w:val="clear"/>
            <w:vAlign w:val="bottom"/>
          </w:tcPr>
          <w:p>
            <w:pPr>
              <w:pStyle w:val="TableContents"/>
              <w:spacing w:before="0" w:after="283"/>
              <w:jc w:val="center"/>
              <w:rPr/>
            </w:pPr>
            <w:r>
              <w:rPr/>
              <w:t xml:space="preserve">  </w:t>
            </w:r>
          </w:p>
        </w:tc>
      </w:tr>
      <w:tr>
        <w:trPr/>
        <w:tc>
          <w:tcPr>
            <w:tcW w:w="7412" w:type="dxa"/>
            <w:tcBorders/>
            <w:shd w:fill="FFFFFF" w:val="clear"/>
            <w:vAlign w:val="bottom"/>
          </w:tcPr>
          <w:p>
            <w:pPr>
              <w:pStyle w:val="TableContents"/>
              <w:spacing w:before="0" w:after="0"/>
              <w:jc w:val="left"/>
              <w:rPr>
                <w:bdr w:val="single" w:sz="2" w:space="1" w:color="000000"/>
              </w:rPr>
            </w:pPr>
            <w:r>
              <w:rPr>
                <w:b/>
                <w:bdr w:val="single" w:sz="2" w:space="1" w:color="000000"/>
              </w:rPr>
              <w:t>Year</w:t>
            </w:r>
            <w:r>
              <w:rPr>
                <w:bdr w:val="single" w:sz="2" w:space="1" w:color="000000"/>
              </w:rPr>
              <w:t xml:space="preserve"> </w:t>
            </w:r>
          </w:p>
        </w:tc>
        <w:tc>
          <w:tcPr>
            <w:tcW w:w="212" w:type="dxa"/>
            <w:tcBorders/>
            <w:shd w:fill="FFFFFF" w:val="clear"/>
            <w:vAlign w:val="bottom"/>
          </w:tcPr>
          <w:p>
            <w:pPr>
              <w:pStyle w:val="TableContents"/>
              <w:spacing w:before="0" w:after="283"/>
              <w:jc w:val="center"/>
              <w:rPr/>
            </w:pPr>
            <w:r>
              <w:rPr/>
              <w:t xml:space="preserve">  </w:t>
            </w:r>
          </w:p>
        </w:tc>
        <w:tc>
          <w:tcPr>
            <w:tcW w:w="23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Amortization(1)</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7412" w:type="dxa"/>
            <w:tcBorders/>
            <w:shd w:fill="FFFFFF" w:val="clear"/>
            <w:vAlign w:val="center"/>
          </w:tcPr>
          <w:p>
            <w:pPr>
              <w:pStyle w:val="TableContents"/>
              <w:spacing w:before="0" w:after="283"/>
              <w:rPr/>
            </w:pPr>
            <w:r>
              <w:rPr/>
              <w:t xml:space="preserve">  </w:t>
            </w:r>
          </w:p>
        </w:tc>
        <w:tc>
          <w:tcPr>
            <w:tcW w:w="2793" w:type="dxa"/>
            <w:gridSpan w:val="4"/>
            <w:tcBorders/>
            <w:shd w:fill="FFFFFF" w:val="clear"/>
          </w:tcPr>
          <w:p>
            <w:pPr>
              <w:pStyle w:val="TableContents"/>
              <w:spacing w:before="0" w:after="283"/>
              <w:rPr>
                <w:sz w:val="4"/>
                <w:szCs w:val="4"/>
              </w:rPr>
            </w:pPr>
            <w:r>
              <w:rPr>
                <w:sz w:val="4"/>
                <w:szCs w:val="4"/>
              </w:rPr>
            </w:r>
          </w:p>
        </w:tc>
      </w:tr>
      <w:tr>
        <w:trPr/>
        <w:tc>
          <w:tcPr>
            <w:tcW w:w="7412" w:type="dxa"/>
            <w:tcBorders/>
            <w:shd w:fill="CCEEFF" w:val="clear"/>
            <w:vAlign w:val="bottom"/>
          </w:tcPr>
          <w:p>
            <w:pPr>
              <w:pStyle w:val="TableContents"/>
              <w:spacing w:before="0" w:after="0"/>
              <w:ind w:left="200" w:right="0" w:hanging="200"/>
              <w:jc w:val="left"/>
              <w:rPr>
                <w:sz w:val="17"/>
              </w:rPr>
            </w:pPr>
            <w:r>
              <w:rPr>
                <w:sz w:val="17"/>
              </w:rPr>
              <w:t xml:space="preserve">2007 </w:t>
            </w:r>
          </w:p>
        </w:tc>
        <w:tc>
          <w:tcPr>
            <w:tcW w:w="212" w:type="dxa"/>
            <w:tcBorders/>
            <w:shd w:fill="CCEEFF" w:val="clear"/>
            <w:vAlign w:val="bottom"/>
          </w:tcPr>
          <w:p>
            <w:pPr>
              <w:pStyle w:val="TableContents"/>
              <w:spacing w:before="0" w:after="283"/>
              <w:rPr/>
            </w:pPr>
            <w:r>
              <w:rPr/>
              <w:t xml:space="preserve">  </w:t>
            </w:r>
          </w:p>
        </w:tc>
        <w:tc>
          <w:tcPr>
            <w:tcW w:w="485" w:type="dxa"/>
            <w:tcBorders/>
            <w:shd w:fill="CCEEFF" w:val="clear"/>
            <w:vAlign w:val="bottom"/>
          </w:tcPr>
          <w:p>
            <w:pPr>
              <w:pStyle w:val="TableContents"/>
              <w:spacing w:before="0" w:after="283"/>
              <w:jc w:val="left"/>
              <w:rPr/>
            </w:pPr>
            <w:r>
              <w:rPr/>
              <w:t xml:space="preserve">$ </w:t>
            </w:r>
          </w:p>
        </w:tc>
        <w:tc>
          <w:tcPr>
            <w:tcW w:w="1911" w:type="dxa"/>
            <w:tcBorders/>
            <w:shd w:fill="CCEEFF" w:val="clear"/>
            <w:vAlign w:val="bottom"/>
          </w:tcPr>
          <w:p>
            <w:pPr>
              <w:pStyle w:val="TableContents"/>
              <w:spacing w:before="0" w:after="283"/>
              <w:jc w:val="right"/>
              <w:rPr/>
            </w:pPr>
            <w:r>
              <w:rPr/>
              <w:t xml:space="preserve">25.3 </w:t>
            </w:r>
          </w:p>
        </w:tc>
        <w:tc>
          <w:tcPr>
            <w:tcW w:w="185" w:type="dxa"/>
            <w:tcBorders/>
            <w:shd w:fill="CCEEFF" w:val="clear"/>
            <w:vAlign w:val="bottom"/>
          </w:tcPr>
          <w:p>
            <w:pPr>
              <w:pStyle w:val="TableContents"/>
              <w:spacing w:before="0" w:after="283"/>
              <w:jc w:val="left"/>
              <w:rPr/>
            </w:pPr>
            <w:r>
              <w:rPr/>
              <w:t xml:space="preserve">  </w:t>
            </w:r>
          </w:p>
        </w:tc>
      </w:tr>
      <w:tr>
        <w:trPr/>
        <w:tc>
          <w:tcPr>
            <w:tcW w:w="7412" w:type="dxa"/>
            <w:tcBorders/>
            <w:shd w:fill="FFFFFF" w:val="clear"/>
            <w:vAlign w:val="bottom"/>
          </w:tcPr>
          <w:p>
            <w:pPr>
              <w:pStyle w:val="TableContents"/>
              <w:spacing w:before="0" w:after="0"/>
              <w:ind w:left="200" w:right="0" w:hanging="200"/>
              <w:jc w:val="left"/>
              <w:rPr>
                <w:sz w:val="17"/>
              </w:rPr>
            </w:pPr>
            <w:r>
              <w:rPr>
                <w:sz w:val="17"/>
              </w:rPr>
              <w:t xml:space="preserve">2008 </w:t>
            </w:r>
          </w:p>
        </w:tc>
        <w:tc>
          <w:tcPr>
            <w:tcW w:w="212" w:type="dxa"/>
            <w:tcBorders/>
            <w:shd w:fill="FFFFFF" w:val="clear"/>
            <w:vAlign w:val="bottom"/>
          </w:tcPr>
          <w:p>
            <w:pPr>
              <w:pStyle w:val="TableContents"/>
              <w:spacing w:before="0" w:after="283"/>
              <w:rPr/>
            </w:pPr>
            <w:r>
              <w:rPr/>
              <w:t xml:space="preserve">  </w:t>
            </w:r>
          </w:p>
        </w:tc>
        <w:tc>
          <w:tcPr>
            <w:tcW w:w="485" w:type="dxa"/>
            <w:tcBorders/>
            <w:shd w:fill="FFFFFF" w:val="clear"/>
            <w:vAlign w:val="bottom"/>
          </w:tcPr>
          <w:p>
            <w:pPr>
              <w:pStyle w:val="TableContents"/>
              <w:spacing w:before="0" w:after="283"/>
              <w:jc w:val="left"/>
              <w:rPr/>
            </w:pPr>
            <w:r>
              <w:rPr/>
              <w:t xml:space="preserve">  </w:t>
            </w:r>
          </w:p>
        </w:tc>
        <w:tc>
          <w:tcPr>
            <w:tcW w:w="1911" w:type="dxa"/>
            <w:tcBorders/>
            <w:shd w:fill="FFFFFF" w:val="clear"/>
            <w:vAlign w:val="bottom"/>
          </w:tcPr>
          <w:p>
            <w:pPr>
              <w:pStyle w:val="TableContents"/>
              <w:spacing w:before="0" w:after="283"/>
              <w:jc w:val="right"/>
              <w:rPr/>
            </w:pPr>
            <w:r>
              <w:rPr/>
              <w:t xml:space="preserve">17.7 </w:t>
            </w:r>
          </w:p>
        </w:tc>
        <w:tc>
          <w:tcPr>
            <w:tcW w:w="185" w:type="dxa"/>
            <w:tcBorders/>
            <w:shd w:fill="FFFFFF" w:val="clear"/>
            <w:vAlign w:val="bottom"/>
          </w:tcPr>
          <w:p>
            <w:pPr>
              <w:pStyle w:val="TableContents"/>
              <w:spacing w:before="0" w:after="283"/>
              <w:jc w:val="left"/>
              <w:rPr/>
            </w:pPr>
            <w:r>
              <w:rPr/>
              <w:t xml:space="preserve">  </w:t>
            </w:r>
          </w:p>
        </w:tc>
      </w:tr>
      <w:tr>
        <w:trPr/>
        <w:tc>
          <w:tcPr>
            <w:tcW w:w="7412" w:type="dxa"/>
            <w:tcBorders/>
            <w:shd w:fill="CCEEFF" w:val="clear"/>
            <w:vAlign w:val="bottom"/>
          </w:tcPr>
          <w:p>
            <w:pPr>
              <w:pStyle w:val="TableContents"/>
              <w:spacing w:before="0" w:after="0"/>
              <w:ind w:left="200" w:right="0" w:hanging="200"/>
              <w:jc w:val="left"/>
              <w:rPr>
                <w:sz w:val="17"/>
              </w:rPr>
            </w:pPr>
            <w:r>
              <w:rPr>
                <w:sz w:val="17"/>
              </w:rPr>
              <w:t xml:space="preserve">2009 </w:t>
            </w:r>
          </w:p>
        </w:tc>
        <w:tc>
          <w:tcPr>
            <w:tcW w:w="212" w:type="dxa"/>
            <w:tcBorders/>
            <w:shd w:fill="CCEEFF" w:val="clear"/>
            <w:vAlign w:val="bottom"/>
          </w:tcPr>
          <w:p>
            <w:pPr>
              <w:pStyle w:val="TableContents"/>
              <w:spacing w:before="0" w:after="283"/>
              <w:rPr/>
            </w:pPr>
            <w:r>
              <w:rPr/>
              <w:t xml:space="preserve">  </w:t>
            </w:r>
          </w:p>
        </w:tc>
        <w:tc>
          <w:tcPr>
            <w:tcW w:w="485" w:type="dxa"/>
            <w:tcBorders/>
            <w:shd w:fill="CCEEFF" w:val="clear"/>
            <w:vAlign w:val="bottom"/>
          </w:tcPr>
          <w:p>
            <w:pPr>
              <w:pStyle w:val="TableContents"/>
              <w:spacing w:before="0" w:after="283"/>
              <w:jc w:val="left"/>
              <w:rPr/>
            </w:pPr>
            <w:r>
              <w:rPr/>
              <w:t xml:space="preserve">  </w:t>
            </w:r>
          </w:p>
        </w:tc>
        <w:tc>
          <w:tcPr>
            <w:tcW w:w="1911" w:type="dxa"/>
            <w:tcBorders/>
            <w:shd w:fill="CCEEFF" w:val="clear"/>
            <w:vAlign w:val="bottom"/>
          </w:tcPr>
          <w:p>
            <w:pPr>
              <w:pStyle w:val="TableContents"/>
              <w:spacing w:before="0" w:after="283"/>
              <w:jc w:val="right"/>
              <w:rPr/>
            </w:pPr>
            <w:r>
              <w:rPr/>
              <w:t xml:space="preserve">12.1 </w:t>
            </w:r>
          </w:p>
        </w:tc>
        <w:tc>
          <w:tcPr>
            <w:tcW w:w="185" w:type="dxa"/>
            <w:tcBorders/>
            <w:shd w:fill="CCEEFF" w:val="clear"/>
            <w:vAlign w:val="bottom"/>
          </w:tcPr>
          <w:p>
            <w:pPr>
              <w:pStyle w:val="TableContents"/>
              <w:spacing w:before="0" w:after="283"/>
              <w:jc w:val="left"/>
              <w:rPr/>
            </w:pPr>
            <w:r>
              <w:rPr/>
              <w:t xml:space="preserve">  </w:t>
            </w:r>
          </w:p>
        </w:tc>
      </w:tr>
      <w:tr>
        <w:trPr/>
        <w:tc>
          <w:tcPr>
            <w:tcW w:w="7412" w:type="dxa"/>
            <w:tcBorders/>
            <w:shd w:fill="FFFFFF" w:val="clear"/>
            <w:vAlign w:val="bottom"/>
          </w:tcPr>
          <w:p>
            <w:pPr>
              <w:pStyle w:val="TableContents"/>
              <w:spacing w:before="0" w:after="0"/>
              <w:ind w:left="200" w:right="0" w:hanging="200"/>
              <w:jc w:val="left"/>
              <w:rPr>
                <w:sz w:val="17"/>
              </w:rPr>
            </w:pPr>
            <w:r>
              <w:rPr>
                <w:sz w:val="17"/>
              </w:rPr>
              <w:t xml:space="preserve">2010 </w:t>
            </w:r>
          </w:p>
        </w:tc>
        <w:tc>
          <w:tcPr>
            <w:tcW w:w="212" w:type="dxa"/>
            <w:tcBorders/>
            <w:shd w:fill="FFFFFF" w:val="clear"/>
            <w:vAlign w:val="bottom"/>
          </w:tcPr>
          <w:p>
            <w:pPr>
              <w:pStyle w:val="TableContents"/>
              <w:spacing w:before="0" w:after="283"/>
              <w:rPr/>
            </w:pPr>
            <w:r>
              <w:rPr/>
              <w:t xml:space="preserve">  </w:t>
            </w:r>
          </w:p>
        </w:tc>
        <w:tc>
          <w:tcPr>
            <w:tcW w:w="485" w:type="dxa"/>
            <w:tcBorders/>
            <w:shd w:fill="FFFFFF" w:val="clear"/>
            <w:vAlign w:val="bottom"/>
          </w:tcPr>
          <w:p>
            <w:pPr>
              <w:pStyle w:val="TableContents"/>
              <w:spacing w:before="0" w:after="283"/>
              <w:jc w:val="left"/>
              <w:rPr/>
            </w:pPr>
            <w:r>
              <w:rPr/>
              <w:t xml:space="preserve">  </w:t>
            </w:r>
          </w:p>
        </w:tc>
        <w:tc>
          <w:tcPr>
            <w:tcW w:w="1911" w:type="dxa"/>
            <w:tcBorders/>
            <w:shd w:fill="FFFFFF" w:val="clear"/>
            <w:vAlign w:val="bottom"/>
          </w:tcPr>
          <w:p>
            <w:pPr>
              <w:pStyle w:val="TableContents"/>
              <w:spacing w:before="0" w:after="283"/>
              <w:jc w:val="right"/>
              <w:rPr/>
            </w:pPr>
            <w:r>
              <w:rPr/>
              <w:t xml:space="preserve">4.9 </w:t>
            </w:r>
          </w:p>
        </w:tc>
        <w:tc>
          <w:tcPr>
            <w:tcW w:w="185" w:type="dxa"/>
            <w:tcBorders/>
            <w:shd w:fill="FFFFFF" w:val="clear"/>
            <w:vAlign w:val="bottom"/>
          </w:tcPr>
          <w:p>
            <w:pPr>
              <w:pStyle w:val="TableContents"/>
              <w:spacing w:before="0" w:after="283"/>
              <w:jc w:val="left"/>
              <w:rPr/>
            </w:pPr>
            <w:r>
              <w:rPr/>
              <w:t xml:space="preserve">  </w:t>
            </w:r>
          </w:p>
        </w:tc>
      </w:tr>
      <w:tr>
        <w:trPr/>
        <w:tc>
          <w:tcPr>
            <w:tcW w:w="7412" w:type="dxa"/>
            <w:tcBorders/>
            <w:shd w:fill="CCEEFF" w:val="clear"/>
            <w:vAlign w:val="bottom"/>
          </w:tcPr>
          <w:p>
            <w:pPr>
              <w:pStyle w:val="TableContents"/>
              <w:spacing w:before="0" w:after="0"/>
              <w:ind w:left="200" w:right="0" w:hanging="200"/>
              <w:jc w:val="left"/>
              <w:rPr>
                <w:sz w:val="17"/>
              </w:rPr>
            </w:pPr>
            <w:r>
              <w:rPr>
                <w:sz w:val="17"/>
              </w:rPr>
              <w:t xml:space="preserve">2011 </w:t>
            </w:r>
          </w:p>
        </w:tc>
        <w:tc>
          <w:tcPr>
            <w:tcW w:w="212" w:type="dxa"/>
            <w:tcBorders/>
            <w:shd w:fill="CCEEFF" w:val="clear"/>
            <w:vAlign w:val="bottom"/>
          </w:tcPr>
          <w:p>
            <w:pPr>
              <w:pStyle w:val="TableContents"/>
              <w:spacing w:before="0" w:after="283"/>
              <w:rPr/>
            </w:pPr>
            <w:r>
              <w:rPr/>
              <w:t xml:space="preserve">  </w:t>
            </w:r>
          </w:p>
        </w:tc>
        <w:tc>
          <w:tcPr>
            <w:tcW w:w="485" w:type="dxa"/>
            <w:tcBorders/>
            <w:shd w:fill="CCEEFF" w:val="clear"/>
            <w:vAlign w:val="bottom"/>
          </w:tcPr>
          <w:p>
            <w:pPr>
              <w:pStyle w:val="TableContents"/>
              <w:spacing w:before="0" w:after="283"/>
              <w:jc w:val="left"/>
              <w:rPr/>
            </w:pPr>
            <w:r>
              <w:rPr/>
              <w:t xml:space="preserve">  </w:t>
            </w:r>
          </w:p>
        </w:tc>
        <w:tc>
          <w:tcPr>
            <w:tcW w:w="1911" w:type="dxa"/>
            <w:tcBorders/>
            <w:shd w:fill="CCEEFF" w:val="clear"/>
            <w:vAlign w:val="bottom"/>
          </w:tcPr>
          <w:p>
            <w:pPr>
              <w:pStyle w:val="TableContents"/>
              <w:spacing w:before="0" w:after="283"/>
              <w:jc w:val="right"/>
              <w:rPr/>
            </w:pPr>
            <w:r>
              <w:rPr/>
              <w:t xml:space="preserve">2.0 </w:t>
            </w:r>
          </w:p>
        </w:tc>
        <w:tc>
          <w:tcPr>
            <w:tcW w:w="185" w:type="dxa"/>
            <w:tcBorders/>
            <w:shd w:fill="CCEEFF" w:val="clear"/>
            <w:vAlign w:val="bottom"/>
          </w:tcPr>
          <w:p>
            <w:pPr>
              <w:pStyle w:val="TableContents"/>
              <w:spacing w:before="0" w:after="283"/>
              <w:jc w:val="left"/>
              <w:rPr/>
            </w:pPr>
            <w:r>
              <w:rPr/>
              <w:t xml:space="preserve">  </w:t>
            </w:r>
          </w:p>
        </w:tc>
      </w:tr>
      <w:tr>
        <w:trPr/>
        <w:tc>
          <w:tcPr>
            <w:tcW w:w="7412" w:type="dxa"/>
            <w:tcBorders/>
            <w:shd w:fill="FFFFFF" w:val="clear"/>
            <w:vAlign w:val="bottom"/>
          </w:tcPr>
          <w:p>
            <w:pPr>
              <w:pStyle w:val="TableContents"/>
              <w:spacing w:before="0" w:after="0"/>
              <w:ind w:left="200" w:right="0" w:hanging="200"/>
              <w:jc w:val="left"/>
              <w:rPr>
                <w:sz w:val="17"/>
              </w:rPr>
            </w:pPr>
            <w:r>
              <w:rPr>
                <w:sz w:val="17"/>
              </w:rPr>
              <w:t xml:space="preserve">2012 </w:t>
            </w:r>
          </w:p>
        </w:tc>
        <w:tc>
          <w:tcPr>
            <w:tcW w:w="212" w:type="dxa"/>
            <w:tcBorders/>
            <w:shd w:fill="FFFFFF" w:val="clear"/>
            <w:vAlign w:val="bottom"/>
          </w:tcPr>
          <w:p>
            <w:pPr>
              <w:pStyle w:val="TableContents"/>
              <w:spacing w:before="0" w:after="283"/>
              <w:rPr/>
            </w:pPr>
            <w:r>
              <w:rPr/>
              <w:t xml:space="preserve">  </w:t>
            </w:r>
          </w:p>
        </w:tc>
        <w:tc>
          <w:tcPr>
            <w:tcW w:w="485" w:type="dxa"/>
            <w:tcBorders/>
            <w:shd w:fill="FFFFFF" w:val="clear"/>
            <w:vAlign w:val="bottom"/>
          </w:tcPr>
          <w:p>
            <w:pPr>
              <w:pStyle w:val="TableContents"/>
              <w:spacing w:before="0" w:after="283"/>
              <w:jc w:val="left"/>
              <w:rPr/>
            </w:pPr>
            <w:r>
              <w:rPr/>
              <w:t xml:space="preserve">  </w:t>
            </w:r>
          </w:p>
        </w:tc>
        <w:tc>
          <w:tcPr>
            <w:tcW w:w="1911" w:type="dxa"/>
            <w:tcBorders/>
            <w:shd w:fill="FFFFFF" w:val="clear"/>
            <w:vAlign w:val="bottom"/>
          </w:tcPr>
          <w:p>
            <w:pPr>
              <w:pStyle w:val="TableContents"/>
              <w:spacing w:before="0" w:after="283"/>
              <w:jc w:val="right"/>
              <w:rPr/>
            </w:pPr>
            <w:r>
              <w:rPr/>
              <w:t xml:space="preserve">1.8 </w:t>
            </w:r>
          </w:p>
        </w:tc>
        <w:tc>
          <w:tcPr>
            <w:tcW w:w="185" w:type="dxa"/>
            <w:tcBorders/>
            <w:shd w:fill="FFFFFF" w:val="clear"/>
            <w:vAlign w:val="bottom"/>
          </w:tcPr>
          <w:p>
            <w:pPr>
              <w:pStyle w:val="TableContents"/>
              <w:spacing w:before="0" w:after="283"/>
              <w:jc w:val="left"/>
              <w:rPr/>
            </w:pPr>
            <w:r>
              <w:rPr/>
              <w:t xml:space="preserve">  </w:t>
            </w:r>
          </w:p>
        </w:tc>
      </w:tr>
      <w:tr>
        <w:trPr/>
        <w:tc>
          <w:tcPr>
            <w:tcW w:w="7412"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7412" w:type="dxa"/>
            <w:tcBorders/>
            <w:shd w:fill="CCEEFF" w:val="clear"/>
            <w:vAlign w:val="bottom"/>
          </w:tcPr>
          <w:p>
            <w:pPr>
              <w:pStyle w:val="TableContents"/>
              <w:spacing w:before="0" w:after="0"/>
              <w:ind w:left="400" w:right="0" w:hanging="200"/>
              <w:jc w:val="left"/>
              <w:rPr>
                <w:sz w:val="17"/>
              </w:rPr>
            </w:pPr>
            <w:r>
              <w:rPr>
                <w:sz w:val="17"/>
              </w:rPr>
              <w:t xml:space="preserve">Total </w:t>
            </w:r>
          </w:p>
        </w:tc>
        <w:tc>
          <w:tcPr>
            <w:tcW w:w="212" w:type="dxa"/>
            <w:tcBorders/>
            <w:shd w:fill="CCEEFF" w:val="clear"/>
            <w:vAlign w:val="bottom"/>
          </w:tcPr>
          <w:p>
            <w:pPr>
              <w:pStyle w:val="TableContents"/>
              <w:spacing w:before="0" w:after="283"/>
              <w:rPr/>
            </w:pPr>
            <w:r>
              <w:rPr/>
              <w:t xml:space="preserve">  </w:t>
            </w:r>
          </w:p>
        </w:tc>
        <w:tc>
          <w:tcPr>
            <w:tcW w:w="485" w:type="dxa"/>
            <w:tcBorders/>
            <w:shd w:fill="CCEEFF" w:val="clear"/>
            <w:vAlign w:val="bottom"/>
          </w:tcPr>
          <w:p>
            <w:pPr>
              <w:pStyle w:val="TableContents"/>
              <w:spacing w:before="0" w:after="283"/>
              <w:jc w:val="left"/>
              <w:rPr/>
            </w:pPr>
            <w:r>
              <w:rPr/>
              <w:t xml:space="preserve">$ </w:t>
            </w:r>
          </w:p>
        </w:tc>
        <w:tc>
          <w:tcPr>
            <w:tcW w:w="1911" w:type="dxa"/>
            <w:tcBorders/>
            <w:shd w:fill="CCEEFF" w:val="clear"/>
            <w:vAlign w:val="bottom"/>
          </w:tcPr>
          <w:p>
            <w:pPr>
              <w:pStyle w:val="TableContents"/>
              <w:spacing w:before="0" w:after="283"/>
              <w:jc w:val="right"/>
              <w:rPr/>
            </w:pPr>
            <w:r>
              <w:rPr/>
              <w:t xml:space="preserve">63.8 </w:t>
            </w:r>
          </w:p>
        </w:tc>
        <w:tc>
          <w:tcPr>
            <w:tcW w:w="185" w:type="dxa"/>
            <w:tcBorders/>
            <w:shd w:fill="CCEEFF" w:val="clear"/>
            <w:vAlign w:val="bottom"/>
          </w:tcPr>
          <w:p>
            <w:pPr>
              <w:pStyle w:val="TableContents"/>
              <w:spacing w:before="0" w:after="283"/>
              <w:jc w:val="left"/>
              <w:rPr/>
            </w:pPr>
            <w:r>
              <w:rPr/>
              <w:t xml:space="preserve">  </w:t>
            </w:r>
          </w:p>
        </w:tc>
      </w:tr>
      <w:tr>
        <w:trPr/>
        <w:tc>
          <w:tcPr>
            <w:tcW w:w="7412"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rPr/>
            </w:pPr>
            <w:r>
              <w:rPr/>
              <w:t xml:space="preserve">  </w:t>
            </w:r>
          </w:p>
        </w:tc>
        <w:tc>
          <w:tcPr>
            <w:tcW w:w="4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Amounts do not include fair value associated with awards containing performance conditions that are not considered to be probable of occurring at December 31, 2006.</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11  Commitments and Contingencies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Commitments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non-cancellable commitments related to these items at December 31, 2006, are summarized below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882"/>
        <w:gridCol w:w="218"/>
        <w:gridCol w:w="209"/>
        <w:gridCol w:w="731"/>
        <w:gridCol w:w="165"/>
      </w:tblGrid>
      <w:tr>
        <w:trPr/>
        <w:tc>
          <w:tcPr>
            <w:tcW w:w="8882"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jc w:val="right"/>
              <w:rPr/>
            </w:pPr>
            <w:r>
              <w:rPr/>
              <w:t> </w:t>
            </w:r>
          </w:p>
        </w:tc>
        <w:tc>
          <w:tcPr>
            <w:tcW w:w="731"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left"/>
              <w:rPr/>
            </w:pPr>
            <w:r>
              <w:rPr/>
              <w:t> </w:t>
            </w:r>
          </w:p>
        </w:tc>
      </w:tr>
      <w:tr>
        <w:trPr/>
        <w:tc>
          <w:tcPr>
            <w:tcW w:w="8882" w:type="dxa"/>
            <w:tcBorders/>
            <w:shd w:fill="CCEEFF" w:val="clear"/>
            <w:vAlign w:val="bottom"/>
          </w:tcPr>
          <w:p>
            <w:pPr>
              <w:pStyle w:val="TableContents"/>
              <w:spacing w:before="0" w:after="0"/>
              <w:ind w:left="200" w:right="0" w:hanging="200"/>
              <w:jc w:val="left"/>
              <w:rPr>
                <w:sz w:val="17"/>
              </w:rPr>
            </w:pPr>
            <w:r>
              <w:rPr>
                <w:sz w:val="17"/>
              </w:rPr>
              <w:t xml:space="preserve">2007 </w:t>
            </w:r>
          </w:p>
        </w:tc>
        <w:tc>
          <w:tcPr>
            <w:tcW w:w="218"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1" w:type="dxa"/>
            <w:tcBorders/>
            <w:shd w:fill="CCEEFF" w:val="clear"/>
            <w:vAlign w:val="bottom"/>
          </w:tcPr>
          <w:p>
            <w:pPr>
              <w:pStyle w:val="TableContents"/>
              <w:spacing w:before="0" w:after="283"/>
              <w:jc w:val="right"/>
              <w:rPr/>
            </w:pPr>
            <w:r>
              <w:rPr/>
              <w:t xml:space="preserve">37.0 </w:t>
            </w:r>
          </w:p>
        </w:tc>
        <w:tc>
          <w:tcPr>
            <w:tcW w:w="165" w:type="dxa"/>
            <w:tcBorders/>
            <w:shd w:fill="CCEEFF" w:val="clear"/>
            <w:vAlign w:val="bottom"/>
          </w:tcPr>
          <w:p>
            <w:pPr>
              <w:pStyle w:val="TableContents"/>
              <w:spacing w:before="0" w:after="283"/>
              <w:jc w:val="left"/>
              <w:rPr/>
            </w:pPr>
            <w:r>
              <w:rPr/>
              <w:t xml:space="preserve">  </w:t>
            </w:r>
          </w:p>
        </w:tc>
      </w:tr>
      <w:tr>
        <w:trPr/>
        <w:tc>
          <w:tcPr>
            <w:tcW w:w="8882" w:type="dxa"/>
            <w:tcBorders/>
            <w:shd w:fill="FFFFFF" w:val="clear"/>
            <w:vAlign w:val="bottom"/>
          </w:tcPr>
          <w:p>
            <w:pPr>
              <w:pStyle w:val="TableContents"/>
              <w:spacing w:before="0" w:after="0"/>
              <w:ind w:left="200" w:right="0" w:hanging="200"/>
              <w:jc w:val="left"/>
              <w:rPr>
                <w:sz w:val="17"/>
              </w:rPr>
            </w:pPr>
            <w:r>
              <w:rPr>
                <w:sz w:val="17"/>
              </w:rPr>
              <w:t xml:space="preserve">2008 </w:t>
            </w:r>
          </w:p>
        </w:tc>
        <w:tc>
          <w:tcPr>
            <w:tcW w:w="218"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731" w:type="dxa"/>
            <w:tcBorders/>
            <w:shd w:fill="FFFFFF" w:val="clear"/>
            <w:vAlign w:val="bottom"/>
          </w:tcPr>
          <w:p>
            <w:pPr>
              <w:pStyle w:val="TableContents"/>
              <w:spacing w:before="0" w:after="283"/>
              <w:jc w:val="right"/>
              <w:rPr/>
            </w:pPr>
            <w:r>
              <w:rPr/>
              <w:t xml:space="preserve">33.9 </w:t>
            </w:r>
          </w:p>
        </w:tc>
        <w:tc>
          <w:tcPr>
            <w:tcW w:w="165" w:type="dxa"/>
            <w:tcBorders/>
            <w:shd w:fill="FFFFFF" w:val="clear"/>
            <w:vAlign w:val="bottom"/>
          </w:tcPr>
          <w:p>
            <w:pPr>
              <w:pStyle w:val="TableContents"/>
              <w:spacing w:before="0" w:after="283"/>
              <w:jc w:val="left"/>
              <w:rPr/>
            </w:pPr>
            <w:r>
              <w:rPr/>
              <w:t xml:space="preserve">  </w:t>
            </w:r>
          </w:p>
        </w:tc>
      </w:tr>
      <w:tr>
        <w:trPr/>
        <w:tc>
          <w:tcPr>
            <w:tcW w:w="8882" w:type="dxa"/>
            <w:tcBorders/>
            <w:shd w:fill="CCEEFF" w:val="clear"/>
            <w:vAlign w:val="bottom"/>
          </w:tcPr>
          <w:p>
            <w:pPr>
              <w:pStyle w:val="TableContents"/>
              <w:spacing w:before="0" w:after="0"/>
              <w:ind w:left="200" w:right="0" w:hanging="200"/>
              <w:jc w:val="left"/>
              <w:rPr>
                <w:sz w:val="17"/>
              </w:rPr>
            </w:pPr>
            <w:r>
              <w:rPr>
                <w:sz w:val="17"/>
              </w:rPr>
              <w:t xml:space="preserve">2009 </w:t>
            </w:r>
          </w:p>
        </w:tc>
        <w:tc>
          <w:tcPr>
            <w:tcW w:w="218"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1" w:type="dxa"/>
            <w:tcBorders/>
            <w:shd w:fill="CCEEFF" w:val="clear"/>
            <w:vAlign w:val="bottom"/>
          </w:tcPr>
          <w:p>
            <w:pPr>
              <w:pStyle w:val="TableContents"/>
              <w:spacing w:before="0" w:after="283"/>
              <w:jc w:val="right"/>
              <w:rPr/>
            </w:pPr>
            <w:r>
              <w:rPr/>
              <w:t xml:space="preserve">28.9 </w:t>
            </w:r>
          </w:p>
        </w:tc>
        <w:tc>
          <w:tcPr>
            <w:tcW w:w="165" w:type="dxa"/>
            <w:tcBorders/>
            <w:shd w:fill="CCEEFF" w:val="clear"/>
            <w:vAlign w:val="bottom"/>
          </w:tcPr>
          <w:p>
            <w:pPr>
              <w:pStyle w:val="TableContents"/>
              <w:spacing w:before="0" w:after="283"/>
              <w:jc w:val="left"/>
              <w:rPr/>
            </w:pPr>
            <w:r>
              <w:rPr/>
              <w:t xml:space="preserve">  </w:t>
            </w:r>
          </w:p>
        </w:tc>
      </w:tr>
      <w:tr>
        <w:trPr/>
        <w:tc>
          <w:tcPr>
            <w:tcW w:w="8882" w:type="dxa"/>
            <w:tcBorders/>
            <w:shd w:fill="FFFFFF" w:val="clear"/>
            <w:vAlign w:val="bottom"/>
          </w:tcPr>
          <w:p>
            <w:pPr>
              <w:pStyle w:val="TableContents"/>
              <w:spacing w:before="0" w:after="0"/>
              <w:ind w:left="200" w:right="0" w:hanging="200"/>
              <w:jc w:val="left"/>
              <w:rPr>
                <w:sz w:val="17"/>
              </w:rPr>
            </w:pPr>
            <w:r>
              <w:rPr>
                <w:sz w:val="17"/>
              </w:rPr>
              <w:t xml:space="preserve">2010 </w:t>
            </w:r>
          </w:p>
        </w:tc>
        <w:tc>
          <w:tcPr>
            <w:tcW w:w="218"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731" w:type="dxa"/>
            <w:tcBorders/>
            <w:shd w:fill="FFFFFF" w:val="clear"/>
            <w:vAlign w:val="bottom"/>
          </w:tcPr>
          <w:p>
            <w:pPr>
              <w:pStyle w:val="TableContents"/>
              <w:spacing w:before="0" w:after="283"/>
              <w:jc w:val="right"/>
              <w:rPr/>
            </w:pPr>
            <w:r>
              <w:rPr/>
              <w:t xml:space="preserve">22.2 </w:t>
            </w:r>
          </w:p>
        </w:tc>
        <w:tc>
          <w:tcPr>
            <w:tcW w:w="165" w:type="dxa"/>
            <w:tcBorders/>
            <w:shd w:fill="FFFFFF" w:val="clear"/>
            <w:vAlign w:val="bottom"/>
          </w:tcPr>
          <w:p>
            <w:pPr>
              <w:pStyle w:val="TableContents"/>
              <w:spacing w:before="0" w:after="283"/>
              <w:jc w:val="left"/>
              <w:rPr/>
            </w:pPr>
            <w:r>
              <w:rPr/>
              <w:t xml:space="preserve">  </w:t>
            </w:r>
          </w:p>
        </w:tc>
      </w:tr>
      <w:tr>
        <w:trPr/>
        <w:tc>
          <w:tcPr>
            <w:tcW w:w="8882" w:type="dxa"/>
            <w:tcBorders/>
            <w:shd w:fill="CCEEFF" w:val="clear"/>
            <w:vAlign w:val="bottom"/>
          </w:tcPr>
          <w:p>
            <w:pPr>
              <w:pStyle w:val="TableContents"/>
              <w:spacing w:before="0" w:after="0"/>
              <w:ind w:left="200" w:right="0" w:hanging="200"/>
              <w:jc w:val="left"/>
              <w:rPr>
                <w:sz w:val="17"/>
              </w:rPr>
            </w:pPr>
            <w:r>
              <w:rPr>
                <w:sz w:val="17"/>
              </w:rPr>
              <w:t xml:space="preserve">2011 </w:t>
            </w:r>
          </w:p>
        </w:tc>
        <w:tc>
          <w:tcPr>
            <w:tcW w:w="218" w:type="dxa"/>
            <w:tcBorders/>
            <w:shd w:fill="CCEEFF" w:val="clear"/>
            <w:vAlign w:val="bottom"/>
          </w:tcPr>
          <w:p>
            <w:pPr>
              <w:pStyle w:val="TableContents"/>
              <w:spacing w:before="0" w:after="283"/>
              <w:rPr/>
            </w:pPr>
            <w:r>
              <w:rPr/>
              <w:t xml:space="preserve">  </w:t>
            </w:r>
          </w:p>
        </w:tc>
        <w:tc>
          <w:tcPr>
            <w:tcW w:w="209" w:type="dxa"/>
            <w:tcBorders/>
            <w:shd w:fill="CCEEFF" w:val="clear"/>
            <w:vAlign w:val="bottom"/>
          </w:tcPr>
          <w:p>
            <w:pPr>
              <w:pStyle w:val="TableContents"/>
              <w:spacing w:before="0" w:after="283"/>
              <w:jc w:val="left"/>
              <w:rPr/>
            </w:pPr>
            <w:r>
              <w:rPr/>
              <w:t xml:space="preserve">$ </w:t>
            </w:r>
          </w:p>
        </w:tc>
        <w:tc>
          <w:tcPr>
            <w:tcW w:w="731" w:type="dxa"/>
            <w:tcBorders/>
            <w:shd w:fill="CCEEFF" w:val="clear"/>
            <w:vAlign w:val="bottom"/>
          </w:tcPr>
          <w:p>
            <w:pPr>
              <w:pStyle w:val="TableContents"/>
              <w:spacing w:before="0" w:after="283"/>
              <w:jc w:val="right"/>
              <w:rPr/>
            </w:pPr>
            <w:r>
              <w:rPr/>
              <w:t xml:space="preserve">18.6 </w:t>
            </w:r>
          </w:p>
        </w:tc>
        <w:tc>
          <w:tcPr>
            <w:tcW w:w="165" w:type="dxa"/>
            <w:tcBorders/>
            <w:shd w:fill="CCEEFF" w:val="clear"/>
            <w:vAlign w:val="bottom"/>
          </w:tcPr>
          <w:p>
            <w:pPr>
              <w:pStyle w:val="TableContents"/>
              <w:spacing w:before="0" w:after="283"/>
              <w:jc w:val="left"/>
              <w:rPr/>
            </w:pPr>
            <w:r>
              <w:rPr/>
              <w:t xml:space="preserve">  </w:t>
            </w:r>
          </w:p>
        </w:tc>
      </w:tr>
      <w:tr>
        <w:trPr/>
        <w:tc>
          <w:tcPr>
            <w:tcW w:w="8882" w:type="dxa"/>
            <w:tcBorders/>
            <w:shd w:fill="FFFFFF" w:val="clear"/>
            <w:vAlign w:val="bottom"/>
          </w:tcPr>
          <w:p>
            <w:pPr>
              <w:pStyle w:val="TableContents"/>
              <w:spacing w:before="0" w:after="0"/>
              <w:ind w:left="200" w:right="0" w:hanging="200"/>
              <w:jc w:val="left"/>
              <w:rPr>
                <w:sz w:val="17"/>
              </w:rPr>
            </w:pPr>
            <w:r>
              <w:rPr>
                <w:sz w:val="17"/>
              </w:rPr>
              <w:t xml:space="preserve">Thereafter </w:t>
            </w:r>
          </w:p>
        </w:tc>
        <w:tc>
          <w:tcPr>
            <w:tcW w:w="218"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jc w:val="left"/>
              <w:rPr/>
            </w:pPr>
            <w:r>
              <w:rPr/>
              <w:t xml:space="preserve">$ </w:t>
            </w:r>
          </w:p>
        </w:tc>
        <w:tc>
          <w:tcPr>
            <w:tcW w:w="731" w:type="dxa"/>
            <w:tcBorders/>
            <w:shd w:fill="FFFFFF" w:val="clear"/>
            <w:vAlign w:val="bottom"/>
          </w:tcPr>
          <w:p>
            <w:pPr>
              <w:pStyle w:val="TableContents"/>
              <w:spacing w:before="0" w:after="283"/>
              <w:jc w:val="right"/>
              <w:rPr/>
            </w:pPr>
            <w:r>
              <w:rPr/>
              <w:t xml:space="preserve">253.7 </w:t>
            </w:r>
          </w:p>
        </w:tc>
        <w:tc>
          <w:tcPr>
            <w:tcW w:w="165"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Expenditures related to leases for 2006, 2005 and 2004 were $37.7 million, $25.7 million and $20.1 million, respectively.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Contingencies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Pipeline Releases.</w:t>
      </w:r>
      <w:r>
        <w:rPr>
          <w:rFonts w:ascii="Times New Roman;Times" w:hAnsi="Times New Roman;Times"/>
          <w:color w:val="000000"/>
          <w:sz w:val="17"/>
          <w:highlight w:val="white"/>
        </w:rPr>
        <w:t xml:space="preserve">  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$3.0 million to $3.5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the DOJ; however, we have no indication from EPA or the DOJ of what penalties might be sought. As a result, we are unable to estimate the range of a reasonably possible loss contingency in excess of our accrual.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November 15, 2006, we completed the Pacific acquisition. The following is a summary of the more significant matters that relate to Pacific, its assets or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The People of the State of California v. Pacific Pipeline System, LLC (PPS).</w:t>
      </w:r>
      <w:r>
        <w:rPr>
          <w:rFonts w:ascii="Times New Roman;Times" w:hAnsi="Times New Roman;Times"/>
          <w:color w:val="000000"/>
          <w:sz w:val="17"/>
          <w:highlight w:val="white"/>
        </w:rPr>
        <w:t xml:space="preserve">  In March 2005, a release of approximately 3,400 barrels of crude oil occurred on Line 63, subsequently acquired by us in the Pacific merger. The release occurred when Line 63 was severed as a result of a landslide caused by heavy rainfall in the Pyramid Lake area of Los Angeles County. As of December 31, 2006, $26 million of remediation costs had been incurred. We estimate additional remediation costs of approximately $1 to $2 million, substantially all of which we expect to incur before June 2007. We anticipate that the majority of costs associated with this release will be covered under a pre-existing PPS pollution liability insurance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March 2006, PPS, a subsidiary acquired in the Pacific merger, was served with a four 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that can be assessed is estimated to be approximately $1,100,000, in the aggregate. This amount is subject to a downward adjustment with respect to actual volumes of recovered crude oil, and the State of California has the discretion to further reduce the fine after considering other mitigating factors. Because of the uncertainty associated with these factors, the final amount of the fine that will be assessed for the strict liability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the natural resource damages amount. We believe that certain of the alleged violations are without merit and intend to defend against them, and that mitigating factors should apply.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December 2006 we were informed that the EPA may be intending to refer this matter to the DOJ for the initiation of proceedings to assess civil penalties against PPS. The DOJ has accepted the referral. We understand that the maximum permissible penalty that the EPA could assess under relevant statutes would be approximately $3.7 million. We believe that several mitigating circumstances and factors exist that could substantially reduce the penalty, and intend to pursue discussions with the EPA regarding such mitigating circumstances and factors. Because of the uncertainty associated with these factors, the final amount of the penalty that will be assessed by the EPA cannot be ascertained. Discussions with the DOJ to resolve this matter have commenced.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Kosseff v. Pacific Energy, et al</w:t>
      </w:r>
      <w:r>
        <w:rPr>
          <w:rFonts w:ascii="Times New Roman;Times" w:hAnsi="Times New Roman;Times"/>
          <w:color w:val="000000"/>
          <w:sz w:val="17"/>
          <w:highlight w:val="white"/>
        </w:rPr>
        <w:t xml:space="preserve">, case no. BC 3544016. On June 15, 2006, a lawsuit was filed in the Superior court of California, County of Los Angeles, in which the plaintiff alleged that he was a unitholder of Pacific and he sought to represent a class comprising all of Pacifics unitholders. The complaint named as defendants Pacific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certain of the officers and directors of Pacifics general partner, and asserted claims of self-dealing and breach of fiduciary duty in connection with the pending merger with us and related transactions. The plaintiff sought injunctive relief against completing the merger or, if the merger was completed, rescission of the merger, other equitable relief, and recovery of the plaintiffs costs and attorneys fees. On September 14, 2006, Pacific and the other defendants entered into a memorandum of settlement with the plaintiff to settle the lawsuit. As part of the settlement, Pacific and the other defendants deny all allegations of wrongdoing and express willingness to settle the lawsuit solely because the settlement would eliminate the burden and expense of further litigation. The settlement is subject to customary conditions, including court approval. As part of the settlement, we (as successor to Pacific) will pay $0.5 million to the plaintiffs counsel for their fees and expenses, and incur the cost of mailing materials to former Pacific unitholders. If finally approved by the court, the settlement will resolve all claims that were or could have been brought on behalf of the proposed settlement class in the actions being settled, including all claims relating to the merger, the merger agreement and any disclosure made by Pacific in connection with the merger. The settlement did not change any of the terms or conditions of the merger.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Air Quality Permits.</w:t>
      </w:r>
      <w:r>
        <w:rPr>
          <w:rFonts w:ascii="Times New Roman;Times" w:hAnsi="Times New Roman;Times"/>
          <w:color w:val="000000"/>
          <w:sz w:val="17"/>
          <w:highlight w:val="white"/>
        </w:rPr>
        <w:t xml:space="preserve">  In connection with the Pacific merger, we acquired Pacific Atlantic Terminals LLC (PAT), which is now one of our subsidiaries. PAT owns crude oil and refined products terminals in northern California. In the process of integrating PATs assets into our operations, we identified certain aspects of the operations at the terminals that appeared to be out of compliance with specifications under the relevant air quality permit. We conducted a prompt review of the circumstances and self-reported the apparent historical occurrences of non-compliance to the Bay Area Air Quality Management District. We are cooperating with the Districts review of these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General.</w:t>
      </w:r>
      <w:r>
        <w:rPr>
          <w:rFonts w:ascii="Times New Roman;Times" w:hAnsi="Times New Roman;Times"/>
          <w:color w:val="000000"/>
          <w:sz w:val="17"/>
          <w:highlight w:val="white"/>
        </w:rPr>
        <w:t xml:space="preserve">  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Environmental.</w:t>
      </w:r>
      <w:r>
        <w:rPr>
          <w:rFonts w:ascii="Times New Roman;Times" w:hAnsi="Times New Roman;Times"/>
          <w:color w:val="000000"/>
          <w:sz w:val="17"/>
          <w:highlight w:val="white"/>
        </w:rPr>
        <w:t xml:space="preserve">  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 Pipeline Releases above.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December 31, 2006, our reserve for environmental liabilities totaled approximately $39.1 million. At December 31, 2006, we have recorded receivables totaling approximately $11.6 million for amounts which are probable of recovery under insurance and from third parties under indemnification agreements. Although we believe our reserve is adequate, no assurance can be given that any costs incurred in excess of this reserve would not have a material adverse effect on our financial condition, results of operations or cash flows. See Note 13.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Other.</w:t>
      </w:r>
      <w:r>
        <w:rPr>
          <w:rFonts w:ascii="Times New Roman;Times" w:hAnsi="Times New Roman;Times"/>
          <w:color w:val="000000"/>
          <w:sz w:val="17"/>
          <w:highlight w:val="white"/>
        </w:rPr>
        <w:t xml:space="preserve">  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insurance markets, this trend is expected to continue as we continue to grow and expand. As a result, we anticipate that we will elect to self-insure more of our activities or incorporate higher retention in our insurance arrangements.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12  Supplemental Condensed Consolidating Financial Information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conjunction with the Pacific acquisition, 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 we are referred to as Parent, while the Guarantor Subsidiaries are PAA Finance Corp.;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Rocky Mountain Pipeline System, LLC; Pacific Marketing and Transportation LLC; Pacific Atlantic Terminals LLC; Pacific LA Marine Terminal, LLC; Ranch Pipeline LLC; PEG Canada GP LLC; PEG Canada, L.P.; Pacific Energy Group LLC; Pacific Energy Finance Corporation; Rangeland Pipeline Company; Rangeland Marketing Company; Rangeland Northern Pipeline Company; Rangeland Pipeline Partnership; and Aurora Pipeline Company, Ltd. and Non-Guarantor Subsidiaries are Atchafalaya Pipeline, L.L.C.; Andrews Partners, LLC; Pacific Pipeline System, LLC, Pacific Terminals, LLC, Pacific Energy Management LLC and Pacific Energy GP LP.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Condensed Consolidating Balance Sheet</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945"/>
        <w:gridCol w:w="85"/>
        <w:gridCol w:w="221"/>
        <w:gridCol w:w="901"/>
        <w:gridCol w:w="128"/>
        <w:gridCol w:w="99"/>
        <w:gridCol w:w="264"/>
        <w:gridCol w:w="1101"/>
        <w:gridCol w:w="162"/>
        <w:gridCol w:w="99"/>
        <w:gridCol w:w="325"/>
        <w:gridCol w:w="1371"/>
        <w:gridCol w:w="127"/>
        <w:gridCol w:w="99"/>
        <w:gridCol w:w="255"/>
        <w:gridCol w:w="1154"/>
        <w:gridCol w:w="162"/>
        <w:gridCol w:w="99"/>
        <w:gridCol w:w="284"/>
        <w:gridCol w:w="1182"/>
        <w:gridCol w:w="142"/>
      </w:tblGrid>
      <w:tr>
        <w:trPr/>
        <w:tc>
          <w:tcPr>
            <w:tcW w:w="194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jc w:val="right"/>
              <w:rPr/>
            </w:pPr>
            <w:r>
              <w:rPr/>
              <w:t> </w:t>
            </w:r>
          </w:p>
        </w:tc>
        <w:tc>
          <w:tcPr>
            <w:tcW w:w="90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264" w:type="dxa"/>
            <w:tcBorders/>
            <w:shd w:fill="FFFFFF" w:val="clear"/>
            <w:vAlign w:val="bottom"/>
          </w:tcPr>
          <w:p>
            <w:pPr>
              <w:pStyle w:val="TableContents"/>
              <w:spacing w:before="0" w:after="283"/>
              <w:jc w:val="right"/>
              <w:rPr/>
            </w:pPr>
            <w:r>
              <w:rPr/>
              <w:t> </w:t>
            </w:r>
          </w:p>
        </w:tc>
        <w:tc>
          <w:tcPr>
            <w:tcW w:w="1101"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325" w:type="dxa"/>
            <w:tcBorders/>
            <w:shd w:fill="FFFFFF" w:val="clear"/>
            <w:vAlign w:val="bottom"/>
          </w:tcPr>
          <w:p>
            <w:pPr>
              <w:pStyle w:val="TableContents"/>
              <w:spacing w:before="0" w:after="283"/>
              <w:jc w:val="right"/>
              <w:rPr/>
            </w:pPr>
            <w:r>
              <w:rPr/>
              <w:t> </w:t>
            </w:r>
          </w:p>
        </w:tc>
        <w:tc>
          <w:tcPr>
            <w:tcW w:w="137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154"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284" w:type="dxa"/>
            <w:tcBorders/>
            <w:shd w:fill="FFFFFF" w:val="clear"/>
            <w:vAlign w:val="bottom"/>
          </w:tcPr>
          <w:p>
            <w:pPr>
              <w:pStyle w:val="TableContents"/>
              <w:spacing w:before="0" w:after="283"/>
              <w:jc w:val="right"/>
              <w:rPr/>
            </w:pPr>
            <w:r>
              <w:rPr/>
              <w:t> </w:t>
            </w:r>
          </w:p>
        </w:tc>
        <w:tc>
          <w:tcPr>
            <w:tcW w:w="1182"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r>
      <w:tr>
        <w:trPr/>
        <w:tc>
          <w:tcPr>
            <w:tcW w:w="1945"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8033"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42" w:type="dxa"/>
            <w:tcBorders/>
            <w:shd w:fill="FFFFFF" w:val="clear"/>
            <w:vAlign w:val="bottom"/>
          </w:tcPr>
          <w:p>
            <w:pPr>
              <w:pStyle w:val="TableContents"/>
              <w:spacing w:before="0" w:after="283"/>
              <w:jc w:val="center"/>
              <w:rPr/>
            </w:pPr>
            <w:r>
              <w:rPr/>
              <w:t xml:space="preserve">  </w:t>
            </w:r>
          </w:p>
        </w:tc>
      </w:tr>
      <w:tr>
        <w:trPr/>
        <w:tc>
          <w:tcPr>
            <w:tcW w:w="1945"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1122" w:type="dxa"/>
            <w:gridSpan w:val="2"/>
            <w:tcBorders/>
            <w:shd w:fill="FFFFFF" w:val="clear"/>
            <w:vAlign w:val="bottom"/>
          </w:tcPr>
          <w:p>
            <w:pPr>
              <w:pStyle w:val="TableContents"/>
              <w:spacing w:before="0" w:after="283"/>
              <w:jc w:val="center"/>
              <w:rPr>
                <w:b/>
              </w:rPr>
            </w:pPr>
            <w:r>
              <w:rPr>
                <w:b/>
              </w:rPr>
              <w:t>Plains</w:t>
            </w:r>
          </w:p>
        </w:tc>
        <w:tc>
          <w:tcPr>
            <w:tcW w:w="128"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365" w:type="dxa"/>
            <w:gridSpan w:val="2"/>
            <w:tcBorders/>
            <w:shd w:fill="FFFFFF" w:val="clear"/>
            <w:vAlign w:val="bottom"/>
          </w:tcPr>
          <w:p>
            <w:pPr>
              <w:pStyle w:val="TableContents"/>
              <w:spacing w:before="0" w:after="283"/>
              <w:jc w:val="center"/>
              <w:rPr>
                <w:b/>
              </w:rPr>
            </w:pPr>
            <w:r>
              <w:rPr>
                <w:b/>
              </w:rPr>
              <w:t>Combined</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696" w:type="dxa"/>
            <w:gridSpan w:val="2"/>
            <w:tcBorders/>
            <w:shd w:fill="FFFFFF" w:val="clear"/>
            <w:vAlign w:val="bottom"/>
          </w:tcPr>
          <w:p>
            <w:pPr>
              <w:pStyle w:val="TableContents"/>
              <w:spacing w:before="0" w:after="283"/>
              <w:jc w:val="center"/>
              <w:rPr>
                <w:b/>
              </w:rPr>
            </w:pPr>
            <w:r>
              <w:rPr>
                <w:b/>
              </w:rPr>
              <w:t>Combined</w:t>
            </w:r>
          </w:p>
        </w:tc>
        <w:tc>
          <w:tcPr>
            <w:tcW w:w="127"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09" w:type="dxa"/>
            <w:gridSpan w:val="2"/>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66"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r>
      <w:tr>
        <w:trPr/>
        <w:tc>
          <w:tcPr>
            <w:tcW w:w="1945"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1122" w:type="dxa"/>
            <w:gridSpan w:val="2"/>
            <w:tcBorders/>
            <w:shd w:fill="FFFFFF" w:val="clear"/>
            <w:vAlign w:val="bottom"/>
          </w:tcPr>
          <w:p>
            <w:pPr>
              <w:pStyle w:val="TableContents"/>
              <w:spacing w:before="0" w:after="283"/>
              <w:jc w:val="center"/>
              <w:rPr>
                <w:b/>
              </w:rPr>
            </w:pPr>
            <w:r>
              <w:rPr>
                <w:b/>
              </w:rPr>
              <w:t>All</w:t>
            </w:r>
          </w:p>
        </w:tc>
        <w:tc>
          <w:tcPr>
            <w:tcW w:w="128"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365" w:type="dxa"/>
            <w:gridSpan w:val="2"/>
            <w:tcBorders/>
            <w:shd w:fill="FFFFFF" w:val="clear"/>
            <w:vAlign w:val="bottom"/>
          </w:tcPr>
          <w:p>
            <w:pPr>
              <w:pStyle w:val="TableContents"/>
              <w:spacing w:before="0" w:after="283"/>
              <w:jc w:val="center"/>
              <w:rPr>
                <w:b/>
              </w:rPr>
            </w:pPr>
            <w:r>
              <w:rPr>
                <w:b/>
              </w:rPr>
              <w:t>Guarantor</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696" w:type="dxa"/>
            <w:gridSpan w:val="2"/>
            <w:tcBorders/>
            <w:shd w:fill="FFFFFF" w:val="clear"/>
            <w:vAlign w:val="bottom"/>
          </w:tcPr>
          <w:p>
            <w:pPr>
              <w:pStyle w:val="TableContents"/>
              <w:spacing w:before="0" w:after="283"/>
              <w:jc w:val="center"/>
              <w:rPr>
                <w:b/>
              </w:rPr>
            </w:pPr>
            <w:r>
              <w:rPr>
                <w:b/>
              </w:rPr>
              <w:t>Non-Guarantor</w:t>
            </w:r>
          </w:p>
        </w:tc>
        <w:tc>
          <w:tcPr>
            <w:tcW w:w="127"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09" w:type="dxa"/>
            <w:gridSpan w:val="2"/>
            <w:tcBorders/>
            <w:shd w:fill="FFFFFF" w:val="clear"/>
            <w:vAlign w:val="bottom"/>
          </w:tcPr>
          <w:p>
            <w:pPr>
              <w:pStyle w:val="TableContents"/>
              <w:spacing w:before="0" w:after="283"/>
              <w:jc w:val="center"/>
              <w:rPr/>
            </w:pP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66"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r>
      <w:tr>
        <w:trPr/>
        <w:tc>
          <w:tcPr>
            <w:tcW w:w="1945"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11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American</w:t>
            </w:r>
            <w:r>
              <w:rPr/>
              <w:t xml:space="preserve"> </w:t>
            </w:r>
          </w:p>
        </w:tc>
        <w:tc>
          <w:tcPr>
            <w:tcW w:w="128"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3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6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27"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Eliminations</w:t>
            </w:r>
            <w:r>
              <w:rPr/>
              <w:t xml:space="preserve"> </w:t>
            </w:r>
          </w:p>
        </w:tc>
        <w:tc>
          <w:tcPr>
            <w:tcW w:w="162" w:type="dxa"/>
            <w:tcBorders/>
            <w:shd w:fill="FFFFFF" w:val="clear"/>
            <w:vAlign w:val="bottom"/>
          </w:tcPr>
          <w:p>
            <w:pPr>
              <w:pStyle w:val="TableContents"/>
              <w:spacing w:before="0" w:after="283"/>
              <w:jc w:val="center"/>
              <w:rPr/>
            </w:pPr>
            <w:r>
              <w:rPr/>
              <w:t xml:space="preserve">  </w:t>
            </w:r>
          </w:p>
        </w:tc>
        <w:tc>
          <w:tcPr>
            <w:tcW w:w="99" w:type="dxa"/>
            <w:tcBorders/>
            <w:shd w:fill="FFFFFF" w:val="clear"/>
            <w:vAlign w:val="bottom"/>
          </w:tcPr>
          <w:p>
            <w:pPr>
              <w:pStyle w:val="TableContents"/>
              <w:spacing w:before="0" w:after="283"/>
              <w:jc w:val="center"/>
              <w:rPr/>
            </w:pPr>
            <w:r>
              <w:rPr/>
              <w:t xml:space="preserve">  </w:t>
            </w:r>
          </w:p>
        </w:tc>
        <w:tc>
          <w:tcPr>
            <w:tcW w:w="146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Consolidated</w:t>
            </w:r>
            <w:r>
              <w:rPr/>
              <w:t xml:space="preserve"> </w:t>
            </w:r>
          </w:p>
        </w:tc>
        <w:tc>
          <w:tcPr>
            <w:tcW w:w="142" w:type="dxa"/>
            <w:tcBorders/>
            <w:shd w:fill="FFFFFF" w:val="clear"/>
            <w:vAlign w:val="bottom"/>
          </w:tcPr>
          <w:p>
            <w:pPr>
              <w:pStyle w:val="TableContents"/>
              <w:spacing w:before="0" w:after="283"/>
              <w:jc w:val="center"/>
              <w:rPr/>
            </w:pPr>
            <w:r>
              <w:rPr/>
              <w:t xml:space="preserve">  </w:t>
            </w:r>
          </w:p>
        </w:tc>
      </w:tr>
      <w:tr>
        <w:trPr/>
        <w:tc>
          <w:tcPr>
            <w:tcW w:w="1945" w:type="dxa"/>
            <w:tcBorders/>
            <w:shd w:fill="FFFFFF" w:val="clear"/>
            <w:vAlign w:val="bottom"/>
          </w:tcPr>
          <w:p>
            <w:pPr>
              <w:pStyle w:val="TableContents"/>
              <w:spacing w:before="0" w:after="283"/>
              <w:jc w:val="center"/>
              <w:rPr/>
            </w:pPr>
            <w:r>
              <w:rPr/>
              <w:t xml:space="preserve">  </w:t>
            </w:r>
          </w:p>
        </w:tc>
        <w:tc>
          <w:tcPr>
            <w:tcW w:w="85" w:type="dxa"/>
            <w:tcBorders/>
            <w:shd w:fill="FFFFFF" w:val="clear"/>
            <w:vAlign w:val="bottom"/>
          </w:tcPr>
          <w:p>
            <w:pPr>
              <w:pStyle w:val="TableContents"/>
              <w:spacing w:before="0" w:after="283"/>
              <w:jc w:val="center"/>
              <w:rPr/>
            </w:pPr>
            <w:r>
              <w:rPr/>
              <w:t xml:space="preserve">  </w:t>
            </w:r>
          </w:p>
        </w:tc>
        <w:tc>
          <w:tcPr>
            <w:tcW w:w="8033" w:type="dxa"/>
            <w:gridSpan w:val="18"/>
            <w:tcBorders/>
            <w:shd w:fill="FFFFFF" w:val="clear"/>
            <w:vAlign w:val="bottom"/>
          </w:tcPr>
          <w:p>
            <w:pPr>
              <w:pStyle w:val="TableContents"/>
              <w:spacing w:before="0" w:after="283"/>
              <w:jc w:val="center"/>
              <w:rPr/>
            </w:pPr>
            <w:r>
              <w:rPr>
                <w:b/>
              </w:rPr>
              <w:t>(In millions)</w:t>
            </w:r>
            <w:r>
              <w:rPr/>
              <w:t xml:space="preserve"> </w:t>
            </w:r>
          </w:p>
        </w:tc>
        <w:tc>
          <w:tcPr>
            <w:tcW w:w="142" w:type="dxa"/>
            <w:tcBorders/>
            <w:shd w:fill="FFFFFF" w:val="clear"/>
            <w:vAlign w:val="bottom"/>
          </w:tcPr>
          <w:p>
            <w:pPr>
              <w:pStyle w:val="TableContents"/>
              <w:spacing w:before="0" w:after="283"/>
              <w:jc w:val="center"/>
              <w:rPr/>
            </w:pPr>
            <w:r>
              <w:rPr/>
              <w:t xml:space="preserve">  </w:t>
            </w:r>
          </w:p>
        </w:tc>
      </w:tr>
      <w:tr>
        <w:trPr/>
        <w:tc>
          <w:tcPr>
            <w:tcW w:w="1945" w:type="dxa"/>
            <w:tcBorders/>
            <w:shd w:fill="FFFFFF" w:val="clear"/>
            <w:vAlign w:val="center"/>
          </w:tcPr>
          <w:p>
            <w:pPr>
              <w:pStyle w:val="TableContents"/>
              <w:spacing w:before="0" w:after="283"/>
              <w:rPr/>
            </w:pPr>
            <w:r>
              <w:rPr/>
              <w:t xml:space="preserve">  </w:t>
            </w:r>
          </w:p>
        </w:tc>
        <w:tc>
          <w:tcPr>
            <w:tcW w:w="8260" w:type="dxa"/>
            <w:gridSpan w:val="20"/>
            <w:tcBorders/>
            <w:shd w:fill="FFFFFF" w:val="clear"/>
          </w:tcPr>
          <w:p>
            <w:pPr>
              <w:pStyle w:val="TableContents"/>
              <w:spacing w:before="0" w:after="283"/>
              <w:rPr>
                <w:sz w:val="4"/>
                <w:szCs w:val="4"/>
              </w:rPr>
            </w:pPr>
            <w:r>
              <w:rPr>
                <w:sz w:val="4"/>
                <w:szCs w:val="4"/>
              </w:rPr>
            </w:r>
          </w:p>
        </w:tc>
      </w:tr>
      <w:tr>
        <w:trPr/>
        <w:tc>
          <w:tcPr>
            <w:tcW w:w="10205" w:type="dxa"/>
            <w:gridSpan w:val="21"/>
            <w:tcBorders/>
            <w:shd w:fill="CCEEFF" w:val="clear"/>
            <w:vAlign w:val="bottom"/>
          </w:tcPr>
          <w:p>
            <w:pPr>
              <w:pStyle w:val="TableContents"/>
              <w:spacing w:before="0" w:after="0"/>
              <w:ind w:left="200" w:right="0" w:hanging="200"/>
              <w:rPr/>
            </w:pPr>
            <w:r>
              <w:rPr>
                <w:b/>
                <w:sz w:val="17"/>
              </w:rPr>
              <w:t>ASSETS</w:t>
            </w:r>
            <w:r>
              <w:rPr/>
              <w:t xml:space="preserve"> </w:t>
            </w:r>
          </w:p>
        </w:tc>
      </w:tr>
      <w:tr>
        <w:trPr/>
        <w:tc>
          <w:tcPr>
            <w:tcW w:w="1945" w:type="dxa"/>
            <w:tcBorders/>
            <w:shd w:fill="FFFFFF" w:val="clear"/>
            <w:vAlign w:val="bottom"/>
          </w:tcPr>
          <w:p>
            <w:pPr>
              <w:pStyle w:val="TableContents"/>
              <w:spacing w:before="0" w:after="0"/>
              <w:ind w:left="200" w:right="0" w:hanging="200"/>
              <w:jc w:val="left"/>
              <w:rPr>
                <w:sz w:val="17"/>
              </w:rPr>
            </w:pPr>
            <w:r>
              <w:rPr>
                <w:sz w:val="17"/>
              </w:rPr>
              <w:t xml:space="preserve">Total current assets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2,573.8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3,048.7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97.6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(2,562.5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3,157.6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CCEEFF" w:val="clear"/>
            <w:vAlign w:val="bottom"/>
          </w:tcPr>
          <w:p>
            <w:pPr>
              <w:pStyle w:val="TableContents"/>
              <w:spacing w:before="0" w:after="0"/>
              <w:ind w:left="200" w:right="0" w:hanging="200"/>
              <w:jc w:val="left"/>
              <w:rPr>
                <w:sz w:val="17"/>
              </w:rPr>
            </w:pPr>
            <w:r>
              <w:rPr>
                <w:sz w:val="17"/>
              </w:rPr>
              <w:t xml:space="preserve">Property, plant and equipment, net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3,226.9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615.1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3,842.0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0"/>
              <w:ind w:left="200" w:right="0" w:hanging="200"/>
              <w:jc w:val="left"/>
              <w:rPr/>
            </w:pPr>
            <w:r>
              <w:rPr>
                <w:b/>
                <w:sz w:val="17"/>
              </w:rPr>
              <w:t>Other Assets</w:t>
            </w: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CCEEFF" w:val="clear"/>
            <w:vAlign w:val="bottom"/>
          </w:tcPr>
          <w:p>
            <w:pPr>
              <w:pStyle w:val="TableContents"/>
              <w:spacing w:before="0" w:after="0"/>
              <w:ind w:left="200" w:right="0" w:hanging="200"/>
              <w:jc w:val="left"/>
              <w:rPr>
                <w:sz w:val="17"/>
              </w:rPr>
            </w:pPr>
            <w:r>
              <w:rPr>
                <w:sz w:val="17"/>
              </w:rPr>
              <w:t xml:space="preserve">Investment in unconsolidated entities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3,037.7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731.3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(3,586.0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183.0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0"/>
              <w:ind w:left="200" w:right="0" w:hanging="200"/>
              <w:jc w:val="left"/>
              <w:rPr>
                <w:sz w:val="17"/>
              </w:rPr>
            </w:pPr>
            <w:r>
              <w:rPr>
                <w:sz w:val="17"/>
              </w:rPr>
              <w:t xml:space="preserve">Other assets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23.0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1,197.9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311.4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1,532.3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r>
        <w:trPr/>
        <w:tc>
          <w:tcPr>
            <w:tcW w:w="1945" w:type="dxa"/>
            <w:tcBorders/>
            <w:shd w:fill="CCEEFF" w:val="clear"/>
            <w:vAlign w:val="bottom"/>
          </w:tcPr>
          <w:p>
            <w:pPr>
              <w:pStyle w:val="TableContents"/>
              <w:spacing w:before="0" w:after="0"/>
              <w:ind w:left="400" w:right="0" w:hanging="200"/>
              <w:jc w:val="left"/>
              <w:rPr>
                <w:sz w:val="17"/>
              </w:rPr>
            </w:pPr>
            <w:r>
              <w:rPr>
                <w:sz w:val="17"/>
              </w:rPr>
              <w:t xml:space="preserve">Total assets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5,634.5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8,204.8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1,024.1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(6,148.5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8,714.9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r>
        <w:trPr/>
        <w:tc>
          <w:tcPr>
            <w:tcW w:w="10205" w:type="dxa"/>
            <w:gridSpan w:val="21"/>
            <w:tcBorders/>
            <w:shd w:fill="FFFFFF" w:val="clear"/>
            <w:vAlign w:val="bottom"/>
          </w:tcPr>
          <w:p>
            <w:pPr>
              <w:pStyle w:val="TableContents"/>
              <w:spacing w:before="0" w:after="283"/>
              <w:rPr/>
            </w:pPr>
            <w:r>
              <w:rPr/>
              <w:t xml:space="preserve">  </w:t>
            </w:r>
          </w:p>
        </w:tc>
      </w:tr>
      <w:tr>
        <w:trPr/>
        <w:tc>
          <w:tcPr>
            <w:tcW w:w="10205" w:type="dxa"/>
            <w:gridSpan w:val="21"/>
            <w:tcBorders/>
            <w:shd w:fill="FFFFFF" w:val="clear"/>
            <w:vAlign w:val="bottom"/>
          </w:tcPr>
          <w:p>
            <w:pPr>
              <w:pStyle w:val="TableContents"/>
              <w:spacing w:before="0" w:after="0"/>
              <w:ind w:left="200" w:right="0" w:hanging="200"/>
              <w:rPr/>
            </w:pPr>
            <w:r>
              <w:rPr>
                <w:b/>
                <w:sz w:val="17"/>
              </w:rPr>
              <w:t>LIABILITIES AND PARTNERS CAPITAL</w:t>
            </w:r>
            <w:r>
              <w:rPr/>
              <w:t xml:space="preserve"> </w:t>
            </w:r>
          </w:p>
        </w:tc>
      </w:tr>
      <w:tr>
        <w:trPr/>
        <w:tc>
          <w:tcPr>
            <w:tcW w:w="1945" w:type="dxa"/>
            <w:tcBorders/>
            <w:shd w:fill="CCEEFF" w:val="clear"/>
            <w:vAlign w:val="bottom"/>
          </w:tcPr>
          <w:p>
            <w:pPr>
              <w:pStyle w:val="TableContents"/>
              <w:spacing w:before="0" w:after="0"/>
              <w:ind w:left="200" w:right="0" w:hanging="200"/>
              <w:jc w:val="left"/>
              <w:rPr>
                <w:sz w:val="17"/>
              </w:rPr>
            </w:pPr>
            <w:r>
              <w:rPr>
                <w:sz w:val="17"/>
              </w:rPr>
              <w:t xml:space="preserve">Total current liabilities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34.2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5,355.9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14.1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(2,379.5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3,024.7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0"/>
              <w:ind w:left="200" w:right="0" w:hanging="200"/>
              <w:jc w:val="left"/>
              <w:rPr/>
            </w:pPr>
            <w:r>
              <w:rPr>
                <w:b/>
                <w:sz w:val="17"/>
              </w:rPr>
              <w:t>Other liabilities</w:t>
            </w: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CCEEFF" w:val="clear"/>
            <w:vAlign w:val="bottom"/>
          </w:tcPr>
          <w:p>
            <w:pPr>
              <w:pStyle w:val="TableContents"/>
              <w:spacing w:before="0" w:after="0"/>
              <w:ind w:left="200" w:right="0" w:hanging="200"/>
              <w:jc w:val="left"/>
              <w:rPr>
                <w:sz w:val="17"/>
              </w:rPr>
            </w:pPr>
            <w:r>
              <w:rPr>
                <w:sz w:val="17"/>
              </w:rPr>
              <w:t xml:space="preserve">Long-term debt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2,623.2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(273.3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276.4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2,626.3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0"/>
              <w:ind w:left="200" w:right="0" w:hanging="200"/>
              <w:jc w:val="left"/>
              <w:rPr>
                <w:sz w:val="17"/>
              </w:rPr>
            </w:pPr>
            <w:r>
              <w:rPr>
                <w:sz w:val="17"/>
              </w:rPr>
              <w:t xml:space="preserve">Other long-term liabilities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0.3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84.5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2.3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87.1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r>
        <w:trPr/>
        <w:tc>
          <w:tcPr>
            <w:tcW w:w="1945" w:type="dxa"/>
            <w:tcBorders/>
            <w:shd w:fill="CCEEFF" w:val="clear"/>
            <w:vAlign w:val="bottom"/>
          </w:tcPr>
          <w:p>
            <w:pPr>
              <w:pStyle w:val="TableContents"/>
              <w:spacing w:before="0" w:after="0"/>
              <w:ind w:left="400" w:right="0" w:hanging="200"/>
              <w:jc w:val="left"/>
              <w:rPr>
                <w:sz w:val="17"/>
              </w:rPr>
            </w:pPr>
            <w:r>
              <w:rPr>
                <w:sz w:val="17"/>
              </w:rPr>
              <w:t xml:space="preserve">Total liabilities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2,657.7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5,167.1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292.8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(2,379.5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5,738.1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r>
        <w:trPr/>
        <w:tc>
          <w:tcPr>
            <w:tcW w:w="1945" w:type="dxa"/>
            <w:tcBorders/>
            <w:shd w:fill="FFFFFF" w:val="clear"/>
            <w:vAlign w:val="bottom"/>
          </w:tcPr>
          <w:p>
            <w:pPr>
              <w:pStyle w:val="TableContents"/>
              <w:spacing w:before="0" w:after="0"/>
              <w:ind w:left="200" w:right="0" w:hanging="200"/>
              <w:jc w:val="left"/>
              <w:rPr/>
            </w:pPr>
            <w:r>
              <w:rPr>
                <w:b/>
                <w:sz w:val="17"/>
              </w:rPr>
              <w:t>Partners Capital</w:t>
            </w: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shd w:fill="FFFFFF" w:val="clear"/>
            <w:vAlign w:val="bottom"/>
          </w:tcPr>
          <w:p>
            <w:pPr>
              <w:pStyle w:val="TableContents"/>
              <w:spacing w:before="0" w:after="283"/>
              <w:jc w:val="left"/>
              <w:rPr/>
            </w:pPr>
            <w:r>
              <w:rPr/>
              <w:t xml:space="preserve">  </w:t>
            </w:r>
          </w:p>
        </w:tc>
        <w:tc>
          <w:tcPr>
            <w:tcW w:w="901" w:type="dxa"/>
            <w:tcBorders/>
            <w:shd w:fill="FFFFFF" w:val="clear"/>
            <w:vAlign w:val="bottom"/>
          </w:tcPr>
          <w:p>
            <w:pPr>
              <w:pStyle w:val="TableContents"/>
              <w:spacing w:before="0" w:after="283"/>
              <w:jc w:val="right"/>
              <w:rPr/>
            </w:pPr>
            <w:r>
              <w:rPr/>
              <w:t xml:space="preserve">2,976.8 </w:t>
            </w:r>
          </w:p>
        </w:tc>
        <w:tc>
          <w:tcPr>
            <w:tcW w:w="128"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1101" w:type="dxa"/>
            <w:tcBorders/>
            <w:shd w:fill="FFFFFF" w:val="clear"/>
            <w:vAlign w:val="bottom"/>
          </w:tcPr>
          <w:p>
            <w:pPr>
              <w:pStyle w:val="TableContents"/>
              <w:spacing w:before="0" w:after="283"/>
              <w:jc w:val="right"/>
              <w:rPr/>
            </w:pPr>
            <w:r>
              <w:rPr/>
              <w:t xml:space="preserve">3,037.7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shd w:fill="FFFFFF" w:val="clear"/>
            <w:vAlign w:val="bottom"/>
          </w:tcPr>
          <w:p>
            <w:pPr>
              <w:pStyle w:val="TableContents"/>
              <w:spacing w:before="0" w:after="283"/>
              <w:jc w:val="left"/>
              <w:rPr/>
            </w:pPr>
            <w:r>
              <w:rPr/>
              <w:t xml:space="preserve">  </w:t>
            </w:r>
          </w:p>
        </w:tc>
        <w:tc>
          <w:tcPr>
            <w:tcW w:w="1371" w:type="dxa"/>
            <w:tcBorders/>
            <w:shd w:fill="FFFFFF" w:val="clear"/>
            <w:vAlign w:val="bottom"/>
          </w:tcPr>
          <w:p>
            <w:pPr>
              <w:pStyle w:val="TableContents"/>
              <w:spacing w:before="0" w:after="283"/>
              <w:jc w:val="right"/>
              <w:rPr/>
            </w:pPr>
            <w:r>
              <w:rPr/>
              <w:t xml:space="preserve">731.3 </w:t>
            </w:r>
          </w:p>
        </w:tc>
        <w:tc>
          <w:tcPr>
            <w:tcW w:w="127"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jc w:val="left"/>
              <w:rPr/>
            </w:pPr>
            <w:r>
              <w:rPr/>
              <w:t xml:space="preserve">  </w:t>
            </w:r>
          </w:p>
        </w:tc>
        <w:tc>
          <w:tcPr>
            <w:tcW w:w="1154" w:type="dxa"/>
            <w:tcBorders/>
            <w:shd w:fill="FFFFFF" w:val="clear"/>
            <w:vAlign w:val="bottom"/>
          </w:tcPr>
          <w:p>
            <w:pPr>
              <w:pStyle w:val="TableContents"/>
              <w:spacing w:before="0" w:after="283"/>
              <w:jc w:val="right"/>
              <w:rPr/>
            </w:pPr>
            <w:r>
              <w:rPr/>
              <w:t xml:space="preserve">(3,769.0 </w:t>
            </w:r>
          </w:p>
        </w:tc>
        <w:tc>
          <w:tcPr>
            <w:tcW w:w="162" w:type="dxa"/>
            <w:tcBorders/>
            <w:shd w:fill="FFFFFF" w:val="clear"/>
            <w:vAlign w:val="bottom"/>
          </w:tcPr>
          <w:p>
            <w:pPr>
              <w:pStyle w:val="TableContents"/>
              <w:spacing w:before="0" w:after="283"/>
              <w:jc w:val="left"/>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shd w:fill="FFFFFF" w:val="clear"/>
            <w:vAlign w:val="bottom"/>
          </w:tcPr>
          <w:p>
            <w:pPr>
              <w:pStyle w:val="TableContents"/>
              <w:spacing w:before="0" w:after="283"/>
              <w:jc w:val="left"/>
              <w:rPr/>
            </w:pPr>
            <w:r>
              <w:rPr/>
              <w:t xml:space="preserve">  </w:t>
            </w:r>
          </w:p>
        </w:tc>
        <w:tc>
          <w:tcPr>
            <w:tcW w:w="1182" w:type="dxa"/>
            <w:tcBorders/>
            <w:shd w:fill="FFFFFF" w:val="clear"/>
            <w:vAlign w:val="bottom"/>
          </w:tcPr>
          <w:p>
            <w:pPr>
              <w:pStyle w:val="TableContents"/>
              <w:spacing w:before="0" w:after="283"/>
              <w:jc w:val="right"/>
              <w:rPr/>
            </w:pPr>
            <w:r>
              <w:rPr/>
              <w:t xml:space="preserve">2,976.8 </w:t>
            </w:r>
          </w:p>
        </w:tc>
        <w:tc>
          <w:tcPr>
            <w:tcW w:w="142" w:type="dxa"/>
            <w:tcBorders/>
            <w:shd w:fill="FFFF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r>
        <w:trPr/>
        <w:tc>
          <w:tcPr>
            <w:tcW w:w="1945" w:type="dxa"/>
            <w:tcBorders/>
            <w:shd w:fill="CCEEFF" w:val="clear"/>
            <w:vAlign w:val="bottom"/>
          </w:tcPr>
          <w:p>
            <w:pPr>
              <w:pStyle w:val="TableContents"/>
              <w:spacing w:before="0" w:after="0"/>
              <w:ind w:left="200" w:right="0" w:hanging="200"/>
              <w:jc w:val="left"/>
              <w:rPr>
                <w:sz w:val="17"/>
              </w:rPr>
            </w:pPr>
            <w:r>
              <w:rPr>
                <w:sz w:val="17"/>
              </w:rPr>
              <w:t xml:space="preserve">Total Liabilities and Partners Capital </w:t>
            </w:r>
          </w:p>
        </w:tc>
        <w:tc>
          <w:tcPr>
            <w:tcW w:w="85" w:type="dxa"/>
            <w:tcBorders/>
            <w:shd w:fill="CCEEFF" w:val="clear"/>
            <w:vAlign w:val="bottom"/>
          </w:tcPr>
          <w:p>
            <w:pPr>
              <w:pStyle w:val="TableContents"/>
              <w:spacing w:before="0" w:after="283"/>
              <w:rPr/>
            </w:pPr>
            <w:r>
              <w:rPr/>
              <w:t xml:space="preserve">  </w:t>
            </w:r>
          </w:p>
        </w:tc>
        <w:tc>
          <w:tcPr>
            <w:tcW w:w="221" w:type="dxa"/>
            <w:tcBorders/>
            <w:shd w:fill="CCEEFF" w:val="clear"/>
            <w:vAlign w:val="bottom"/>
          </w:tcPr>
          <w:p>
            <w:pPr>
              <w:pStyle w:val="TableContents"/>
              <w:spacing w:before="0" w:after="283"/>
              <w:jc w:val="left"/>
              <w:rPr/>
            </w:pPr>
            <w:r>
              <w:rPr/>
              <w:t xml:space="preserve">$ </w:t>
            </w:r>
          </w:p>
        </w:tc>
        <w:tc>
          <w:tcPr>
            <w:tcW w:w="901" w:type="dxa"/>
            <w:tcBorders/>
            <w:shd w:fill="CCEEFF" w:val="clear"/>
            <w:vAlign w:val="bottom"/>
          </w:tcPr>
          <w:p>
            <w:pPr>
              <w:pStyle w:val="TableContents"/>
              <w:spacing w:before="0" w:after="283"/>
              <w:jc w:val="right"/>
              <w:rPr/>
            </w:pPr>
            <w:r>
              <w:rPr/>
              <w:t xml:space="preserve">5,634.5 </w:t>
            </w:r>
          </w:p>
        </w:tc>
        <w:tc>
          <w:tcPr>
            <w:tcW w:w="128"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1101" w:type="dxa"/>
            <w:tcBorders/>
            <w:shd w:fill="CCEEFF" w:val="clear"/>
            <w:vAlign w:val="bottom"/>
          </w:tcPr>
          <w:p>
            <w:pPr>
              <w:pStyle w:val="TableContents"/>
              <w:spacing w:before="0" w:after="283"/>
              <w:jc w:val="right"/>
              <w:rPr/>
            </w:pPr>
            <w:r>
              <w:rPr/>
              <w:t xml:space="preserve">8,204.8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325" w:type="dxa"/>
            <w:tcBorders/>
            <w:shd w:fill="CCEEFF" w:val="clear"/>
            <w:vAlign w:val="bottom"/>
          </w:tcPr>
          <w:p>
            <w:pPr>
              <w:pStyle w:val="TableContents"/>
              <w:spacing w:before="0" w:after="283"/>
              <w:jc w:val="left"/>
              <w:rPr/>
            </w:pPr>
            <w:r>
              <w:rPr/>
              <w:t xml:space="preserve">$ </w:t>
            </w:r>
          </w:p>
        </w:tc>
        <w:tc>
          <w:tcPr>
            <w:tcW w:w="1371" w:type="dxa"/>
            <w:tcBorders/>
            <w:shd w:fill="CCEEFF" w:val="clear"/>
            <w:vAlign w:val="bottom"/>
          </w:tcPr>
          <w:p>
            <w:pPr>
              <w:pStyle w:val="TableContents"/>
              <w:spacing w:before="0" w:after="283"/>
              <w:jc w:val="right"/>
              <w:rPr/>
            </w:pPr>
            <w:r>
              <w:rPr/>
              <w:t xml:space="preserve">1,024.1 </w:t>
            </w:r>
          </w:p>
        </w:tc>
        <w:tc>
          <w:tcPr>
            <w:tcW w:w="127"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55" w:type="dxa"/>
            <w:tcBorders/>
            <w:shd w:fill="CCEEFF" w:val="clear"/>
            <w:vAlign w:val="bottom"/>
          </w:tcPr>
          <w:p>
            <w:pPr>
              <w:pStyle w:val="TableContents"/>
              <w:spacing w:before="0" w:after="283"/>
              <w:jc w:val="left"/>
              <w:rPr/>
            </w:pPr>
            <w:r>
              <w:rPr/>
              <w:t xml:space="preserve">$ </w:t>
            </w:r>
          </w:p>
        </w:tc>
        <w:tc>
          <w:tcPr>
            <w:tcW w:w="1154" w:type="dxa"/>
            <w:tcBorders/>
            <w:shd w:fill="CCEEFF" w:val="clear"/>
            <w:vAlign w:val="bottom"/>
          </w:tcPr>
          <w:p>
            <w:pPr>
              <w:pStyle w:val="TableContents"/>
              <w:spacing w:before="0" w:after="283"/>
              <w:jc w:val="right"/>
              <w:rPr/>
            </w:pPr>
            <w:r>
              <w:rPr/>
              <w:t xml:space="preserve">(6,148.5 </w:t>
            </w:r>
          </w:p>
        </w:tc>
        <w:tc>
          <w:tcPr>
            <w:tcW w:w="162" w:type="dxa"/>
            <w:tcBorders/>
            <w:shd w:fill="CCEEFF" w:val="clear"/>
            <w:vAlign w:val="bottom"/>
          </w:tcPr>
          <w:p>
            <w:pPr>
              <w:pStyle w:val="TableContents"/>
              <w:spacing w:before="0" w:after="283"/>
              <w:jc w:val="left"/>
              <w:rPr/>
            </w:pPr>
            <w:r>
              <w:rPr/>
              <w:t xml:space="preserve">) </w:t>
            </w:r>
          </w:p>
        </w:tc>
        <w:tc>
          <w:tcPr>
            <w:tcW w:w="99" w:type="dxa"/>
            <w:tcBorders/>
            <w:shd w:fill="CCEEFF" w:val="clear"/>
            <w:vAlign w:val="bottom"/>
          </w:tcPr>
          <w:p>
            <w:pPr>
              <w:pStyle w:val="TableContents"/>
              <w:spacing w:before="0" w:after="283"/>
              <w:rPr/>
            </w:pPr>
            <w:r>
              <w:rPr/>
              <w:t xml:space="preserve">  </w:t>
            </w:r>
          </w:p>
        </w:tc>
        <w:tc>
          <w:tcPr>
            <w:tcW w:w="284" w:type="dxa"/>
            <w:tcBorders/>
            <w:shd w:fill="CCEEFF" w:val="clear"/>
            <w:vAlign w:val="bottom"/>
          </w:tcPr>
          <w:p>
            <w:pPr>
              <w:pStyle w:val="TableContents"/>
              <w:spacing w:before="0" w:after="283"/>
              <w:jc w:val="left"/>
              <w:rPr/>
            </w:pPr>
            <w:r>
              <w:rPr/>
              <w:t xml:space="preserve">$ </w:t>
            </w:r>
          </w:p>
        </w:tc>
        <w:tc>
          <w:tcPr>
            <w:tcW w:w="1182" w:type="dxa"/>
            <w:tcBorders/>
            <w:shd w:fill="CCEEFF" w:val="clear"/>
            <w:vAlign w:val="bottom"/>
          </w:tcPr>
          <w:p>
            <w:pPr>
              <w:pStyle w:val="TableContents"/>
              <w:spacing w:before="0" w:after="283"/>
              <w:jc w:val="right"/>
              <w:rPr/>
            </w:pPr>
            <w:r>
              <w:rPr/>
              <w:t xml:space="preserve">8,714.9 </w:t>
            </w:r>
          </w:p>
        </w:tc>
        <w:tc>
          <w:tcPr>
            <w:tcW w:w="142" w:type="dxa"/>
            <w:tcBorders/>
            <w:shd w:fill="CCEEFF" w:val="clear"/>
            <w:vAlign w:val="bottom"/>
          </w:tcPr>
          <w:p>
            <w:pPr>
              <w:pStyle w:val="TableContents"/>
              <w:spacing w:before="0" w:after="283"/>
              <w:jc w:val="left"/>
              <w:rPr/>
            </w:pPr>
            <w:r>
              <w:rPr/>
              <w:t xml:space="preserve">  </w:t>
            </w:r>
          </w:p>
        </w:tc>
      </w:tr>
      <w:tr>
        <w:trPr/>
        <w:tc>
          <w:tcPr>
            <w:tcW w:w="194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xml:space="preserve">  </w:t>
            </w:r>
          </w:p>
        </w:tc>
        <w:tc>
          <w:tcPr>
            <w:tcW w:w="22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3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7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xml:space="preserve">  </w:t>
            </w:r>
          </w:p>
        </w:tc>
        <w:tc>
          <w:tcPr>
            <w:tcW w:w="28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Condensed Consolidating Statement of Operations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820"/>
        <w:gridCol w:w="84"/>
        <w:gridCol w:w="269"/>
        <w:gridCol w:w="863"/>
        <w:gridCol w:w="163"/>
        <w:gridCol w:w="97"/>
        <w:gridCol w:w="322"/>
        <w:gridCol w:w="1056"/>
        <w:gridCol w:w="163"/>
        <w:gridCol w:w="97"/>
        <w:gridCol w:w="463"/>
        <w:gridCol w:w="1246"/>
        <w:gridCol w:w="129"/>
        <w:gridCol w:w="97"/>
        <w:gridCol w:w="306"/>
        <w:gridCol w:w="1115"/>
        <w:gridCol w:w="163"/>
        <w:gridCol w:w="97"/>
        <w:gridCol w:w="348"/>
        <w:gridCol w:w="1131"/>
        <w:gridCol w:w="176"/>
      </w:tblGrid>
      <w:tr>
        <w:trPr/>
        <w:tc>
          <w:tcPr>
            <w:tcW w:w="1820" w:type="dxa"/>
            <w:tcBorders/>
            <w:shd w:fill="FFFFFF" w:val="clear"/>
            <w:vAlign w:val="bottom"/>
          </w:tcPr>
          <w:p>
            <w:pPr>
              <w:pStyle w:val="TableContents"/>
              <w:spacing w:before="0" w:after="283"/>
              <w:rPr/>
            </w:pPr>
            <w:r>
              <w:rPr/>
              <w:t> </w:t>
            </w:r>
          </w:p>
        </w:tc>
        <w:tc>
          <w:tcPr>
            <w:tcW w:w="84" w:type="dxa"/>
            <w:tcBorders/>
            <w:shd w:fill="FFFFFF" w:val="clear"/>
            <w:vAlign w:val="bottom"/>
          </w:tcPr>
          <w:p>
            <w:pPr>
              <w:pStyle w:val="TableContents"/>
              <w:spacing w:before="0" w:after="283"/>
              <w:rPr/>
            </w:pPr>
            <w:r>
              <w:rPr/>
              <w:t> </w:t>
            </w:r>
          </w:p>
        </w:tc>
        <w:tc>
          <w:tcPr>
            <w:tcW w:w="269" w:type="dxa"/>
            <w:tcBorders/>
            <w:shd w:fill="FFFFFF" w:val="clear"/>
            <w:vAlign w:val="bottom"/>
          </w:tcPr>
          <w:p>
            <w:pPr>
              <w:pStyle w:val="TableContents"/>
              <w:spacing w:before="0" w:after="283"/>
              <w:jc w:val="right"/>
              <w:rPr/>
            </w:pPr>
            <w:r>
              <w:rPr/>
              <w:t> </w:t>
            </w:r>
          </w:p>
        </w:tc>
        <w:tc>
          <w:tcPr>
            <w:tcW w:w="863"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322" w:type="dxa"/>
            <w:tcBorders/>
            <w:shd w:fill="FFFFFF" w:val="clear"/>
            <w:vAlign w:val="bottom"/>
          </w:tcPr>
          <w:p>
            <w:pPr>
              <w:pStyle w:val="TableContents"/>
              <w:spacing w:before="0" w:after="283"/>
              <w:jc w:val="right"/>
              <w:rPr/>
            </w:pPr>
            <w:r>
              <w:rPr/>
              <w:t> </w:t>
            </w:r>
          </w:p>
        </w:tc>
        <w:tc>
          <w:tcPr>
            <w:tcW w:w="1056"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463" w:type="dxa"/>
            <w:tcBorders/>
            <w:shd w:fill="FFFFFF" w:val="clear"/>
            <w:vAlign w:val="bottom"/>
          </w:tcPr>
          <w:p>
            <w:pPr>
              <w:pStyle w:val="TableContents"/>
              <w:spacing w:before="0" w:after="283"/>
              <w:jc w:val="right"/>
              <w:rPr/>
            </w:pPr>
            <w:r>
              <w:rPr/>
              <w:t> </w:t>
            </w:r>
          </w:p>
        </w:tc>
        <w:tc>
          <w:tcPr>
            <w:tcW w:w="1246"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jc w:val="right"/>
              <w:rPr/>
            </w:pPr>
            <w:r>
              <w:rPr/>
              <w:t> </w:t>
            </w:r>
          </w:p>
        </w:tc>
        <w:tc>
          <w:tcPr>
            <w:tcW w:w="1115"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jc w:val="right"/>
              <w:rPr/>
            </w:pPr>
            <w:r>
              <w:rPr/>
              <w:t> </w:t>
            </w:r>
          </w:p>
        </w:tc>
        <w:tc>
          <w:tcPr>
            <w:tcW w:w="1131"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r>
      <w:tr>
        <w:trPr/>
        <w:tc>
          <w:tcPr>
            <w:tcW w:w="182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8125"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 2006</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182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132" w:type="dxa"/>
            <w:gridSpan w:val="2"/>
            <w:tcBorders/>
            <w:shd w:fill="FFFFFF" w:val="clear"/>
            <w:vAlign w:val="bottom"/>
          </w:tcPr>
          <w:p>
            <w:pPr>
              <w:pStyle w:val="TableContents"/>
              <w:spacing w:before="0" w:after="283"/>
              <w:jc w:val="center"/>
              <w:rPr>
                <w:b/>
              </w:rPr>
            </w:pPr>
            <w:r>
              <w:rPr>
                <w:b/>
              </w:rPr>
              <w:t>Plains</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378" w:type="dxa"/>
            <w:gridSpan w:val="2"/>
            <w:tcBorders/>
            <w:shd w:fill="FFFFFF" w:val="clear"/>
            <w:vAlign w:val="bottom"/>
          </w:tcPr>
          <w:p>
            <w:pPr>
              <w:pStyle w:val="TableContents"/>
              <w:spacing w:before="0" w:after="283"/>
              <w:jc w:val="center"/>
              <w:rPr>
                <w:b/>
              </w:rPr>
            </w:pPr>
            <w:r>
              <w:rPr>
                <w:b/>
              </w:rPr>
              <w:t>Combined</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709" w:type="dxa"/>
            <w:gridSpan w:val="2"/>
            <w:tcBorders/>
            <w:shd w:fill="FFFFFF" w:val="clear"/>
            <w:vAlign w:val="bottom"/>
          </w:tcPr>
          <w:p>
            <w:pPr>
              <w:pStyle w:val="TableContents"/>
              <w:spacing w:before="0" w:after="283"/>
              <w:jc w:val="center"/>
              <w:rPr>
                <w:b/>
              </w:rPr>
            </w:pPr>
            <w:r>
              <w:rPr>
                <w:b/>
              </w:rPr>
              <w:t>Combined</w:t>
            </w:r>
          </w:p>
        </w:tc>
        <w:tc>
          <w:tcPr>
            <w:tcW w:w="129"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21" w:type="dxa"/>
            <w:gridSpan w:val="2"/>
            <w:tcBorders/>
            <w:shd w:fill="FFFFFF" w:val="clear"/>
            <w:vAlign w:val="bottom"/>
          </w:tcPr>
          <w:p>
            <w:pPr>
              <w:pStyle w:val="TableContents"/>
              <w:spacing w:before="0" w:after="283"/>
              <w:jc w:val="center"/>
              <w:rPr/>
            </w:pP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79" w:type="dxa"/>
            <w:gridSpan w:val="2"/>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182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132" w:type="dxa"/>
            <w:gridSpan w:val="2"/>
            <w:tcBorders/>
            <w:shd w:fill="FFFFFF" w:val="clear"/>
            <w:vAlign w:val="bottom"/>
          </w:tcPr>
          <w:p>
            <w:pPr>
              <w:pStyle w:val="TableContents"/>
              <w:spacing w:before="0" w:after="283"/>
              <w:jc w:val="center"/>
              <w:rPr>
                <w:b/>
              </w:rPr>
            </w:pPr>
            <w:r>
              <w:rPr>
                <w:b/>
              </w:rPr>
              <w:t>All</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378" w:type="dxa"/>
            <w:gridSpan w:val="2"/>
            <w:tcBorders/>
            <w:shd w:fill="FFFFFF" w:val="clear"/>
            <w:vAlign w:val="bottom"/>
          </w:tcPr>
          <w:p>
            <w:pPr>
              <w:pStyle w:val="TableContents"/>
              <w:spacing w:before="0" w:after="283"/>
              <w:jc w:val="center"/>
              <w:rPr>
                <w:b/>
              </w:rPr>
            </w:pPr>
            <w:r>
              <w:rPr>
                <w:b/>
              </w:rPr>
              <w:t>Guarantor</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709" w:type="dxa"/>
            <w:gridSpan w:val="2"/>
            <w:tcBorders/>
            <w:shd w:fill="FFFFFF" w:val="clear"/>
            <w:vAlign w:val="bottom"/>
          </w:tcPr>
          <w:p>
            <w:pPr>
              <w:pStyle w:val="TableContents"/>
              <w:spacing w:before="0" w:after="283"/>
              <w:jc w:val="center"/>
              <w:rPr>
                <w:b/>
              </w:rPr>
            </w:pPr>
            <w:r>
              <w:rPr>
                <w:b/>
              </w:rPr>
              <w:t>Non-Guarantor</w:t>
            </w:r>
          </w:p>
        </w:tc>
        <w:tc>
          <w:tcPr>
            <w:tcW w:w="129"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21" w:type="dxa"/>
            <w:gridSpan w:val="2"/>
            <w:tcBorders/>
            <w:shd w:fill="FFFFFF" w:val="clear"/>
            <w:vAlign w:val="bottom"/>
          </w:tcPr>
          <w:p>
            <w:pPr>
              <w:pStyle w:val="TableContents"/>
              <w:spacing w:before="0" w:after="283"/>
              <w:jc w:val="center"/>
              <w:rPr/>
            </w:pP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79" w:type="dxa"/>
            <w:gridSpan w:val="2"/>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182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113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American</w:t>
            </w: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37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70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29"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2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Eliminations</w:t>
            </w:r>
            <w:r>
              <w:rPr/>
              <w:t xml:space="preserve"> </w:t>
            </w:r>
          </w:p>
        </w:tc>
        <w:tc>
          <w:tcPr>
            <w:tcW w:w="163" w:type="dxa"/>
            <w:tcBorders/>
            <w:shd w:fill="FFFFFF" w:val="clear"/>
            <w:vAlign w:val="bottom"/>
          </w:tcPr>
          <w:p>
            <w:pPr>
              <w:pStyle w:val="TableContents"/>
              <w:spacing w:before="0" w:after="283"/>
              <w:jc w:val="center"/>
              <w:rPr/>
            </w:pPr>
            <w:r>
              <w:rPr/>
              <w:t xml:space="preserve">  </w:t>
            </w:r>
          </w:p>
        </w:tc>
        <w:tc>
          <w:tcPr>
            <w:tcW w:w="97" w:type="dxa"/>
            <w:tcBorders/>
            <w:shd w:fill="FFFFFF" w:val="clear"/>
            <w:vAlign w:val="bottom"/>
          </w:tcPr>
          <w:p>
            <w:pPr>
              <w:pStyle w:val="TableContents"/>
              <w:spacing w:before="0" w:after="283"/>
              <w:jc w:val="center"/>
              <w:rPr/>
            </w:pPr>
            <w:r>
              <w:rPr/>
              <w:t xml:space="preserve">  </w:t>
            </w:r>
          </w:p>
        </w:tc>
        <w:tc>
          <w:tcPr>
            <w:tcW w:w="14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Consolidated</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1820" w:type="dxa"/>
            <w:tcBorders/>
            <w:shd w:fill="FFFFFF" w:val="clear"/>
            <w:vAlign w:val="bottom"/>
          </w:tcPr>
          <w:p>
            <w:pPr>
              <w:pStyle w:val="TableContents"/>
              <w:spacing w:before="0" w:after="283"/>
              <w:jc w:val="center"/>
              <w:rPr/>
            </w:pPr>
            <w:r>
              <w:rPr/>
              <w:t xml:space="preserve">  </w:t>
            </w:r>
          </w:p>
        </w:tc>
        <w:tc>
          <w:tcPr>
            <w:tcW w:w="84" w:type="dxa"/>
            <w:tcBorders/>
            <w:shd w:fill="FFFFFF" w:val="clear"/>
            <w:vAlign w:val="bottom"/>
          </w:tcPr>
          <w:p>
            <w:pPr>
              <w:pStyle w:val="TableContents"/>
              <w:spacing w:before="0" w:after="283"/>
              <w:jc w:val="center"/>
              <w:rPr/>
            </w:pPr>
            <w:r>
              <w:rPr/>
              <w:t xml:space="preserve">  </w:t>
            </w:r>
          </w:p>
        </w:tc>
        <w:tc>
          <w:tcPr>
            <w:tcW w:w="8125" w:type="dxa"/>
            <w:gridSpan w:val="18"/>
            <w:tcBorders/>
            <w:shd w:fill="FFFFFF" w:val="clear"/>
            <w:vAlign w:val="bottom"/>
          </w:tcPr>
          <w:p>
            <w:pPr>
              <w:pStyle w:val="TableContents"/>
              <w:spacing w:before="0" w:after="283"/>
              <w:jc w:val="center"/>
              <w:rPr/>
            </w:pPr>
            <w:r>
              <w:rPr>
                <w:b/>
              </w:rPr>
              <w:t>(In millions)</w:t>
            </w:r>
            <w:r>
              <w:rPr/>
              <w:t xml:space="preserve"> </w:t>
            </w:r>
          </w:p>
        </w:tc>
        <w:tc>
          <w:tcPr>
            <w:tcW w:w="176" w:type="dxa"/>
            <w:tcBorders/>
            <w:shd w:fill="FFFFFF" w:val="clear"/>
            <w:vAlign w:val="bottom"/>
          </w:tcPr>
          <w:p>
            <w:pPr>
              <w:pStyle w:val="TableContents"/>
              <w:spacing w:before="0" w:after="283"/>
              <w:jc w:val="center"/>
              <w:rPr/>
            </w:pPr>
            <w:r>
              <w:rPr/>
              <w:t xml:space="preserve">  </w:t>
            </w:r>
          </w:p>
        </w:tc>
      </w:tr>
      <w:tr>
        <w:trPr/>
        <w:tc>
          <w:tcPr>
            <w:tcW w:w="1820" w:type="dxa"/>
            <w:tcBorders/>
            <w:shd w:fill="FFFFFF" w:val="clear"/>
            <w:vAlign w:val="center"/>
          </w:tcPr>
          <w:p>
            <w:pPr>
              <w:pStyle w:val="TableContents"/>
              <w:spacing w:before="0" w:after="283"/>
              <w:rPr/>
            </w:pPr>
            <w:r>
              <w:rPr/>
              <w:t xml:space="preserve">  </w:t>
            </w:r>
          </w:p>
        </w:tc>
        <w:tc>
          <w:tcPr>
            <w:tcW w:w="8385" w:type="dxa"/>
            <w:gridSpan w:val="20"/>
            <w:tcBorders/>
            <w:shd w:fill="FFFFFF" w:val="clear"/>
          </w:tcPr>
          <w:p>
            <w:pPr>
              <w:pStyle w:val="TableContents"/>
              <w:spacing w:before="0" w:after="283"/>
              <w:rPr>
                <w:sz w:val="4"/>
                <w:szCs w:val="4"/>
              </w:rPr>
            </w:pPr>
            <w:r>
              <w:rPr>
                <w:sz w:val="4"/>
                <w:szCs w:val="4"/>
              </w:rPr>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Net operating revenues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942.4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16.4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958.8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Field operating costs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363.6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6.2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369.8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General and administrative expenses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132.6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1.3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133.9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2.4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95.3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2.7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100.4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Operating Income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(2.4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350.9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6.2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354.7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363.1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13.9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(369.3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7.7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(77.3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(8.3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(85.6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Interest income and other income (expense)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1.7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1.7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0.3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0.3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285.1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356.8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6.2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(369.3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278.8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84" w:type="dxa"/>
            <w:tcBorders/>
            <w:shd w:fill="CCEEFF" w:val="clear"/>
            <w:vAlign w:val="bottom"/>
          </w:tcPr>
          <w:p>
            <w:pPr>
              <w:pStyle w:val="TableContents"/>
              <w:spacing w:before="0" w:after="283"/>
              <w:rPr/>
            </w:pPr>
            <w:r>
              <w:rPr/>
              <w:t xml:space="preserve">  </w:t>
            </w:r>
          </w:p>
        </w:tc>
        <w:tc>
          <w:tcPr>
            <w:tcW w:w="269"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22" w:type="dxa"/>
            <w:tcBorders/>
            <w:shd w:fill="CCEEFF" w:val="clear"/>
            <w:vAlign w:val="bottom"/>
          </w:tcPr>
          <w:p>
            <w:pPr>
              <w:pStyle w:val="TableContents"/>
              <w:spacing w:before="0" w:after="283"/>
              <w:jc w:val="left"/>
              <w:rPr/>
            </w:pPr>
            <w:r>
              <w:rPr/>
              <w:t xml:space="preserve">  </w:t>
            </w:r>
          </w:p>
        </w:tc>
        <w:tc>
          <w:tcPr>
            <w:tcW w:w="1056" w:type="dxa"/>
            <w:tcBorders/>
            <w:shd w:fill="CCEEFF" w:val="clear"/>
            <w:vAlign w:val="bottom"/>
          </w:tcPr>
          <w:p>
            <w:pPr>
              <w:pStyle w:val="TableContents"/>
              <w:spacing w:before="0" w:after="283"/>
              <w:jc w:val="right"/>
              <w:rPr/>
            </w:pPr>
            <w:r>
              <w:rPr/>
              <w:t xml:space="preserve">6.3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463" w:type="dxa"/>
            <w:tcBorders/>
            <w:shd w:fill="CCEEFF" w:val="clear"/>
            <w:vAlign w:val="bottom"/>
          </w:tcPr>
          <w:p>
            <w:pPr>
              <w:pStyle w:val="TableContents"/>
              <w:spacing w:before="0" w:after="283"/>
              <w:jc w:val="left"/>
              <w:rPr/>
            </w:pPr>
            <w:r>
              <w:rPr/>
              <w:t xml:space="preserve">  </w:t>
            </w:r>
          </w:p>
        </w:tc>
        <w:tc>
          <w:tcPr>
            <w:tcW w:w="1246" w:type="dxa"/>
            <w:tcBorders/>
            <w:shd w:fill="CCEEFF" w:val="clear"/>
            <w:vAlign w:val="bottom"/>
          </w:tcPr>
          <w:p>
            <w:pPr>
              <w:pStyle w:val="TableContents"/>
              <w:spacing w:before="0" w:after="283"/>
              <w:jc w:val="right"/>
              <w:rPr/>
            </w:pPr>
            <w:r>
              <w:rPr/>
              <w:t xml:space="preserve"> </w:t>
            </w:r>
          </w:p>
        </w:tc>
        <w:tc>
          <w:tcPr>
            <w:tcW w:w="129"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06" w:type="dxa"/>
            <w:tcBorders/>
            <w:shd w:fill="CCEEFF" w:val="clear"/>
            <w:vAlign w:val="bottom"/>
          </w:tcPr>
          <w:p>
            <w:pPr>
              <w:pStyle w:val="TableContents"/>
              <w:spacing w:before="0" w:after="283"/>
              <w:jc w:val="left"/>
              <w:rPr/>
            </w:pPr>
            <w:r>
              <w:rPr/>
              <w:t xml:space="preserve">  </w:t>
            </w:r>
          </w:p>
        </w:tc>
        <w:tc>
          <w:tcPr>
            <w:tcW w:w="1115" w:type="dxa"/>
            <w:tcBorders/>
            <w:shd w:fill="CCEEFF" w:val="clear"/>
            <w:vAlign w:val="bottom"/>
          </w:tcPr>
          <w:p>
            <w:pPr>
              <w:pStyle w:val="TableContents"/>
              <w:spacing w:before="0" w:after="283"/>
              <w:jc w:val="right"/>
              <w:rPr/>
            </w:pPr>
            <w:r>
              <w:rPr/>
              <w:t xml:space="preserve"> </w:t>
            </w:r>
          </w:p>
        </w:tc>
        <w:tc>
          <w:tcPr>
            <w:tcW w:w="163" w:type="dxa"/>
            <w:tcBorders/>
            <w:shd w:fill="CCEEFF" w:val="clear"/>
            <w:vAlign w:val="bottom"/>
          </w:tcPr>
          <w:p>
            <w:pPr>
              <w:pStyle w:val="TableContents"/>
              <w:spacing w:before="0" w:after="283"/>
              <w:jc w:val="left"/>
              <w:rPr/>
            </w:pPr>
            <w:r>
              <w:rPr/>
              <w:t xml:space="preserve">  </w:t>
            </w:r>
          </w:p>
        </w:tc>
        <w:tc>
          <w:tcPr>
            <w:tcW w:w="97" w:type="dxa"/>
            <w:tcBorders/>
            <w:shd w:fill="CCEEFF" w:val="clear"/>
            <w:vAlign w:val="bottom"/>
          </w:tcPr>
          <w:p>
            <w:pPr>
              <w:pStyle w:val="TableContents"/>
              <w:spacing w:before="0" w:after="283"/>
              <w:rPr/>
            </w:pPr>
            <w:r>
              <w:rPr/>
              <w:t xml:space="preserve">  </w:t>
            </w:r>
          </w:p>
        </w:tc>
        <w:tc>
          <w:tcPr>
            <w:tcW w:w="348" w:type="dxa"/>
            <w:tcBorders/>
            <w:shd w:fill="CCEEFF" w:val="clear"/>
            <w:vAlign w:val="bottom"/>
          </w:tcPr>
          <w:p>
            <w:pPr>
              <w:pStyle w:val="TableContents"/>
              <w:spacing w:before="0" w:after="283"/>
              <w:jc w:val="left"/>
              <w:rPr/>
            </w:pPr>
            <w:r>
              <w:rPr/>
              <w:t xml:space="preserve">  </w:t>
            </w:r>
          </w:p>
        </w:tc>
        <w:tc>
          <w:tcPr>
            <w:tcW w:w="1131" w:type="dxa"/>
            <w:tcBorders/>
            <w:shd w:fill="CCEEFF" w:val="clear"/>
            <w:vAlign w:val="bottom"/>
          </w:tcPr>
          <w:p>
            <w:pPr>
              <w:pStyle w:val="TableContents"/>
              <w:spacing w:before="0" w:after="283"/>
              <w:jc w:val="right"/>
              <w:rPr/>
            </w:pPr>
            <w:r>
              <w:rPr/>
              <w:t xml:space="preserve">6.3 </w:t>
            </w:r>
          </w:p>
        </w:tc>
        <w:tc>
          <w:tcPr>
            <w:tcW w:w="176" w:type="dxa"/>
            <w:tcBorders/>
            <w:shd w:fill="CCEE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6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5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3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r>
        <w:trPr/>
        <w:tc>
          <w:tcPr>
            <w:tcW w:w="1820" w:type="dxa"/>
            <w:tcBorders/>
            <w:shd w:fill="FFFFFF" w:val="clear"/>
            <w:vAlign w:val="bottom"/>
          </w:tcPr>
          <w:p>
            <w:pPr>
              <w:pStyle w:val="TableContents"/>
              <w:spacing w:before="0" w:after="0"/>
              <w:ind w:left="200" w:right="0" w:hanging="200"/>
              <w:jc w:val="left"/>
              <w:rPr>
                <w:sz w:val="17"/>
              </w:rPr>
            </w:pPr>
            <w:r>
              <w:rPr>
                <w:sz w:val="17"/>
              </w:rPr>
              <w:t xml:space="preserve">Net income (loss) </w:t>
            </w:r>
          </w:p>
        </w:tc>
        <w:tc>
          <w:tcPr>
            <w:tcW w:w="84" w:type="dxa"/>
            <w:tcBorders/>
            <w:shd w:fill="FFFFFF" w:val="clear"/>
            <w:vAlign w:val="bottom"/>
          </w:tcPr>
          <w:p>
            <w:pPr>
              <w:pStyle w:val="TableContents"/>
              <w:spacing w:before="0" w:after="283"/>
              <w:rPr/>
            </w:pPr>
            <w:r>
              <w:rPr/>
              <w:t xml:space="preserve">  </w:t>
            </w:r>
          </w:p>
        </w:tc>
        <w:tc>
          <w:tcPr>
            <w:tcW w:w="269" w:type="dxa"/>
            <w:tcBorders/>
            <w:shd w:fill="FFFFFF" w:val="clear"/>
            <w:vAlign w:val="bottom"/>
          </w:tcPr>
          <w:p>
            <w:pPr>
              <w:pStyle w:val="TableContents"/>
              <w:spacing w:before="0" w:after="283"/>
              <w:jc w:val="left"/>
              <w:rPr/>
            </w:pPr>
            <w:r>
              <w:rPr/>
              <w:t xml:space="preserve">$ </w:t>
            </w:r>
          </w:p>
        </w:tc>
        <w:tc>
          <w:tcPr>
            <w:tcW w:w="863" w:type="dxa"/>
            <w:tcBorders/>
            <w:shd w:fill="FFFFFF" w:val="clear"/>
            <w:vAlign w:val="bottom"/>
          </w:tcPr>
          <w:p>
            <w:pPr>
              <w:pStyle w:val="TableContents"/>
              <w:spacing w:before="0" w:after="283"/>
              <w:jc w:val="right"/>
              <w:rPr/>
            </w:pPr>
            <w:r>
              <w:rPr/>
              <w:t xml:space="preserve">285.1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shd w:fill="FFFFFF" w:val="clear"/>
            <w:vAlign w:val="bottom"/>
          </w:tcPr>
          <w:p>
            <w:pPr>
              <w:pStyle w:val="TableContents"/>
              <w:spacing w:before="0" w:after="283"/>
              <w:jc w:val="left"/>
              <w:rPr/>
            </w:pPr>
            <w:r>
              <w:rPr/>
              <w:t xml:space="preserve">$ </w:t>
            </w:r>
          </w:p>
        </w:tc>
        <w:tc>
          <w:tcPr>
            <w:tcW w:w="1056" w:type="dxa"/>
            <w:tcBorders/>
            <w:shd w:fill="FFFFFF" w:val="clear"/>
            <w:vAlign w:val="bottom"/>
          </w:tcPr>
          <w:p>
            <w:pPr>
              <w:pStyle w:val="TableContents"/>
              <w:spacing w:before="0" w:after="283"/>
              <w:jc w:val="right"/>
              <w:rPr/>
            </w:pPr>
            <w:r>
              <w:rPr/>
              <w:t xml:space="preserve">363.1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shd w:fill="FFFFFF" w:val="clear"/>
            <w:vAlign w:val="bottom"/>
          </w:tcPr>
          <w:p>
            <w:pPr>
              <w:pStyle w:val="TableContents"/>
              <w:spacing w:before="0" w:after="283"/>
              <w:jc w:val="left"/>
              <w:rPr/>
            </w:pPr>
            <w:r>
              <w:rPr/>
              <w:t xml:space="preserve">$ </w:t>
            </w:r>
          </w:p>
        </w:tc>
        <w:tc>
          <w:tcPr>
            <w:tcW w:w="1246" w:type="dxa"/>
            <w:tcBorders/>
            <w:shd w:fill="FFFFFF" w:val="clear"/>
            <w:vAlign w:val="bottom"/>
          </w:tcPr>
          <w:p>
            <w:pPr>
              <w:pStyle w:val="TableContents"/>
              <w:spacing w:before="0" w:after="283"/>
              <w:jc w:val="right"/>
              <w:rPr/>
            </w:pPr>
            <w:r>
              <w:rPr/>
              <w:t xml:space="preserve">6.2 </w:t>
            </w:r>
          </w:p>
        </w:tc>
        <w:tc>
          <w:tcPr>
            <w:tcW w:w="129"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shd w:fill="FFFFFF" w:val="clear"/>
            <w:vAlign w:val="bottom"/>
          </w:tcPr>
          <w:p>
            <w:pPr>
              <w:pStyle w:val="TableContents"/>
              <w:spacing w:before="0" w:after="283"/>
              <w:jc w:val="left"/>
              <w:rPr/>
            </w:pPr>
            <w:r>
              <w:rPr/>
              <w:t xml:space="preserve">$ </w:t>
            </w:r>
          </w:p>
        </w:tc>
        <w:tc>
          <w:tcPr>
            <w:tcW w:w="1115" w:type="dxa"/>
            <w:tcBorders/>
            <w:shd w:fill="FFFFFF" w:val="clear"/>
            <w:vAlign w:val="bottom"/>
          </w:tcPr>
          <w:p>
            <w:pPr>
              <w:pStyle w:val="TableContents"/>
              <w:spacing w:before="0" w:after="283"/>
              <w:jc w:val="right"/>
              <w:rPr/>
            </w:pPr>
            <w:r>
              <w:rPr/>
              <w:t xml:space="preserve">(369.3 </w:t>
            </w:r>
          </w:p>
        </w:tc>
        <w:tc>
          <w:tcPr>
            <w:tcW w:w="163"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shd w:fill="FFFFFF" w:val="clear"/>
            <w:vAlign w:val="bottom"/>
          </w:tcPr>
          <w:p>
            <w:pPr>
              <w:pStyle w:val="TableContents"/>
              <w:spacing w:before="0" w:after="283"/>
              <w:jc w:val="left"/>
              <w:rPr/>
            </w:pPr>
            <w:r>
              <w:rPr/>
              <w:t xml:space="preserve">$ </w:t>
            </w:r>
          </w:p>
        </w:tc>
        <w:tc>
          <w:tcPr>
            <w:tcW w:w="1131" w:type="dxa"/>
            <w:tcBorders/>
            <w:shd w:fill="FFFFFF" w:val="clear"/>
            <w:vAlign w:val="bottom"/>
          </w:tcPr>
          <w:p>
            <w:pPr>
              <w:pStyle w:val="TableContents"/>
              <w:spacing w:before="0" w:after="283"/>
              <w:jc w:val="right"/>
              <w:rPr/>
            </w:pPr>
            <w:r>
              <w:rPr/>
              <w:t xml:space="preserve">285.1 </w:t>
            </w:r>
          </w:p>
        </w:tc>
        <w:tc>
          <w:tcPr>
            <w:tcW w:w="176" w:type="dxa"/>
            <w:tcBorders/>
            <w:shd w:fill="FFFFFF" w:val="clear"/>
            <w:vAlign w:val="bottom"/>
          </w:tcPr>
          <w:p>
            <w:pPr>
              <w:pStyle w:val="TableContents"/>
              <w:spacing w:before="0" w:after="283"/>
              <w:jc w:val="left"/>
              <w:rPr/>
            </w:pPr>
            <w:r>
              <w:rPr/>
              <w:t xml:space="preserve">  </w:t>
            </w:r>
          </w:p>
        </w:tc>
      </w:tr>
      <w:tr>
        <w:trPr/>
        <w:tc>
          <w:tcPr>
            <w:tcW w:w="1820" w:type="dxa"/>
            <w:tcBorders/>
            <w:shd w:fill="FFFFFF" w:val="clear"/>
            <w:vAlign w:val="bottom"/>
          </w:tcPr>
          <w:p>
            <w:pPr>
              <w:pStyle w:val="TableContents"/>
              <w:spacing w:before="0" w:after="283"/>
              <w:rPr/>
            </w:pPr>
            <w:r>
              <w:rPr/>
              <w:t xml:space="preserve">  </w:t>
            </w:r>
          </w:p>
        </w:tc>
        <w:tc>
          <w:tcPr>
            <w:tcW w:w="84" w:type="dxa"/>
            <w:tcBorders/>
            <w:shd w:fill="FFFFFF" w:val="clear"/>
            <w:vAlign w:val="bottom"/>
          </w:tcPr>
          <w:p>
            <w:pPr>
              <w:pStyle w:val="TableContents"/>
              <w:spacing w:before="0" w:after="283"/>
              <w:rPr/>
            </w:pPr>
            <w:r>
              <w:rPr/>
              <w:t xml:space="preserve">  </w:t>
            </w:r>
          </w:p>
        </w:tc>
        <w:tc>
          <w:tcPr>
            <w:tcW w:w="26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2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5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46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9"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0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pPr>
            <w:r>
              <w:rPr/>
              <w:t xml:space="preserve">  </w:t>
            </w:r>
          </w:p>
        </w:tc>
        <w:tc>
          <w:tcPr>
            <w:tcW w:w="3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3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Condensed Consolidating Statements of Cash Flows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642"/>
        <w:gridCol w:w="76"/>
        <w:gridCol w:w="227"/>
        <w:gridCol w:w="911"/>
        <w:gridCol w:w="168"/>
        <w:gridCol w:w="115"/>
        <w:gridCol w:w="299"/>
        <w:gridCol w:w="1076"/>
        <w:gridCol w:w="168"/>
        <w:gridCol w:w="115"/>
        <w:gridCol w:w="495"/>
        <w:gridCol w:w="1240"/>
        <w:gridCol w:w="167"/>
        <w:gridCol w:w="115"/>
        <w:gridCol w:w="309"/>
        <w:gridCol w:w="1127"/>
        <w:gridCol w:w="168"/>
        <w:gridCol w:w="115"/>
        <w:gridCol w:w="272"/>
        <w:gridCol w:w="1223"/>
        <w:gridCol w:w="177"/>
      </w:tblGrid>
      <w:tr>
        <w:trPr/>
        <w:tc>
          <w:tcPr>
            <w:tcW w:w="1642" w:type="dxa"/>
            <w:tcBorders/>
            <w:shd w:fill="FFFFFF" w:val="clear"/>
            <w:vAlign w:val="bottom"/>
          </w:tcPr>
          <w:p>
            <w:pPr>
              <w:pStyle w:val="TableContents"/>
              <w:spacing w:before="0" w:after="283"/>
              <w:rPr/>
            </w:pPr>
            <w:r>
              <w:rPr/>
              <w:t> </w:t>
            </w:r>
          </w:p>
        </w:tc>
        <w:tc>
          <w:tcPr>
            <w:tcW w:w="76"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jc w:val="right"/>
              <w:rPr/>
            </w:pPr>
            <w:r>
              <w:rPr/>
              <w:t> </w:t>
            </w:r>
          </w:p>
        </w:tc>
        <w:tc>
          <w:tcPr>
            <w:tcW w:w="911"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rPr/>
            </w:pPr>
            <w:r>
              <w:rPr/>
              <w:t> </w:t>
            </w:r>
          </w:p>
        </w:tc>
        <w:tc>
          <w:tcPr>
            <w:tcW w:w="299" w:type="dxa"/>
            <w:tcBorders/>
            <w:shd w:fill="FFFFFF" w:val="clear"/>
            <w:vAlign w:val="bottom"/>
          </w:tcPr>
          <w:p>
            <w:pPr>
              <w:pStyle w:val="TableContents"/>
              <w:spacing w:before="0" w:after="283"/>
              <w:jc w:val="right"/>
              <w:rPr/>
            </w:pPr>
            <w:r>
              <w:rPr/>
              <w:t> </w:t>
            </w:r>
          </w:p>
        </w:tc>
        <w:tc>
          <w:tcPr>
            <w:tcW w:w="1076"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rPr/>
            </w:pPr>
            <w:r>
              <w:rPr/>
              <w:t> </w:t>
            </w:r>
          </w:p>
        </w:tc>
        <w:tc>
          <w:tcPr>
            <w:tcW w:w="495" w:type="dxa"/>
            <w:tcBorders/>
            <w:shd w:fill="FFFFFF" w:val="clear"/>
            <w:vAlign w:val="bottom"/>
          </w:tcPr>
          <w:p>
            <w:pPr>
              <w:pStyle w:val="TableContents"/>
              <w:spacing w:before="0" w:after="283"/>
              <w:jc w:val="right"/>
              <w:rPr/>
            </w:pPr>
            <w:r>
              <w:rPr/>
              <w:t> </w:t>
            </w:r>
          </w:p>
        </w:tc>
        <w:tc>
          <w:tcPr>
            <w:tcW w:w="1240"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pPr>
            <w:r>
              <w:rPr/>
              <w:t> </w:t>
            </w:r>
          </w:p>
        </w:tc>
        <w:tc>
          <w:tcPr>
            <w:tcW w:w="1127"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223"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pPr>
            <w:r>
              <w:rPr/>
              <w:t> </w:t>
            </w:r>
          </w:p>
        </w:tc>
      </w:tr>
      <w:tr>
        <w:trPr/>
        <w:tc>
          <w:tcPr>
            <w:tcW w:w="1642" w:type="dxa"/>
            <w:tcBorders/>
            <w:shd w:fill="FFFFFF" w:val="clear"/>
            <w:vAlign w:val="bottom"/>
          </w:tcPr>
          <w:p>
            <w:pPr>
              <w:pStyle w:val="TableContents"/>
              <w:spacing w:before="0" w:after="283"/>
              <w:jc w:val="center"/>
              <w:rPr/>
            </w:pPr>
            <w:r>
              <w:rPr/>
              <w:t xml:space="preserve">  </w:t>
            </w:r>
          </w:p>
        </w:tc>
        <w:tc>
          <w:tcPr>
            <w:tcW w:w="76" w:type="dxa"/>
            <w:tcBorders/>
            <w:shd w:fill="FFFFFF" w:val="clear"/>
            <w:vAlign w:val="bottom"/>
          </w:tcPr>
          <w:p>
            <w:pPr>
              <w:pStyle w:val="TableContents"/>
              <w:spacing w:before="0" w:after="283"/>
              <w:jc w:val="center"/>
              <w:rPr/>
            </w:pPr>
            <w:r>
              <w:rPr/>
              <w:t xml:space="preserve">  </w:t>
            </w:r>
          </w:p>
        </w:tc>
        <w:tc>
          <w:tcPr>
            <w:tcW w:w="8310"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 2006</w:t>
            </w:r>
            <w:r>
              <w:rPr/>
              <w:t xml:space="preserve"> </w:t>
            </w:r>
          </w:p>
        </w:tc>
        <w:tc>
          <w:tcPr>
            <w:tcW w:w="177" w:type="dxa"/>
            <w:tcBorders/>
            <w:shd w:fill="FFFFFF" w:val="clear"/>
            <w:vAlign w:val="bottom"/>
          </w:tcPr>
          <w:p>
            <w:pPr>
              <w:pStyle w:val="TableContents"/>
              <w:spacing w:before="0" w:after="283"/>
              <w:jc w:val="center"/>
              <w:rPr/>
            </w:pPr>
            <w:r>
              <w:rPr/>
              <w:t xml:space="preserve">  </w:t>
            </w:r>
          </w:p>
        </w:tc>
      </w:tr>
      <w:tr>
        <w:trPr/>
        <w:tc>
          <w:tcPr>
            <w:tcW w:w="1642" w:type="dxa"/>
            <w:tcBorders/>
            <w:shd w:fill="FFFFFF" w:val="clear"/>
            <w:vAlign w:val="bottom"/>
          </w:tcPr>
          <w:p>
            <w:pPr>
              <w:pStyle w:val="TableContents"/>
              <w:spacing w:before="0" w:after="283"/>
              <w:jc w:val="center"/>
              <w:rPr/>
            </w:pPr>
            <w:r>
              <w:rPr/>
              <w:t xml:space="preserve">  </w:t>
            </w:r>
          </w:p>
        </w:tc>
        <w:tc>
          <w:tcPr>
            <w:tcW w:w="76" w:type="dxa"/>
            <w:tcBorders/>
            <w:shd w:fill="FFFFFF" w:val="clear"/>
            <w:vAlign w:val="bottom"/>
          </w:tcPr>
          <w:p>
            <w:pPr>
              <w:pStyle w:val="TableContents"/>
              <w:spacing w:before="0" w:after="283"/>
              <w:jc w:val="center"/>
              <w:rPr/>
            </w:pPr>
            <w:r>
              <w:rPr/>
              <w:t xml:space="preserve">  </w:t>
            </w:r>
          </w:p>
        </w:tc>
        <w:tc>
          <w:tcPr>
            <w:tcW w:w="1138" w:type="dxa"/>
            <w:gridSpan w:val="2"/>
            <w:tcBorders/>
            <w:shd w:fill="FFFFFF" w:val="clear"/>
            <w:vAlign w:val="bottom"/>
          </w:tcPr>
          <w:p>
            <w:pPr>
              <w:pStyle w:val="TableContents"/>
              <w:spacing w:before="0" w:after="283"/>
              <w:jc w:val="center"/>
              <w:rPr>
                <w:b/>
              </w:rPr>
            </w:pPr>
            <w:r>
              <w:rPr>
                <w:b/>
              </w:rPr>
              <w:t>Plains</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375" w:type="dxa"/>
            <w:gridSpan w:val="2"/>
            <w:tcBorders/>
            <w:shd w:fill="FFFFFF" w:val="clear"/>
            <w:vAlign w:val="bottom"/>
          </w:tcPr>
          <w:p>
            <w:pPr>
              <w:pStyle w:val="TableContents"/>
              <w:spacing w:before="0" w:after="283"/>
              <w:jc w:val="center"/>
              <w:rPr>
                <w:b/>
              </w:rPr>
            </w:pPr>
            <w:r>
              <w:rPr>
                <w:b/>
              </w:rPr>
              <w:t>Combined</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735" w:type="dxa"/>
            <w:gridSpan w:val="2"/>
            <w:tcBorders/>
            <w:shd w:fill="FFFFFF" w:val="clear"/>
            <w:vAlign w:val="bottom"/>
          </w:tcPr>
          <w:p>
            <w:pPr>
              <w:pStyle w:val="TableContents"/>
              <w:spacing w:before="0" w:after="283"/>
              <w:jc w:val="center"/>
              <w:rPr>
                <w:b/>
              </w:rPr>
            </w:pPr>
            <w:r>
              <w:rPr>
                <w:b/>
              </w:rPr>
              <w:t>Combined</w:t>
            </w:r>
          </w:p>
        </w:tc>
        <w:tc>
          <w:tcPr>
            <w:tcW w:w="167"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36"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95" w:type="dxa"/>
            <w:gridSpan w:val="2"/>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r>
      <w:tr>
        <w:trPr/>
        <w:tc>
          <w:tcPr>
            <w:tcW w:w="1642" w:type="dxa"/>
            <w:tcBorders/>
            <w:shd w:fill="FFFFFF" w:val="clear"/>
            <w:vAlign w:val="bottom"/>
          </w:tcPr>
          <w:p>
            <w:pPr>
              <w:pStyle w:val="TableContents"/>
              <w:spacing w:before="0" w:after="283"/>
              <w:jc w:val="center"/>
              <w:rPr/>
            </w:pPr>
            <w:r>
              <w:rPr/>
              <w:t xml:space="preserve">  </w:t>
            </w:r>
          </w:p>
        </w:tc>
        <w:tc>
          <w:tcPr>
            <w:tcW w:w="76" w:type="dxa"/>
            <w:tcBorders/>
            <w:shd w:fill="FFFFFF" w:val="clear"/>
            <w:vAlign w:val="bottom"/>
          </w:tcPr>
          <w:p>
            <w:pPr>
              <w:pStyle w:val="TableContents"/>
              <w:spacing w:before="0" w:after="283"/>
              <w:jc w:val="center"/>
              <w:rPr/>
            </w:pPr>
            <w:r>
              <w:rPr/>
              <w:t xml:space="preserve">  </w:t>
            </w:r>
          </w:p>
        </w:tc>
        <w:tc>
          <w:tcPr>
            <w:tcW w:w="1138" w:type="dxa"/>
            <w:gridSpan w:val="2"/>
            <w:tcBorders/>
            <w:shd w:fill="FFFFFF" w:val="clear"/>
            <w:vAlign w:val="bottom"/>
          </w:tcPr>
          <w:p>
            <w:pPr>
              <w:pStyle w:val="TableContents"/>
              <w:spacing w:before="0" w:after="283"/>
              <w:jc w:val="center"/>
              <w:rPr>
                <w:b/>
              </w:rPr>
            </w:pPr>
            <w:r>
              <w:rPr>
                <w:b/>
              </w:rPr>
              <w:t>All</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375" w:type="dxa"/>
            <w:gridSpan w:val="2"/>
            <w:tcBorders/>
            <w:shd w:fill="FFFFFF" w:val="clear"/>
            <w:vAlign w:val="bottom"/>
          </w:tcPr>
          <w:p>
            <w:pPr>
              <w:pStyle w:val="TableContents"/>
              <w:spacing w:before="0" w:after="283"/>
              <w:jc w:val="center"/>
              <w:rPr>
                <w:b/>
              </w:rPr>
            </w:pPr>
            <w:r>
              <w:rPr>
                <w:b/>
              </w:rPr>
              <w:t>Guarantor</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735" w:type="dxa"/>
            <w:gridSpan w:val="2"/>
            <w:tcBorders/>
            <w:shd w:fill="FFFFFF" w:val="clear"/>
            <w:vAlign w:val="bottom"/>
          </w:tcPr>
          <w:p>
            <w:pPr>
              <w:pStyle w:val="TableContents"/>
              <w:spacing w:before="0" w:after="283"/>
              <w:jc w:val="center"/>
              <w:rPr>
                <w:b/>
              </w:rPr>
            </w:pPr>
            <w:r>
              <w:rPr>
                <w:b/>
              </w:rPr>
              <w:t>Non-Guarantor</w:t>
            </w:r>
          </w:p>
        </w:tc>
        <w:tc>
          <w:tcPr>
            <w:tcW w:w="167"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36" w:type="dxa"/>
            <w:gridSpan w:val="2"/>
            <w:tcBorders/>
            <w:shd w:fill="FFFFFF" w:val="clear"/>
            <w:vAlign w:val="bottom"/>
          </w:tcPr>
          <w:p>
            <w:pPr>
              <w:pStyle w:val="TableContents"/>
              <w:spacing w:before="0" w:after="283"/>
              <w:jc w:val="center"/>
              <w:rPr/>
            </w:pP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95" w:type="dxa"/>
            <w:gridSpan w:val="2"/>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r>
      <w:tr>
        <w:trPr/>
        <w:tc>
          <w:tcPr>
            <w:tcW w:w="1642" w:type="dxa"/>
            <w:tcBorders/>
            <w:shd w:fill="FFFFFF" w:val="clear"/>
            <w:vAlign w:val="bottom"/>
          </w:tcPr>
          <w:p>
            <w:pPr>
              <w:pStyle w:val="TableContents"/>
              <w:spacing w:before="0" w:after="283"/>
              <w:jc w:val="center"/>
              <w:rPr/>
            </w:pPr>
            <w:r>
              <w:rPr/>
              <w:t xml:space="preserve">  </w:t>
            </w:r>
          </w:p>
        </w:tc>
        <w:tc>
          <w:tcPr>
            <w:tcW w:w="76" w:type="dxa"/>
            <w:tcBorders/>
            <w:shd w:fill="FFFFFF" w:val="clear"/>
            <w:vAlign w:val="bottom"/>
          </w:tcPr>
          <w:p>
            <w:pPr>
              <w:pStyle w:val="TableContents"/>
              <w:spacing w:before="0" w:after="283"/>
              <w:jc w:val="center"/>
              <w:rPr/>
            </w:pPr>
            <w:r>
              <w:rPr/>
              <w:t xml:space="preserve">  </w:t>
            </w:r>
          </w:p>
        </w:tc>
        <w:tc>
          <w:tcPr>
            <w:tcW w:w="113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American</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37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73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Subsidiaries</w:t>
            </w: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3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Eliminations</w:t>
            </w:r>
            <w:r>
              <w:rPr/>
              <w:t xml:space="preserve"> </w:t>
            </w:r>
          </w:p>
        </w:tc>
        <w:tc>
          <w:tcPr>
            <w:tcW w:w="168" w:type="dxa"/>
            <w:tcBorders/>
            <w:shd w:fill="FFFFFF" w:val="clear"/>
            <w:vAlign w:val="bottom"/>
          </w:tcPr>
          <w:p>
            <w:pPr>
              <w:pStyle w:val="TableContents"/>
              <w:spacing w:before="0" w:after="283"/>
              <w:jc w:val="center"/>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49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Consolidated</w:t>
            </w:r>
            <w:r>
              <w:rPr/>
              <w:t xml:space="preserve"> </w:t>
            </w:r>
          </w:p>
        </w:tc>
        <w:tc>
          <w:tcPr>
            <w:tcW w:w="177" w:type="dxa"/>
            <w:tcBorders/>
            <w:shd w:fill="FFFFFF" w:val="clear"/>
            <w:vAlign w:val="bottom"/>
          </w:tcPr>
          <w:p>
            <w:pPr>
              <w:pStyle w:val="TableContents"/>
              <w:spacing w:before="0" w:after="283"/>
              <w:jc w:val="center"/>
              <w:rPr/>
            </w:pPr>
            <w:r>
              <w:rPr/>
              <w:t xml:space="preserve">  </w:t>
            </w:r>
          </w:p>
        </w:tc>
      </w:tr>
      <w:tr>
        <w:trPr/>
        <w:tc>
          <w:tcPr>
            <w:tcW w:w="1642" w:type="dxa"/>
            <w:tcBorders/>
            <w:shd w:fill="FFFFFF" w:val="clear"/>
            <w:vAlign w:val="bottom"/>
          </w:tcPr>
          <w:p>
            <w:pPr>
              <w:pStyle w:val="TableContents"/>
              <w:spacing w:before="0" w:after="283"/>
              <w:jc w:val="center"/>
              <w:rPr/>
            </w:pPr>
            <w:r>
              <w:rPr/>
              <w:t xml:space="preserve">  </w:t>
            </w:r>
          </w:p>
        </w:tc>
        <w:tc>
          <w:tcPr>
            <w:tcW w:w="76" w:type="dxa"/>
            <w:tcBorders/>
            <w:shd w:fill="FFFFFF" w:val="clear"/>
            <w:vAlign w:val="bottom"/>
          </w:tcPr>
          <w:p>
            <w:pPr>
              <w:pStyle w:val="TableContents"/>
              <w:spacing w:before="0" w:after="283"/>
              <w:jc w:val="center"/>
              <w:rPr/>
            </w:pPr>
            <w:r>
              <w:rPr/>
              <w:t xml:space="preserve">  </w:t>
            </w:r>
          </w:p>
        </w:tc>
        <w:tc>
          <w:tcPr>
            <w:tcW w:w="8310" w:type="dxa"/>
            <w:gridSpan w:val="18"/>
            <w:tcBorders/>
            <w:shd w:fill="FFFFFF" w:val="clear"/>
            <w:vAlign w:val="bottom"/>
          </w:tcPr>
          <w:p>
            <w:pPr>
              <w:pStyle w:val="TableContents"/>
              <w:spacing w:before="0" w:after="283"/>
              <w:jc w:val="center"/>
              <w:rPr/>
            </w:pPr>
            <w:r>
              <w:rPr>
                <w:b/>
              </w:rPr>
              <w:t>(In millions)</w:t>
            </w:r>
            <w:r>
              <w:rPr/>
              <w:t xml:space="preserve"> </w:t>
            </w:r>
          </w:p>
        </w:tc>
        <w:tc>
          <w:tcPr>
            <w:tcW w:w="177" w:type="dxa"/>
            <w:tcBorders/>
            <w:shd w:fill="FFFFFF" w:val="clear"/>
            <w:vAlign w:val="bottom"/>
          </w:tcPr>
          <w:p>
            <w:pPr>
              <w:pStyle w:val="TableContents"/>
              <w:spacing w:before="0" w:after="283"/>
              <w:jc w:val="center"/>
              <w:rPr/>
            </w:pPr>
            <w:r>
              <w:rPr/>
              <w:t xml:space="preserve">  </w:t>
            </w:r>
          </w:p>
        </w:tc>
      </w:tr>
      <w:tr>
        <w:trPr/>
        <w:tc>
          <w:tcPr>
            <w:tcW w:w="1642" w:type="dxa"/>
            <w:tcBorders/>
            <w:shd w:fill="FFFFFF" w:val="clear"/>
            <w:vAlign w:val="center"/>
          </w:tcPr>
          <w:p>
            <w:pPr>
              <w:pStyle w:val="TableContents"/>
              <w:spacing w:before="0" w:after="283"/>
              <w:rPr/>
            </w:pPr>
            <w:r>
              <w:rPr/>
              <w:t xml:space="preserve">  </w:t>
            </w:r>
          </w:p>
        </w:tc>
        <w:tc>
          <w:tcPr>
            <w:tcW w:w="8563" w:type="dxa"/>
            <w:gridSpan w:val="20"/>
            <w:tcBorders/>
            <w:shd w:fill="FFFFFF" w:val="clear"/>
          </w:tcPr>
          <w:p>
            <w:pPr>
              <w:pStyle w:val="TableContents"/>
              <w:spacing w:before="0" w:after="283"/>
              <w:rPr>
                <w:sz w:val="4"/>
                <w:szCs w:val="4"/>
              </w:rPr>
            </w:pPr>
            <w:r>
              <w:rPr>
                <w:sz w:val="4"/>
                <w:szCs w:val="4"/>
              </w:rPr>
            </w:r>
          </w:p>
        </w:tc>
      </w:tr>
      <w:tr>
        <w:trPr/>
        <w:tc>
          <w:tcPr>
            <w:tcW w:w="1642" w:type="dxa"/>
            <w:tcBorders/>
            <w:shd w:fill="CCEEFF" w:val="clear"/>
            <w:vAlign w:val="bottom"/>
          </w:tcPr>
          <w:p>
            <w:pPr>
              <w:pStyle w:val="TableContents"/>
              <w:spacing w:before="0" w:after="0"/>
              <w:ind w:left="180" w:right="0" w:hanging="180"/>
              <w:jc w:val="left"/>
              <w:rPr/>
            </w:pPr>
            <w:r>
              <w:rPr>
                <w:b/>
                <w:sz w:val="15"/>
              </w:rPr>
              <w:t>CASH FLOWS FROM OPERATING ACTIVITIES</w:t>
            </w:r>
            <w:r>
              <w:rPr/>
              <w:t xml:space="preserve">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Net income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285.1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363.1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6.2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(369.3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285.1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Adjustments to reconcile to cash flows from operating activities: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360" w:right="0" w:hanging="180"/>
              <w:jc w:val="left"/>
              <w:rPr>
                <w:sz w:val="15"/>
              </w:rPr>
            </w:pPr>
            <w:r>
              <w:rPr>
                <w:sz w:val="15"/>
              </w:rPr>
              <w:t xml:space="preserve">Depreciation and amortization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2.4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95.3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2.7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100.4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360" w:right="0" w:hanging="180"/>
              <w:jc w:val="left"/>
              <w:rPr>
                <w:sz w:val="15"/>
              </w:rPr>
            </w:pPr>
            <w:r>
              <w:rPr>
                <w:sz w:val="15"/>
              </w:rPr>
              <w:t xml:space="preserve">Cumulative effect of change in accounting principle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(6.3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(6.3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360" w:right="0" w:hanging="180"/>
              <w:jc w:val="left"/>
              <w:rPr>
                <w:sz w:val="15"/>
              </w:rPr>
            </w:pPr>
            <w:r>
              <w:rPr>
                <w:sz w:val="15"/>
              </w:rPr>
              <w:t xml:space="preserve">Inventory valuation adjustment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5.9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5.9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360" w:right="0" w:hanging="180"/>
              <w:jc w:val="left"/>
              <w:rPr>
                <w:sz w:val="15"/>
              </w:rPr>
            </w:pPr>
            <w:r>
              <w:rPr>
                <w:sz w:val="15"/>
              </w:rPr>
              <w:t xml:space="preserve">SFAS 133 mark-to-market adjustment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4.4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4.4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360" w:right="0" w:hanging="180"/>
              <w:jc w:val="left"/>
              <w:rPr>
                <w:sz w:val="15"/>
              </w:rPr>
            </w:pPr>
            <w:r>
              <w:rPr>
                <w:sz w:val="15"/>
              </w:rPr>
              <w:t xml:space="preserve">Long-Term Incentive Plan charge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42.7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42.7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360" w:right="0" w:hanging="180"/>
              <w:jc w:val="left"/>
              <w:rPr>
                <w:sz w:val="15"/>
              </w:rPr>
            </w:pPr>
            <w:r>
              <w:rPr>
                <w:sz w:val="15"/>
              </w:rPr>
              <w:t xml:space="preserve">Noncash amortization of terminated interest rate hedging instruments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1.5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1.5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360" w:right="0" w:hanging="180"/>
              <w:jc w:val="left"/>
              <w:rPr>
                <w:sz w:val="15"/>
              </w:rPr>
            </w:pPr>
            <w:r>
              <w:rPr>
                <w:sz w:val="15"/>
              </w:rPr>
              <w:t xml:space="preserve">Loss on foreign currency revaluation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4.1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4.1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360" w:right="0" w:hanging="180"/>
              <w:jc w:val="left"/>
              <w:rPr>
                <w:sz w:val="15"/>
              </w:rPr>
            </w:pPr>
            <w:r>
              <w:rPr>
                <w:sz w:val="15"/>
              </w:rPr>
              <w:t xml:space="preserve">Net cash paid for terminated interest rate hedging instruments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(2.4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(2.4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360" w:right="0" w:hanging="180"/>
              <w:jc w:val="left"/>
              <w:rPr>
                <w:sz w:val="15"/>
              </w:rPr>
            </w:pPr>
            <w:r>
              <w:rPr>
                <w:sz w:val="15"/>
              </w:rPr>
              <w:t xml:space="preserve">Equity earnings in unconsolidated entities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(363.1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(13.9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369.3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(7.7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Net change in assets and liabilities, net of acquisitions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(491.1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(158.5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(7.5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(45.9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(703.0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FFFFFF" w:val="clear"/>
            <w:vAlign w:val="bottom"/>
          </w:tcPr>
          <w:p>
            <w:pPr>
              <w:pStyle w:val="TableContents"/>
              <w:spacing w:before="0" w:after="0"/>
              <w:ind w:left="720" w:right="0" w:hanging="180"/>
              <w:jc w:val="left"/>
              <w:rPr>
                <w:sz w:val="15"/>
              </w:rPr>
            </w:pPr>
            <w:r>
              <w:rPr>
                <w:sz w:val="15"/>
              </w:rPr>
              <w:t xml:space="preserve">Net cash provided by (used in) operating activities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(567.6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336.8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1.4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(45.9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(275.3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CCEEFF" w:val="clear"/>
            <w:vAlign w:val="bottom"/>
          </w:tcPr>
          <w:p>
            <w:pPr>
              <w:pStyle w:val="TableContents"/>
              <w:spacing w:before="0" w:after="0"/>
              <w:ind w:left="180" w:right="0" w:hanging="180"/>
              <w:jc w:val="left"/>
              <w:rPr/>
            </w:pPr>
            <w:r>
              <w:rPr>
                <w:b/>
                <w:sz w:val="15"/>
              </w:rPr>
              <w:t>CASH FLOWS FROM INVESTING ACTIVITIES</w:t>
            </w:r>
            <w:r>
              <w:rPr/>
              <w:t xml:space="preserve">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Cash paid in connection with acquisitions, net of $20.0 cash assumed from acquisitions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(703.6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(560.3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(1,263.9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Additions to property and equipment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(339.4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(1.6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(341.0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Investment in unconsolidated entities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(45.9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(45.9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45.9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(45.9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Cash paid for linefill in assets owned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(4.8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0.2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(4.6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Proceeds from sales of assets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4.4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4.4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CCEEFF" w:val="clear"/>
            <w:vAlign w:val="bottom"/>
          </w:tcPr>
          <w:p>
            <w:pPr>
              <w:pStyle w:val="TableContents"/>
              <w:spacing w:before="0" w:after="0"/>
              <w:ind w:left="720" w:right="0" w:hanging="180"/>
              <w:jc w:val="left"/>
              <w:rPr>
                <w:sz w:val="15"/>
              </w:rPr>
            </w:pPr>
            <w:r>
              <w:rPr>
                <w:sz w:val="15"/>
              </w:rPr>
              <w:t xml:space="preserve">Net cash used in investing activities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(749.5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(946.0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(1.4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45.9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(1,651.0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FFFFFF" w:val="clear"/>
            <w:vAlign w:val="bottom"/>
          </w:tcPr>
          <w:p>
            <w:pPr>
              <w:pStyle w:val="TableContents"/>
              <w:spacing w:before="0" w:after="0"/>
              <w:ind w:left="180" w:right="0" w:hanging="180"/>
              <w:jc w:val="left"/>
              <w:rPr/>
            </w:pPr>
            <w:r>
              <w:rPr>
                <w:b/>
                <w:sz w:val="15"/>
              </w:rPr>
              <w:t>CASH FLOWS FROM FINANCING ACTIVITIES</w:t>
            </w: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Net (repayments) on long-term revolving credit facility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(290.7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(7.8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(298.5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Net borrowings on working capital revolving credit facility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2.8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2.8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Net borrowings on short-term letter of credit and hedged inventory facility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616.0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616.0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Proceeds from the issuance of senior notes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1,242.8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1,242.8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Net proceeds from the issuance of common units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642.8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642.8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Distributions paid to unitholders and general partner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(262.6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(262.6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Other financing activities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(13.1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(3.2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(16.3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FFFFFF" w:val="clear"/>
            <w:vAlign w:val="bottom"/>
          </w:tcPr>
          <w:p>
            <w:pPr>
              <w:pStyle w:val="TableContents"/>
              <w:spacing w:before="0" w:after="0"/>
              <w:ind w:left="720" w:right="0" w:hanging="180"/>
              <w:jc w:val="left"/>
              <w:rPr>
                <w:sz w:val="15"/>
              </w:rPr>
            </w:pPr>
            <w:r>
              <w:rPr>
                <w:sz w:val="15"/>
              </w:rPr>
              <w:t xml:space="preserve">Net cash provided by financing activities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1,319.2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607.8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1,927.0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Effect of translation adjustment on cash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1.0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1.0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Net increase (decrease) in cash and cash equivalents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2.1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(0.4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1.7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CCEEFF" w:val="clear"/>
            <w:vAlign w:val="bottom"/>
          </w:tcPr>
          <w:p>
            <w:pPr>
              <w:pStyle w:val="TableContents"/>
              <w:spacing w:before="0" w:after="0"/>
              <w:ind w:left="180" w:right="0" w:hanging="180"/>
              <w:jc w:val="left"/>
              <w:rPr>
                <w:sz w:val="15"/>
              </w:rPr>
            </w:pPr>
            <w:r>
              <w:rPr>
                <w:sz w:val="15"/>
              </w:rPr>
              <w:t xml:space="preserve">Cash and cash equivalents, beginning of period </w:t>
            </w:r>
          </w:p>
        </w:tc>
        <w:tc>
          <w:tcPr>
            <w:tcW w:w="76" w:type="dxa"/>
            <w:tcBorders/>
            <w:shd w:fill="CCEEFF" w:val="clear"/>
            <w:vAlign w:val="bottom"/>
          </w:tcPr>
          <w:p>
            <w:pPr>
              <w:pStyle w:val="TableContents"/>
              <w:spacing w:before="0" w:after="283"/>
              <w:rPr/>
            </w:pPr>
            <w:r>
              <w:rPr/>
              <w:t xml:space="preserve">  </w:t>
            </w:r>
          </w:p>
        </w:tc>
        <w:tc>
          <w:tcPr>
            <w:tcW w:w="227" w:type="dxa"/>
            <w:tcBorders/>
            <w:shd w:fill="CCEEFF" w:val="clear"/>
            <w:vAlign w:val="bottom"/>
          </w:tcPr>
          <w:p>
            <w:pPr>
              <w:pStyle w:val="TableContents"/>
              <w:spacing w:before="0" w:after="283"/>
              <w:jc w:val="left"/>
              <w:rPr/>
            </w:pPr>
            <w:r>
              <w:rPr/>
              <w:t xml:space="preserve">  </w:t>
            </w:r>
          </w:p>
        </w:tc>
        <w:tc>
          <w:tcPr>
            <w:tcW w:w="911" w:type="dxa"/>
            <w:tcBorders/>
            <w:shd w:fill="CCEEFF" w:val="clear"/>
            <w:vAlign w:val="bottom"/>
          </w:tcPr>
          <w:p>
            <w:pPr>
              <w:pStyle w:val="TableContents"/>
              <w:spacing w:before="0" w:after="283"/>
              <w:jc w:val="right"/>
              <w:rPr/>
            </w:pPr>
            <w:r>
              <w:rPr/>
              <w:t xml:space="preserve">0.2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9.4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495"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67"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309" w:type="dxa"/>
            <w:tcBorders/>
            <w:shd w:fill="CCEEFF" w:val="clear"/>
            <w:vAlign w:val="bottom"/>
          </w:tcPr>
          <w:p>
            <w:pPr>
              <w:pStyle w:val="TableContents"/>
              <w:spacing w:before="0" w:after="283"/>
              <w:jc w:val="left"/>
              <w:rPr/>
            </w:pPr>
            <w:r>
              <w:rPr/>
              <w:t xml:space="preserve">  </w:t>
            </w:r>
          </w:p>
        </w:tc>
        <w:tc>
          <w:tcPr>
            <w:tcW w:w="1127"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272"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9.6 </w:t>
            </w:r>
          </w:p>
        </w:tc>
        <w:tc>
          <w:tcPr>
            <w:tcW w:w="177" w:type="dxa"/>
            <w:tcBorders/>
            <w:shd w:fill="CCEE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r>
        <w:trPr/>
        <w:tc>
          <w:tcPr>
            <w:tcW w:w="1642" w:type="dxa"/>
            <w:tcBorders/>
            <w:shd w:fill="FFFFFF" w:val="clear"/>
            <w:vAlign w:val="bottom"/>
          </w:tcPr>
          <w:p>
            <w:pPr>
              <w:pStyle w:val="TableContents"/>
              <w:spacing w:before="0" w:after="0"/>
              <w:ind w:left="180" w:right="0" w:hanging="180"/>
              <w:jc w:val="left"/>
              <w:rPr>
                <w:sz w:val="15"/>
              </w:rPr>
            </w:pPr>
            <w:r>
              <w:rPr>
                <w:sz w:val="15"/>
              </w:rPr>
              <w:t xml:space="preserve">Cash and cash equivalents, end of period </w:t>
            </w:r>
          </w:p>
        </w:tc>
        <w:tc>
          <w:tcPr>
            <w:tcW w:w="76" w:type="dxa"/>
            <w:tcBorders/>
            <w:shd w:fill="FFFFFF" w:val="clear"/>
            <w:vAlign w:val="bottom"/>
          </w:tcPr>
          <w:p>
            <w:pPr>
              <w:pStyle w:val="TableContents"/>
              <w:spacing w:before="0" w:after="283"/>
              <w:rPr/>
            </w:pPr>
            <w:r>
              <w:rPr/>
              <w:t xml:space="preserve">  </w:t>
            </w:r>
          </w:p>
        </w:tc>
        <w:tc>
          <w:tcPr>
            <w:tcW w:w="227" w:type="dxa"/>
            <w:tcBorders/>
            <w:shd w:fill="FFFFFF" w:val="clear"/>
            <w:vAlign w:val="bottom"/>
          </w:tcPr>
          <w:p>
            <w:pPr>
              <w:pStyle w:val="TableContents"/>
              <w:spacing w:before="0" w:after="283"/>
              <w:jc w:val="left"/>
              <w:rPr/>
            </w:pPr>
            <w:r>
              <w:rPr/>
              <w:t xml:space="preserve">$ </w:t>
            </w:r>
          </w:p>
        </w:tc>
        <w:tc>
          <w:tcPr>
            <w:tcW w:w="911" w:type="dxa"/>
            <w:tcBorders/>
            <w:shd w:fill="FFFFFF" w:val="clear"/>
            <w:vAlign w:val="bottom"/>
          </w:tcPr>
          <w:p>
            <w:pPr>
              <w:pStyle w:val="TableContents"/>
              <w:spacing w:before="0" w:after="283"/>
              <w:jc w:val="right"/>
              <w:rPr/>
            </w:pPr>
            <w:r>
              <w:rPr/>
              <w:t xml:space="preserve">2.3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9.0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 </w:t>
            </w:r>
          </w:p>
        </w:tc>
        <w:tc>
          <w:tcPr>
            <w:tcW w:w="167"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shd w:fill="FFFFFF" w:val="clear"/>
            <w:vAlign w:val="bottom"/>
          </w:tcPr>
          <w:p>
            <w:pPr>
              <w:pStyle w:val="TableContents"/>
              <w:spacing w:before="0" w:after="283"/>
              <w:jc w:val="left"/>
              <w:rPr/>
            </w:pPr>
            <w:r>
              <w:rPr/>
              <w:t xml:space="preserve">$ </w:t>
            </w:r>
          </w:p>
        </w:tc>
        <w:tc>
          <w:tcPr>
            <w:tcW w:w="1127"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11.3 </w:t>
            </w:r>
          </w:p>
        </w:tc>
        <w:tc>
          <w:tcPr>
            <w:tcW w:w="177" w:type="dxa"/>
            <w:tcBorders/>
            <w:shd w:fill="FFFFFF" w:val="clear"/>
            <w:vAlign w:val="bottom"/>
          </w:tcPr>
          <w:p>
            <w:pPr>
              <w:pStyle w:val="TableContents"/>
              <w:spacing w:before="0" w:after="283"/>
              <w:jc w:val="left"/>
              <w:rPr/>
            </w:pPr>
            <w:r>
              <w:rPr/>
              <w:t xml:space="preserve">  </w:t>
            </w:r>
          </w:p>
        </w:tc>
      </w:tr>
      <w:tr>
        <w:trPr/>
        <w:tc>
          <w:tcPr>
            <w:tcW w:w="1642" w:type="dxa"/>
            <w:tcBorders/>
            <w:shd w:fill="FFFFFF" w:val="clear"/>
            <w:vAlign w:val="bottom"/>
          </w:tcPr>
          <w:p>
            <w:pPr>
              <w:pStyle w:val="TableContents"/>
              <w:spacing w:before="0" w:after="283"/>
              <w:rPr/>
            </w:pPr>
            <w:r>
              <w:rPr/>
              <w:t xml:space="preserve">  </w:t>
            </w:r>
          </w:p>
        </w:tc>
        <w:tc>
          <w:tcPr>
            <w:tcW w:w="76" w:type="dxa"/>
            <w:tcBorders/>
            <w:shd w:fill="FFFFFF" w:val="clear"/>
            <w:vAlign w:val="bottom"/>
          </w:tcPr>
          <w:p>
            <w:pPr>
              <w:pStyle w:val="TableContents"/>
              <w:spacing w:before="0" w:after="283"/>
              <w:rPr/>
            </w:pPr>
            <w:r>
              <w:rPr/>
              <w:t xml:space="preserve">  </w:t>
            </w:r>
          </w:p>
        </w:tc>
        <w:tc>
          <w:tcPr>
            <w:tcW w:w="2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9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7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4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7"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3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xml:space="preserve">  </w:t>
            </w:r>
          </w:p>
        </w:tc>
        <w:tc>
          <w:tcPr>
            <w:tcW w:w="27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December 31, 2005 and for the years ended December 31, 2005 and December 31, 2004, the Non-Guarantor Subsidiaries were considered minor, as defined by Regulation S-X rule 3-10(h)(6) and thus, supplemental condensed consolidating financial information is not presented for those periods.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13  Environmental Remediation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currently own or lease properties where hazardous liquids, including hydrocarbons, are being or have been handled. These properties and the hazardous liquids or associated generated wastes disposed thereon may be subject to CERCLA, RCRA and analogous state and Canadian federal and provincial laws and regulations. Under such laws and regulations,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instance, in connection with the purchase of assets from Link in 2004, we identified a number of environmental liabilities for which we received a purchase price reduction from Link and recorded a total environmental reserve of $20 million. A substantial portion of these environmental liabilities are associated with the former Texas New Mexico (TNM) pipeline assets. On the effective date of the acquisition, we and TNM entered into a cost-sharing agreement whereby, on a tiered basis, we agreed to bear $11 million of the first $20 million of pre-May 1999 environmental issues. We also agreed to bear the first $25,000 per site for new sites which were not identified at the time we entered into the agreement (capped at 100 sites). TNM agreed to pay all costs in excess of $20 million (excluding the deductible for new sites). TNMs obligations are guaranteed by Shell Oil Products (SOP). As of December 31, 2006, we had incurred approximately $7 million of remediation costs associated with these sites; SOPs share is approximately $1.5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SOP made a claim against the policy; however, we do not believe that the claim substantially reduced our coverage under the policy.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our 1999 acquisition of Scurlock Permian LLC from MAP, we were indemnified by MAP for any environmental liabilities attributable to Scurlocks business or properties that occurred prior to the date of the closing of the acquisition. Other than with respect to liabilities associated with two Superfund sites at which it is alleged that Scurlock deposited waste oils, this indemnity has expired or was terminated by agreement.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a result of our merger with Pacific, we have assumed liability for a number of ongoing remediation sites, associated with releases from pipeline or storage operations. These sites had been managed by Pacific prior to the merger, and in general there is no insurance or indemnification to cover ongoing costs to address these sites (with the exception of the Pyramid Lake crude oil release). We have evaluated each of the sites requiring remediation, through review of technical and regulatory documents, discussions with Pacific, and our experience at investigating and remediating releases from pipeline and storage operations. We have developed reserve estimates for the Pacific sites based on this evaluation, including determination of current and long-term reserve amounts, which total approximately $21.8 million.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assets we have acquired or will acquire in the future may have environmental remediation liabilities for which we are not indemnified.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in the past experienced and in the future likely will experience releases of crude oil or petroleum products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experienced such an increase in connection with the Pacific acquisition, which added approximately 5,000 miles of pipeline to our operations, and in connection with the Link acquisition, which added approximately 7,000 miles of pipeline to our operations. As a result, we have also received an increased number of requests for information from governmental agencies with respect to such releases of crude oil (such as EPA requests under CleanWater Act Section 308), commensurate with the scale and scope of our pipeline operations.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December 31, 2006, our reserve for environmental liabilities totaled approximately $39.1 million (approximately $21.8 million of this reserve is related to liabilities assumed as part of the Pacific merger, and $10.4 million is related to liabilities assumed as part of the Link acquisition). Approximately $19.5 million of our environmental reserve is classified as current (within other current liabilities on our Consolidated Balance Sheets) and $19.6 million is classified as long-term (within Other long-term liabilities and deferred credits on our Consolidated Balance Sheets). At December 31, 2006, we have recorded receivables totaling approximately $11.6 million for amounts recoverable under insurance and from third parties under indemnification agreements.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no assurances can be made that any costs incurred in excess of this reserve or outside of the indemnifications would not have a material adverse effect on our financial condition, results of operations, or cash flows.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14  Quarterly Financial Data (Unaudited):</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267"/>
        <w:gridCol w:w="136"/>
        <w:gridCol w:w="200"/>
        <w:gridCol w:w="848"/>
        <w:gridCol w:w="138"/>
        <w:gridCol w:w="181"/>
        <w:gridCol w:w="200"/>
        <w:gridCol w:w="848"/>
        <w:gridCol w:w="138"/>
        <w:gridCol w:w="181"/>
        <w:gridCol w:w="200"/>
        <w:gridCol w:w="848"/>
        <w:gridCol w:w="138"/>
        <w:gridCol w:w="181"/>
        <w:gridCol w:w="200"/>
        <w:gridCol w:w="847"/>
        <w:gridCol w:w="138"/>
        <w:gridCol w:w="181"/>
        <w:gridCol w:w="200"/>
        <w:gridCol w:w="986"/>
        <w:gridCol w:w="149"/>
      </w:tblGrid>
      <w:tr>
        <w:trPr/>
        <w:tc>
          <w:tcPr>
            <w:tcW w:w="3267"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8"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8"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8"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7"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6"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r>
      <w:tr>
        <w:trPr/>
        <w:tc>
          <w:tcPr>
            <w:tcW w:w="3267" w:type="dxa"/>
            <w:tcBorders/>
            <w:shd w:fill="FFFFFF" w:val="clear"/>
            <w:vAlign w:val="bottom"/>
          </w:tcPr>
          <w:p>
            <w:pPr>
              <w:pStyle w:val="TableContents"/>
              <w:spacing w:before="0" w:after="283"/>
              <w:jc w:val="center"/>
              <w:rPr/>
            </w:pP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048" w:type="dxa"/>
            <w:gridSpan w:val="2"/>
            <w:tcBorders/>
            <w:shd w:fill="FFFFFF" w:val="clear"/>
            <w:vAlign w:val="bottom"/>
          </w:tcPr>
          <w:p>
            <w:pPr>
              <w:pStyle w:val="TableContents"/>
              <w:spacing w:before="0" w:after="283"/>
              <w:jc w:val="center"/>
              <w:rPr>
                <w:b/>
              </w:rPr>
            </w:pPr>
            <w:r>
              <w:rPr>
                <w:b/>
              </w:rPr>
              <w:t>First</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8" w:type="dxa"/>
            <w:gridSpan w:val="2"/>
            <w:tcBorders/>
            <w:shd w:fill="FFFFFF" w:val="clear"/>
            <w:vAlign w:val="bottom"/>
          </w:tcPr>
          <w:p>
            <w:pPr>
              <w:pStyle w:val="TableContents"/>
              <w:spacing w:before="0" w:after="283"/>
              <w:jc w:val="center"/>
              <w:rPr>
                <w:b/>
              </w:rPr>
            </w:pPr>
            <w:r>
              <w:rPr>
                <w:b/>
              </w:rPr>
              <w:t>Second</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8" w:type="dxa"/>
            <w:gridSpan w:val="2"/>
            <w:tcBorders/>
            <w:shd w:fill="FFFFFF" w:val="clear"/>
            <w:vAlign w:val="bottom"/>
          </w:tcPr>
          <w:p>
            <w:pPr>
              <w:pStyle w:val="TableContents"/>
              <w:spacing w:before="0" w:after="283"/>
              <w:jc w:val="center"/>
              <w:rPr>
                <w:b/>
              </w:rPr>
            </w:pPr>
            <w:r>
              <w:rPr>
                <w:b/>
              </w:rPr>
              <w:t>Third</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7" w:type="dxa"/>
            <w:gridSpan w:val="2"/>
            <w:tcBorders/>
            <w:shd w:fill="FFFFFF" w:val="clear"/>
            <w:vAlign w:val="bottom"/>
          </w:tcPr>
          <w:p>
            <w:pPr>
              <w:pStyle w:val="TableContents"/>
              <w:spacing w:before="0" w:after="283"/>
              <w:jc w:val="center"/>
              <w:rPr>
                <w:b/>
              </w:rPr>
            </w:pPr>
            <w:r>
              <w:rPr>
                <w:b/>
              </w:rPr>
              <w:t>Fourth</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186" w:type="dxa"/>
            <w:gridSpan w:val="2"/>
            <w:tcBorders/>
            <w:shd w:fill="FFFFFF" w:val="clear"/>
            <w:vAlign w:val="bottom"/>
          </w:tcPr>
          <w:p>
            <w:pPr>
              <w:pStyle w:val="TableContents"/>
              <w:spacing w:before="0" w:after="283"/>
              <w:jc w:val="center"/>
              <w:rPr/>
            </w:pPr>
            <w:r>
              <w:rPr/>
              <w:t xml:space="preserve">  </w:t>
            </w:r>
          </w:p>
        </w:tc>
        <w:tc>
          <w:tcPr>
            <w:tcW w:w="149" w:type="dxa"/>
            <w:tcBorders/>
            <w:shd w:fill="FFFFFF" w:val="clear"/>
            <w:vAlign w:val="bottom"/>
          </w:tcPr>
          <w:p>
            <w:pPr>
              <w:pStyle w:val="TableContents"/>
              <w:spacing w:before="0" w:after="283"/>
              <w:jc w:val="center"/>
              <w:rPr/>
            </w:pPr>
            <w:r>
              <w:rPr/>
              <w:t xml:space="preserve">  </w:t>
            </w:r>
          </w:p>
        </w:tc>
      </w:tr>
      <w:tr>
        <w:trPr/>
        <w:tc>
          <w:tcPr>
            <w:tcW w:w="3267" w:type="dxa"/>
            <w:tcBorders/>
            <w:shd w:fill="FFFFFF" w:val="clear"/>
            <w:vAlign w:val="bottom"/>
          </w:tcPr>
          <w:p>
            <w:pPr>
              <w:pStyle w:val="TableContents"/>
              <w:spacing w:before="0" w:after="283"/>
              <w:jc w:val="center"/>
              <w:rPr/>
            </w:pP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104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Quarter</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Quarter</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Quarter</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04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Quarter</w:t>
            </w:r>
            <w:r>
              <w:rPr/>
              <w:t xml:space="preserve"> </w:t>
            </w:r>
          </w:p>
        </w:tc>
        <w:tc>
          <w:tcPr>
            <w:tcW w:w="138"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1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Total(1)</w:t>
            </w:r>
            <w:r>
              <w:rPr/>
              <w:t xml:space="preserve"> </w:t>
            </w:r>
          </w:p>
        </w:tc>
        <w:tc>
          <w:tcPr>
            <w:tcW w:w="149" w:type="dxa"/>
            <w:tcBorders/>
            <w:shd w:fill="FFFFFF" w:val="clear"/>
            <w:vAlign w:val="bottom"/>
          </w:tcPr>
          <w:p>
            <w:pPr>
              <w:pStyle w:val="TableContents"/>
              <w:spacing w:before="0" w:after="283"/>
              <w:jc w:val="center"/>
              <w:rPr/>
            </w:pPr>
            <w:r>
              <w:rPr/>
              <w:t xml:space="preserve">  </w:t>
            </w:r>
          </w:p>
        </w:tc>
      </w:tr>
      <w:tr>
        <w:trPr/>
        <w:tc>
          <w:tcPr>
            <w:tcW w:w="3267" w:type="dxa"/>
            <w:tcBorders/>
            <w:shd w:fill="FFFFFF" w:val="clear"/>
            <w:vAlign w:val="bottom"/>
          </w:tcPr>
          <w:p>
            <w:pPr>
              <w:pStyle w:val="TableContents"/>
              <w:spacing w:before="0" w:after="283"/>
              <w:jc w:val="center"/>
              <w:rPr/>
            </w:pPr>
            <w:r>
              <w:rPr/>
              <w:t xml:space="preserve">  </w:t>
            </w:r>
          </w:p>
        </w:tc>
        <w:tc>
          <w:tcPr>
            <w:tcW w:w="136" w:type="dxa"/>
            <w:tcBorders/>
            <w:shd w:fill="FFFFFF" w:val="clear"/>
            <w:vAlign w:val="bottom"/>
          </w:tcPr>
          <w:p>
            <w:pPr>
              <w:pStyle w:val="TableContents"/>
              <w:spacing w:before="0" w:after="283"/>
              <w:jc w:val="center"/>
              <w:rPr/>
            </w:pPr>
            <w:r>
              <w:rPr/>
              <w:t xml:space="preserve">  </w:t>
            </w:r>
          </w:p>
        </w:tc>
        <w:tc>
          <w:tcPr>
            <w:tcW w:w="6653" w:type="dxa"/>
            <w:gridSpan w:val="18"/>
            <w:tcBorders/>
            <w:shd w:fill="FFFFFF" w:val="clear"/>
            <w:vAlign w:val="bottom"/>
          </w:tcPr>
          <w:p>
            <w:pPr>
              <w:pStyle w:val="TableContents"/>
              <w:spacing w:before="0" w:after="283"/>
              <w:jc w:val="center"/>
              <w:rPr/>
            </w:pPr>
            <w:r>
              <w:rPr>
                <w:b/>
              </w:rPr>
              <w:t>(In millions, except per unit data)</w:t>
            </w:r>
            <w:r>
              <w:rPr/>
              <w:t xml:space="preserve"> </w:t>
            </w:r>
          </w:p>
        </w:tc>
        <w:tc>
          <w:tcPr>
            <w:tcW w:w="149" w:type="dxa"/>
            <w:tcBorders/>
            <w:shd w:fill="FFFFFF" w:val="clear"/>
            <w:vAlign w:val="bottom"/>
          </w:tcPr>
          <w:p>
            <w:pPr>
              <w:pStyle w:val="TableContents"/>
              <w:spacing w:before="0" w:after="283"/>
              <w:jc w:val="center"/>
              <w:rPr/>
            </w:pPr>
            <w:r>
              <w:rPr/>
              <w:t xml:space="preserve">  </w:t>
            </w:r>
          </w:p>
        </w:tc>
      </w:tr>
      <w:tr>
        <w:trPr/>
        <w:tc>
          <w:tcPr>
            <w:tcW w:w="3267" w:type="dxa"/>
            <w:tcBorders/>
            <w:shd w:fill="FFFFFF" w:val="clear"/>
            <w:vAlign w:val="center"/>
          </w:tcPr>
          <w:p>
            <w:pPr>
              <w:pStyle w:val="TableContents"/>
              <w:spacing w:before="0" w:after="283"/>
              <w:rPr/>
            </w:pPr>
            <w:r>
              <w:rPr/>
              <w:t xml:space="preserve">  </w:t>
            </w:r>
          </w:p>
        </w:tc>
        <w:tc>
          <w:tcPr>
            <w:tcW w:w="6938" w:type="dxa"/>
            <w:gridSpan w:val="20"/>
            <w:tcBorders/>
            <w:shd w:fill="FFFFFF" w:val="clear"/>
          </w:tcPr>
          <w:p>
            <w:pPr>
              <w:pStyle w:val="TableContents"/>
              <w:spacing w:before="0" w:after="283"/>
              <w:rPr>
                <w:sz w:val="4"/>
                <w:szCs w:val="4"/>
              </w:rPr>
            </w:pPr>
            <w:r>
              <w:rPr>
                <w:sz w:val="4"/>
                <w:szCs w:val="4"/>
              </w:rPr>
            </w:r>
          </w:p>
        </w:tc>
      </w:tr>
      <w:tr>
        <w:trPr/>
        <w:tc>
          <w:tcPr>
            <w:tcW w:w="3267" w:type="dxa"/>
            <w:tcBorders/>
            <w:shd w:fill="CCEEFF" w:val="clear"/>
            <w:vAlign w:val="bottom"/>
          </w:tcPr>
          <w:p>
            <w:pPr>
              <w:pStyle w:val="TableContents"/>
              <w:spacing w:before="0" w:after="0"/>
              <w:ind w:left="200" w:right="0" w:hanging="200"/>
              <w:jc w:val="left"/>
              <w:rPr/>
            </w:pPr>
            <w:r>
              <w:rPr>
                <w:b/>
                <w:sz w:val="17"/>
              </w:rPr>
              <w:t>2006</w:t>
            </w:r>
            <w:r>
              <w:rPr/>
              <w:t xml:space="preserve">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Revenues(2)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8,635.1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4,891.9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4,525.6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4,391.8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22,444.4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Gross margin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103.8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124.0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145.8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115.0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488.6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Operating income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72.0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96.6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112.8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73.3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354.7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6.3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6.3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63.4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80.3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95.4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46.0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285.1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0.73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0.82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0.90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0.37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2.91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0.71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0.81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0.89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0.36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2.88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Cash distributions per common unit(3)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0.688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0.708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0.725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0.750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2.87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pPr>
            <w:r>
              <w:rPr>
                <w:b/>
                <w:sz w:val="17"/>
              </w:rPr>
              <w:t>2005</w:t>
            </w:r>
            <w:r>
              <w:rPr/>
              <w:t xml:space="preserve">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Revenues(2)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6,638.3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7,160.6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8,664.2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8,713.4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31,176.5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Gross margin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69.2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102.1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111.2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95.5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378.0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Operating income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47.1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75.9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84.7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67.1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274.8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32.8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62.3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69.0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53.7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217.8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0.43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0.76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0.81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0.65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2.77 </w:t>
            </w:r>
          </w:p>
        </w:tc>
        <w:tc>
          <w:tcPr>
            <w:tcW w:w="149" w:type="dxa"/>
            <w:tcBorders/>
            <w:shd w:fill="CCEEFF" w:val="clear"/>
            <w:vAlign w:val="bottom"/>
          </w:tcPr>
          <w:p>
            <w:pPr>
              <w:pStyle w:val="TableContents"/>
              <w:spacing w:before="0" w:after="283"/>
              <w:jc w:val="left"/>
              <w:rPr/>
            </w:pPr>
            <w:r>
              <w:rPr/>
              <w:t xml:space="preserve">  </w:t>
            </w:r>
          </w:p>
        </w:tc>
      </w:tr>
      <w:tr>
        <w:trPr/>
        <w:tc>
          <w:tcPr>
            <w:tcW w:w="3267"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3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0.43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0.74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0.79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7" w:type="dxa"/>
            <w:tcBorders/>
            <w:shd w:fill="FFFFFF" w:val="clear"/>
            <w:vAlign w:val="bottom"/>
          </w:tcPr>
          <w:p>
            <w:pPr>
              <w:pStyle w:val="TableContents"/>
              <w:spacing w:before="0" w:after="283"/>
              <w:jc w:val="right"/>
              <w:rPr/>
            </w:pPr>
            <w:r>
              <w:rPr/>
              <w:t xml:space="preserve">0.64 </w:t>
            </w:r>
          </w:p>
        </w:tc>
        <w:tc>
          <w:tcPr>
            <w:tcW w:w="138" w:type="dxa"/>
            <w:tcBorders/>
            <w:shd w:fill="FFFFFF" w:val="clear"/>
            <w:vAlign w:val="bottom"/>
          </w:tcPr>
          <w:p>
            <w:pPr>
              <w:pStyle w:val="TableContents"/>
              <w:spacing w:before="0" w:after="283"/>
              <w:jc w:val="left"/>
              <w:rPr/>
            </w:pPr>
            <w:r>
              <w:rPr/>
              <w:t xml:space="preserve">  </w:t>
            </w:r>
          </w:p>
        </w:tc>
        <w:tc>
          <w:tcPr>
            <w:tcW w:w="181"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t xml:space="preserve">2.72 </w:t>
            </w:r>
          </w:p>
        </w:tc>
        <w:tc>
          <w:tcPr>
            <w:tcW w:w="149" w:type="dxa"/>
            <w:tcBorders/>
            <w:shd w:fill="FFFFFF" w:val="clear"/>
            <w:vAlign w:val="bottom"/>
          </w:tcPr>
          <w:p>
            <w:pPr>
              <w:pStyle w:val="TableContents"/>
              <w:spacing w:before="0" w:after="283"/>
              <w:jc w:val="left"/>
              <w:rPr/>
            </w:pPr>
            <w:r>
              <w:rPr/>
              <w:t xml:space="preserve">  </w:t>
            </w:r>
          </w:p>
        </w:tc>
      </w:tr>
      <w:tr>
        <w:trPr/>
        <w:tc>
          <w:tcPr>
            <w:tcW w:w="3267" w:type="dxa"/>
            <w:tcBorders/>
            <w:shd w:fill="CCEEFF" w:val="clear"/>
            <w:vAlign w:val="bottom"/>
          </w:tcPr>
          <w:p>
            <w:pPr>
              <w:pStyle w:val="TableContents"/>
              <w:spacing w:before="0" w:after="0"/>
              <w:ind w:left="200" w:right="0" w:hanging="200"/>
              <w:jc w:val="left"/>
              <w:rPr>
                <w:sz w:val="17"/>
              </w:rPr>
            </w:pPr>
            <w:r>
              <w:rPr>
                <w:sz w:val="17"/>
              </w:rPr>
              <w:t xml:space="preserve">Cash distributions per common unit(3) </w:t>
            </w:r>
          </w:p>
        </w:tc>
        <w:tc>
          <w:tcPr>
            <w:tcW w:w="13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0.613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0.638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0.650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7" w:type="dxa"/>
            <w:tcBorders/>
            <w:shd w:fill="CCEEFF" w:val="clear"/>
            <w:vAlign w:val="bottom"/>
          </w:tcPr>
          <w:p>
            <w:pPr>
              <w:pStyle w:val="TableContents"/>
              <w:spacing w:before="0" w:after="283"/>
              <w:jc w:val="right"/>
              <w:rPr/>
            </w:pPr>
            <w:r>
              <w:rPr/>
              <w:t xml:space="preserve">0.675 </w:t>
            </w:r>
          </w:p>
        </w:tc>
        <w:tc>
          <w:tcPr>
            <w:tcW w:w="138" w:type="dxa"/>
            <w:tcBorders/>
            <w:shd w:fill="CCEEFF" w:val="clear"/>
            <w:vAlign w:val="bottom"/>
          </w:tcPr>
          <w:p>
            <w:pPr>
              <w:pStyle w:val="TableContents"/>
              <w:spacing w:before="0" w:after="283"/>
              <w:jc w:val="left"/>
              <w:rPr/>
            </w:pPr>
            <w:r>
              <w:rPr/>
              <w:t xml:space="preserve">  </w:t>
            </w:r>
          </w:p>
        </w:tc>
        <w:tc>
          <w:tcPr>
            <w:tcW w:w="181"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2.58 </w:t>
            </w:r>
          </w:p>
        </w:tc>
        <w:tc>
          <w:tcPr>
            <w:tcW w:w="149"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The sum of the four quarters does not equal the total year due to rounding.</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Includes buy/sell transactions. See Note 2.</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Represents cash distributions declared and paid in the applicable period.</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Note 15  Operating Segments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Prior to the fourth quarter of 2006, we managed our operations through two segments. Due to our growth, especially in the facilities portion of our business (most notably in conjunction with the Pacific acquisition), we have revised the manner in which we internally evaluate our segment performance and decide how to allocate resources to our segments. As a result, we now manage our operations through three operating segments: (i) Transportation, (ii) Facilities, and (iii) Marketing. Prior period disclosures have been revised to reflect our change in segments.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evaluate segment performance based on segment profit and maintenance capital. We define segment profit as revenues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The following table reflects certain financial data for each segment for the periods indicated.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497"/>
        <w:gridCol w:w="124"/>
        <w:gridCol w:w="329"/>
        <w:gridCol w:w="1493"/>
        <w:gridCol w:w="142"/>
        <w:gridCol w:w="160"/>
        <w:gridCol w:w="214"/>
        <w:gridCol w:w="893"/>
        <w:gridCol w:w="142"/>
        <w:gridCol w:w="160"/>
        <w:gridCol w:w="219"/>
        <w:gridCol w:w="1065"/>
        <w:gridCol w:w="174"/>
        <w:gridCol w:w="160"/>
        <w:gridCol w:w="214"/>
        <w:gridCol w:w="1036"/>
        <w:gridCol w:w="183"/>
      </w:tblGrid>
      <w:tr>
        <w:trPr/>
        <w:tc>
          <w:tcPr>
            <w:tcW w:w="3497"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329" w:type="dxa"/>
            <w:tcBorders/>
            <w:shd w:fill="FFFFFF" w:val="clear"/>
            <w:vAlign w:val="bottom"/>
          </w:tcPr>
          <w:p>
            <w:pPr>
              <w:pStyle w:val="TableContents"/>
              <w:spacing w:before="0" w:after="283"/>
              <w:jc w:val="right"/>
              <w:rPr/>
            </w:pPr>
            <w:r>
              <w:rPr/>
              <w:t> </w:t>
            </w:r>
          </w:p>
        </w:tc>
        <w:tc>
          <w:tcPr>
            <w:tcW w:w="1493"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893"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jc w:val="right"/>
              <w:rPr/>
            </w:pPr>
            <w:r>
              <w:rPr/>
              <w:t> </w:t>
            </w:r>
          </w:p>
        </w:tc>
        <w:tc>
          <w:tcPr>
            <w:tcW w:w="1065"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1036"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r>
      <w:tr>
        <w:trPr/>
        <w:tc>
          <w:tcPr>
            <w:tcW w:w="3497"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8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8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5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Total</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3497"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6401" w:type="dxa"/>
            <w:gridSpan w:val="14"/>
            <w:tcBorders/>
            <w:shd w:fill="FFFFFF" w:val="clear"/>
            <w:vAlign w:val="bottom"/>
          </w:tcPr>
          <w:p>
            <w:pPr>
              <w:pStyle w:val="TableContents"/>
              <w:spacing w:before="0" w:after="283"/>
              <w:jc w:val="center"/>
              <w:rPr/>
            </w:pPr>
            <w:r>
              <w:rPr>
                <w:b/>
              </w:rPr>
              <w:t>(In millions)</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3497" w:type="dxa"/>
            <w:tcBorders/>
            <w:shd w:fill="FFFFFF" w:val="clear"/>
            <w:vAlign w:val="center"/>
          </w:tcPr>
          <w:p>
            <w:pPr>
              <w:pStyle w:val="TableContents"/>
              <w:spacing w:before="0" w:after="283"/>
              <w:rPr/>
            </w:pPr>
            <w:r>
              <w:rPr/>
              <w:t xml:space="preserve">  </w:t>
            </w:r>
          </w:p>
        </w:tc>
        <w:tc>
          <w:tcPr>
            <w:tcW w:w="6708" w:type="dxa"/>
            <w:gridSpan w:val="16"/>
            <w:tcBorders/>
            <w:shd w:fill="FFFFFF" w:val="clear"/>
          </w:tcPr>
          <w:p>
            <w:pPr>
              <w:pStyle w:val="TableContents"/>
              <w:spacing w:before="0" w:after="283"/>
              <w:rPr>
                <w:sz w:val="4"/>
                <w:szCs w:val="4"/>
              </w:rPr>
            </w:pPr>
            <w:r>
              <w:rPr>
                <w:sz w:val="4"/>
                <w:szCs w:val="4"/>
              </w:rPr>
            </w:r>
          </w:p>
        </w:tc>
      </w:tr>
      <w:tr>
        <w:trPr/>
        <w:tc>
          <w:tcPr>
            <w:tcW w:w="3497" w:type="dxa"/>
            <w:tcBorders/>
            <w:shd w:fill="CCEEFF" w:val="clear"/>
            <w:vAlign w:val="bottom"/>
          </w:tcPr>
          <w:p>
            <w:pPr>
              <w:pStyle w:val="TableContents"/>
              <w:spacing w:before="0" w:after="0"/>
              <w:ind w:left="200" w:right="0" w:hanging="200"/>
              <w:jc w:val="left"/>
              <w:rPr/>
            </w:pPr>
            <w:r>
              <w:rPr>
                <w:b/>
                <w:sz w:val="17"/>
              </w:rPr>
              <w:t>Twelve Months Ended December 31, 2006</w:t>
            </w:r>
            <w:r>
              <w:rPr/>
              <w:t xml:space="preserve">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Revenues: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CCEEFF" w:val="clear"/>
            <w:vAlign w:val="bottom"/>
          </w:tcPr>
          <w:p>
            <w:pPr>
              <w:pStyle w:val="TableContents"/>
              <w:spacing w:before="0" w:after="0"/>
              <w:ind w:left="400" w:right="0" w:hanging="200"/>
              <w:jc w:val="left"/>
              <w:rPr>
                <w:sz w:val="17"/>
              </w:rPr>
            </w:pPr>
            <w:r>
              <w:rPr>
                <w:sz w:val="17"/>
              </w:rPr>
              <w:t xml:space="preserve">External Customers (includes buy/sell revenues of $0, $0, and $4,761.9, respectively)(1)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343.6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40.9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22,059.9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22,444.4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0"/>
              <w:ind w:left="400" w:right="0" w:hanging="200"/>
              <w:jc w:val="left"/>
              <w:rPr>
                <w:sz w:val="17"/>
              </w:rPr>
            </w:pPr>
            <w:r>
              <w:rPr>
                <w:sz w:val="17"/>
              </w:rPr>
              <w:t xml:space="preserve">Intersegment(2)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190.4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46.8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0.9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238.1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800" w:right="0" w:hanging="200"/>
              <w:jc w:val="left"/>
              <w:rPr>
                <w:sz w:val="17"/>
              </w:rPr>
            </w:pPr>
            <w:r>
              <w:rPr>
                <w:sz w:val="17"/>
              </w:rPr>
              <w:t xml:space="preserve">Total revenues of reportable segments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534.0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87.7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22,060.8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22,682.5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Equity in earnings of unconsolidated entities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1.9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5.8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7.7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Segment profit(1)(3)(4)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200.2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34.6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228.0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462.8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Capital expenditures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1,956.9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1,323.6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72.6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3,353.1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Total assets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3,792.9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1,333.0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3,589.0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8,714.9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SFAS 133 impact(1)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(4.4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(4.4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20.0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4.9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3.3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28.2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pPr>
            <w:r>
              <w:rPr>
                <w:b/>
                <w:sz w:val="17"/>
              </w:rPr>
              <w:t>Twelve Months Ended December 31, 2005</w:t>
            </w: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Revenues: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0"/>
              <w:ind w:left="400" w:right="0" w:hanging="200"/>
              <w:jc w:val="left"/>
              <w:rPr>
                <w:sz w:val="17"/>
              </w:rPr>
            </w:pPr>
            <w:r>
              <w:rPr>
                <w:sz w:val="17"/>
              </w:rPr>
              <w:t xml:space="preserve">External Customers (includes buy/sell revenues of $0, $0, and $16,274.9, respectively)(1)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270.2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14.2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30,892.1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31,176.5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CCEEFF" w:val="clear"/>
            <w:vAlign w:val="bottom"/>
          </w:tcPr>
          <w:p>
            <w:pPr>
              <w:pStyle w:val="TableContents"/>
              <w:spacing w:before="0" w:after="0"/>
              <w:ind w:left="400" w:right="0" w:hanging="200"/>
              <w:jc w:val="left"/>
              <w:rPr>
                <w:sz w:val="17"/>
              </w:rPr>
            </w:pPr>
            <w:r>
              <w:rPr>
                <w:sz w:val="17"/>
              </w:rPr>
              <w:t xml:space="preserve">Intersegment(2)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165.0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27.7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0.9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193.6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800" w:right="0" w:hanging="200"/>
              <w:jc w:val="left"/>
              <w:rPr>
                <w:sz w:val="17"/>
              </w:rPr>
            </w:pPr>
            <w:r>
              <w:rPr>
                <w:sz w:val="17"/>
              </w:rPr>
              <w:t xml:space="preserve">Total revenues of reportable segments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435.2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41.9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30,893.0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31,370.1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Equity in earnings of unconsolidated entities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0.8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1.0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1.8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Segment profit(1)(3)(4)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169.5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15.2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175.4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360.1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Capital expenditures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108.5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70.5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15.1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194.1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Total assets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1,858.8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142.5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2,119.0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4,120.3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SFAS 133 impact(1)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(18.9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(18.9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Maintenance capital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8.5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1.1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4.4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14.0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pPr>
            <w:r>
              <w:rPr>
                <w:b/>
                <w:sz w:val="17"/>
              </w:rPr>
              <w:t>Twelve Months Ended December 31, 2004</w:t>
            </w:r>
            <w:r>
              <w:rPr/>
              <w:t xml:space="preserve">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Revenues: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CCEEFF" w:val="clear"/>
            <w:vAlign w:val="bottom"/>
          </w:tcPr>
          <w:p>
            <w:pPr>
              <w:pStyle w:val="TableContents"/>
              <w:spacing w:before="0" w:after="0"/>
              <w:ind w:left="400" w:right="0" w:hanging="200"/>
              <w:jc w:val="left"/>
              <w:rPr>
                <w:sz w:val="17"/>
              </w:rPr>
            </w:pPr>
            <w:r>
              <w:rPr>
                <w:sz w:val="17"/>
              </w:rPr>
              <w:t xml:space="preserve">External Customers (includes buy/sell revenues of $0, $0, and $11,396.8, respectively)(1)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214.2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11.1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20,749.7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20,975.0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0"/>
              <w:ind w:left="400" w:right="0" w:hanging="200"/>
              <w:jc w:val="left"/>
              <w:rPr>
                <w:sz w:val="17"/>
              </w:rPr>
            </w:pPr>
            <w:r>
              <w:rPr>
                <w:sz w:val="17"/>
              </w:rPr>
              <w:t xml:space="preserve">Intersegment(2)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134.7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22.8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1.0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158.5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800" w:right="0" w:hanging="200"/>
              <w:jc w:val="left"/>
              <w:rPr>
                <w:sz w:val="17"/>
              </w:rPr>
            </w:pPr>
            <w:r>
              <w:rPr>
                <w:sz w:val="17"/>
              </w:rPr>
              <w:t xml:space="preserve">Total revenues of reportable segments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348.9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33.9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20,750.7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21,133.5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Equity in earnings of unconsolidated entities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0.5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0.5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Segment profit(1)(3)(4)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149.9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18.2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80.6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248.7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Capital expenditures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522.3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89.3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40.6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652.2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Total assets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1,646.9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104.4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1,409.1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3,160.4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FFFFFF" w:val="clear"/>
            <w:vAlign w:val="bottom"/>
          </w:tcPr>
          <w:p>
            <w:pPr>
              <w:pStyle w:val="TableContents"/>
              <w:spacing w:before="0" w:after="0"/>
              <w:ind w:left="200" w:right="0" w:hanging="200"/>
              <w:jc w:val="left"/>
              <w:rPr>
                <w:sz w:val="17"/>
              </w:rPr>
            </w:pPr>
            <w:r>
              <w:rPr>
                <w:sz w:val="17"/>
              </w:rPr>
              <w:t xml:space="preserve">SFAS 133 impact(1) </w:t>
            </w:r>
          </w:p>
        </w:tc>
        <w:tc>
          <w:tcPr>
            <w:tcW w:w="124"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jc w:val="left"/>
              <w:rPr/>
            </w:pPr>
            <w:r>
              <w:rPr/>
              <w:t xml:space="preserve">$ </w:t>
            </w:r>
          </w:p>
        </w:tc>
        <w:tc>
          <w:tcPr>
            <w:tcW w:w="14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893"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shd w:fill="FFFFFF" w:val="clear"/>
            <w:vAlign w:val="bottom"/>
          </w:tcPr>
          <w:p>
            <w:pPr>
              <w:pStyle w:val="TableContents"/>
              <w:spacing w:before="0" w:after="283"/>
              <w:jc w:val="left"/>
              <w:rPr/>
            </w:pPr>
            <w:r>
              <w:rPr/>
              <w:t xml:space="preserve">$ </w:t>
            </w:r>
          </w:p>
        </w:tc>
        <w:tc>
          <w:tcPr>
            <w:tcW w:w="1065" w:type="dxa"/>
            <w:tcBorders/>
            <w:shd w:fill="FFFFFF" w:val="clear"/>
            <w:vAlign w:val="bottom"/>
          </w:tcPr>
          <w:p>
            <w:pPr>
              <w:pStyle w:val="TableContents"/>
              <w:spacing w:before="0" w:after="283"/>
              <w:jc w:val="right"/>
              <w:rPr/>
            </w:pPr>
            <w:r>
              <w:rPr/>
              <w:t xml:space="preserve">1.0 </w:t>
            </w:r>
          </w:p>
        </w:tc>
        <w:tc>
          <w:tcPr>
            <w:tcW w:w="174"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1036" w:type="dxa"/>
            <w:tcBorders/>
            <w:shd w:fill="FFFFFF" w:val="clear"/>
            <w:vAlign w:val="bottom"/>
          </w:tcPr>
          <w:p>
            <w:pPr>
              <w:pStyle w:val="TableContents"/>
              <w:spacing w:before="0" w:after="283"/>
              <w:jc w:val="right"/>
              <w:rPr/>
            </w:pPr>
            <w:r>
              <w:rPr/>
              <w:t xml:space="preserve">1.0 </w:t>
            </w:r>
          </w:p>
        </w:tc>
        <w:tc>
          <w:tcPr>
            <w:tcW w:w="183" w:type="dxa"/>
            <w:tcBorders/>
            <w:shd w:fill="FFFF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3497" w:type="dxa"/>
            <w:tcBorders/>
            <w:shd w:fill="CCEEFF" w:val="clear"/>
            <w:vAlign w:val="bottom"/>
          </w:tcPr>
          <w:p>
            <w:pPr>
              <w:pStyle w:val="TableContents"/>
              <w:spacing w:before="0" w:after="0"/>
              <w:ind w:left="200" w:right="0" w:hanging="200"/>
              <w:jc w:val="left"/>
              <w:rPr>
                <w:sz w:val="17"/>
              </w:rPr>
            </w:pPr>
            <w:r>
              <w:rPr>
                <w:sz w:val="17"/>
              </w:rPr>
              <w:t xml:space="preserve">Maintenance capital </w:t>
            </w:r>
          </w:p>
        </w:tc>
        <w:tc>
          <w:tcPr>
            <w:tcW w:w="124" w:type="dxa"/>
            <w:tcBorders/>
            <w:shd w:fill="CCEEFF" w:val="clear"/>
            <w:vAlign w:val="bottom"/>
          </w:tcPr>
          <w:p>
            <w:pPr>
              <w:pStyle w:val="TableContents"/>
              <w:spacing w:before="0" w:after="283"/>
              <w:rPr/>
            </w:pPr>
            <w:r>
              <w:rPr/>
              <w:t xml:space="preserve">  </w:t>
            </w:r>
          </w:p>
        </w:tc>
        <w:tc>
          <w:tcPr>
            <w:tcW w:w="329" w:type="dxa"/>
            <w:tcBorders/>
            <w:shd w:fill="CCEEFF" w:val="clear"/>
            <w:vAlign w:val="bottom"/>
          </w:tcPr>
          <w:p>
            <w:pPr>
              <w:pStyle w:val="TableContents"/>
              <w:spacing w:before="0" w:after="283"/>
              <w:jc w:val="left"/>
              <w:rPr/>
            </w:pPr>
            <w:r>
              <w:rPr/>
              <w:t xml:space="preserve">$ </w:t>
            </w:r>
          </w:p>
        </w:tc>
        <w:tc>
          <w:tcPr>
            <w:tcW w:w="1493" w:type="dxa"/>
            <w:tcBorders/>
            <w:shd w:fill="CCEEFF" w:val="clear"/>
            <w:vAlign w:val="bottom"/>
          </w:tcPr>
          <w:p>
            <w:pPr>
              <w:pStyle w:val="TableContents"/>
              <w:spacing w:before="0" w:after="283"/>
              <w:jc w:val="right"/>
              <w:rPr/>
            </w:pPr>
            <w:r>
              <w:rPr/>
              <w:t xml:space="preserve">7.7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893" w:type="dxa"/>
            <w:tcBorders/>
            <w:shd w:fill="CCEEFF" w:val="clear"/>
            <w:vAlign w:val="bottom"/>
          </w:tcPr>
          <w:p>
            <w:pPr>
              <w:pStyle w:val="TableContents"/>
              <w:spacing w:before="0" w:after="283"/>
              <w:jc w:val="right"/>
              <w:rPr/>
            </w:pPr>
            <w:r>
              <w:rPr/>
              <w:t xml:space="preserve">2.0 </w:t>
            </w:r>
          </w:p>
        </w:tc>
        <w:tc>
          <w:tcPr>
            <w:tcW w:w="142"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9" w:type="dxa"/>
            <w:tcBorders/>
            <w:shd w:fill="CCEEFF" w:val="clear"/>
            <w:vAlign w:val="bottom"/>
          </w:tcPr>
          <w:p>
            <w:pPr>
              <w:pStyle w:val="TableContents"/>
              <w:spacing w:before="0" w:after="283"/>
              <w:jc w:val="left"/>
              <w:rPr/>
            </w:pPr>
            <w:r>
              <w:rPr/>
              <w:t xml:space="preserve">$ </w:t>
            </w:r>
          </w:p>
        </w:tc>
        <w:tc>
          <w:tcPr>
            <w:tcW w:w="1065" w:type="dxa"/>
            <w:tcBorders/>
            <w:shd w:fill="CCEEFF" w:val="clear"/>
            <w:vAlign w:val="bottom"/>
          </w:tcPr>
          <w:p>
            <w:pPr>
              <w:pStyle w:val="TableContents"/>
              <w:spacing w:before="0" w:after="283"/>
              <w:jc w:val="right"/>
              <w:rPr/>
            </w:pPr>
            <w:r>
              <w:rPr/>
              <w:t xml:space="preserve">1.6 </w:t>
            </w:r>
          </w:p>
        </w:tc>
        <w:tc>
          <w:tcPr>
            <w:tcW w:w="174"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1036" w:type="dxa"/>
            <w:tcBorders/>
            <w:shd w:fill="CCEEFF" w:val="clear"/>
            <w:vAlign w:val="bottom"/>
          </w:tcPr>
          <w:p>
            <w:pPr>
              <w:pStyle w:val="TableContents"/>
              <w:spacing w:before="0" w:after="283"/>
              <w:jc w:val="right"/>
              <w:rPr/>
            </w:pPr>
            <w:r>
              <w:rPr/>
              <w:t xml:space="preserve">11.3 </w:t>
            </w:r>
          </w:p>
        </w:tc>
        <w:tc>
          <w:tcPr>
            <w:tcW w:w="183" w:type="dxa"/>
            <w:tcBorders/>
            <w:shd w:fill="CCEEFF" w:val="clear"/>
            <w:vAlign w:val="bottom"/>
          </w:tcPr>
          <w:p>
            <w:pPr>
              <w:pStyle w:val="TableContents"/>
              <w:spacing w:before="0" w:after="283"/>
              <w:jc w:val="left"/>
              <w:rPr/>
            </w:pPr>
            <w:r>
              <w:rPr/>
              <w:t xml:space="preserve">  </w:t>
            </w:r>
          </w:p>
        </w:tc>
      </w:tr>
      <w:tr>
        <w:trPr/>
        <w:tc>
          <w:tcPr>
            <w:tcW w:w="3497"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rPr/>
            </w:pPr>
            <w:r>
              <w:rPr/>
              <w:t xml:space="preserve">  </w:t>
            </w:r>
          </w:p>
        </w:tc>
        <w:tc>
          <w:tcPr>
            <w:tcW w:w="32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2"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6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12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NOTES TO THE CONSOLIDATED FINANCIAL STATEMENTS  (Continued)</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Amounts related to SFAS 133 are included in marketing revenues and impact segment profit.</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Intersegment sales are conducted at arms length.</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Marketing segment profit includes interest expense on contango inventory purchases of $49.2 million, $23.7 million, and $2.0 million for the twelve months ended December 31, 2006, 2005 and 2004, respectively.</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rPr/>
            </w:pPr>
            <w:r>
              <w:rPr/>
              <w:t xml:space="preserve">(4)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The following table reconciles segment profit to consolidated income before cumulative effect of change in accounting principle (in millions):</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161"/>
        <w:gridCol w:w="186"/>
        <w:gridCol w:w="202"/>
        <w:gridCol w:w="816"/>
        <w:gridCol w:w="173"/>
        <w:gridCol w:w="260"/>
        <w:gridCol w:w="202"/>
        <w:gridCol w:w="694"/>
        <w:gridCol w:w="173"/>
        <w:gridCol w:w="260"/>
        <w:gridCol w:w="202"/>
        <w:gridCol w:w="693"/>
        <w:gridCol w:w="183"/>
      </w:tblGrid>
      <w:tr>
        <w:trPr/>
        <w:tc>
          <w:tcPr>
            <w:tcW w:w="6161"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816"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94"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c>
          <w:tcPr>
            <w:tcW w:w="2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693"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r>
      <w:tr>
        <w:trPr/>
        <w:tc>
          <w:tcPr>
            <w:tcW w:w="6161"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367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6161" w:type="dxa"/>
            <w:tcBorders/>
            <w:shd w:fill="FFFFFF" w:val="clear"/>
            <w:vAlign w:val="bottom"/>
          </w:tcPr>
          <w:p>
            <w:pPr>
              <w:pStyle w:val="TableContents"/>
              <w:spacing w:before="0" w:after="283"/>
              <w:jc w:val="center"/>
              <w:rPr/>
            </w:pPr>
            <w:r>
              <w:rPr/>
              <w:t xml:space="preserve">  </w:t>
            </w:r>
          </w:p>
        </w:tc>
        <w:tc>
          <w:tcPr>
            <w:tcW w:w="186" w:type="dxa"/>
            <w:tcBorders/>
            <w:shd w:fill="FFFFFF" w:val="clear"/>
            <w:vAlign w:val="bottom"/>
          </w:tcPr>
          <w:p>
            <w:pPr>
              <w:pStyle w:val="TableContents"/>
              <w:spacing w:before="0" w:after="283"/>
              <w:jc w:val="center"/>
              <w:rPr/>
            </w:pPr>
            <w:r>
              <w:rPr/>
              <w:t xml:space="preserve">  </w:t>
            </w:r>
          </w:p>
        </w:tc>
        <w:tc>
          <w:tcPr>
            <w:tcW w:w="101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60" w:type="dxa"/>
            <w:tcBorders/>
            <w:shd w:fill="FFFFFF" w:val="clear"/>
            <w:vAlign w:val="bottom"/>
          </w:tcPr>
          <w:p>
            <w:pPr>
              <w:pStyle w:val="TableContents"/>
              <w:spacing w:before="0" w:after="283"/>
              <w:jc w:val="center"/>
              <w:rPr/>
            </w:pPr>
            <w:r>
              <w:rPr/>
              <w:t xml:space="preserve">  </w:t>
            </w:r>
          </w:p>
        </w:tc>
        <w:tc>
          <w:tcPr>
            <w:tcW w:w="8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3" w:type="dxa"/>
            <w:tcBorders/>
            <w:shd w:fill="FFFFFF" w:val="clear"/>
            <w:vAlign w:val="bottom"/>
          </w:tcPr>
          <w:p>
            <w:pPr>
              <w:pStyle w:val="TableContents"/>
              <w:spacing w:before="0" w:after="283"/>
              <w:jc w:val="center"/>
              <w:rPr/>
            </w:pPr>
            <w:r>
              <w:rPr/>
              <w:t xml:space="preserve">  </w:t>
            </w:r>
          </w:p>
        </w:tc>
        <w:tc>
          <w:tcPr>
            <w:tcW w:w="260" w:type="dxa"/>
            <w:tcBorders/>
            <w:shd w:fill="FFFFFF" w:val="clear"/>
            <w:vAlign w:val="bottom"/>
          </w:tcPr>
          <w:p>
            <w:pPr>
              <w:pStyle w:val="TableContents"/>
              <w:spacing w:before="0" w:after="283"/>
              <w:jc w:val="center"/>
              <w:rPr/>
            </w:pPr>
            <w:r>
              <w:rPr/>
              <w:t xml:space="preserve">  </w:t>
            </w:r>
          </w:p>
        </w:tc>
        <w:tc>
          <w:tcPr>
            <w:tcW w:w="89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83" w:type="dxa"/>
            <w:tcBorders/>
            <w:shd w:fill="FFFFFF" w:val="clear"/>
            <w:vAlign w:val="bottom"/>
          </w:tcPr>
          <w:p>
            <w:pPr>
              <w:pStyle w:val="TableContents"/>
              <w:spacing w:before="0" w:after="283"/>
              <w:jc w:val="center"/>
              <w:rPr/>
            </w:pPr>
            <w:r>
              <w:rPr/>
              <w:t xml:space="preserve">  </w:t>
            </w:r>
          </w:p>
        </w:tc>
      </w:tr>
      <w:tr>
        <w:trPr/>
        <w:tc>
          <w:tcPr>
            <w:tcW w:w="6161" w:type="dxa"/>
            <w:tcBorders/>
            <w:shd w:fill="FFFFFF" w:val="clear"/>
            <w:vAlign w:val="center"/>
          </w:tcPr>
          <w:p>
            <w:pPr>
              <w:pStyle w:val="TableContents"/>
              <w:spacing w:before="0" w:after="283"/>
              <w:rPr/>
            </w:pPr>
            <w:r>
              <w:rPr/>
              <w:t xml:space="preserve">  </w:t>
            </w:r>
          </w:p>
        </w:tc>
        <w:tc>
          <w:tcPr>
            <w:tcW w:w="4044" w:type="dxa"/>
            <w:gridSpan w:val="12"/>
            <w:tcBorders/>
            <w:shd w:fill="FFFFFF" w:val="clear"/>
          </w:tcPr>
          <w:p>
            <w:pPr>
              <w:pStyle w:val="TableContents"/>
              <w:spacing w:before="0" w:after="283"/>
              <w:rPr>
                <w:sz w:val="4"/>
                <w:szCs w:val="4"/>
              </w:rPr>
            </w:pPr>
            <w:r>
              <w:rPr>
                <w:sz w:val="4"/>
                <w:szCs w:val="4"/>
              </w:rPr>
            </w:r>
          </w:p>
        </w:tc>
      </w:tr>
      <w:tr>
        <w:trPr/>
        <w:tc>
          <w:tcPr>
            <w:tcW w:w="6161" w:type="dxa"/>
            <w:tcBorders/>
            <w:shd w:fill="CCEEFF" w:val="clear"/>
            <w:vAlign w:val="bottom"/>
          </w:tcPr>
          <w:p>
            <w:pPr>
              <w:pStyle w:val="TableContents"/>
              <w:spacing w:before="0" w:after="0"/>
              <w:ind w:left="200" w:right="0" w:hanging="200"/>
              <w:jc w:val="left"/>
              <w:rPr>
                <w:sz w:val="17"/>
              </w:rPr>
            </w:pPr>
            <w:r>
              <w:rPr>
                <w:sz w:val="17"/>
              </w:rPr>
              <w:t xml:space="preserve">Segment profit </w:t>
            </w:r>
          </w:p>
        </w:tc>
        <w:tc>
          <w:tcPr>
            <w:tcW w:w="18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16" w:type="dxa"/>
            <w:tcBorders/>
            <w:shd w:fill="CCEEFF" w:val="clear"/>
            <w:vAlign w:val="bottom"/>
          </w:tcPr>
          <w:p>
            <w:pPr>
              <w:pStyle w:val="TableContents"/>
              <w:spacing w:before="0" w:after="283"/>
              <w:jc w:val="right"/>
              <w:rPr/>
            </w:pPr>
            <w:r>
              <w:rPr/>
              <w:t xml:space="preserve">462.8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360.1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248.7 </w:t>
            </w:r>
          </w:p>
        </w:tc>
        <w:tc>
          <w:tcPr>
            <w:tcW w:w="183" w:type="dxa"/>
            <w:tcBorders/>
            <w:shd w:fill="CCEEFF" w:val="clear"/>
            <w:vAlign w:val="bottom"/>
          </w:tcPr>
          <w:p>
            <w:pPr>
              <w:pStyle w:val="TableContents"/>
              <w:spacing w:before="0" w:after="283"/>
              <w:jc w:val="left"/>
              <w:rPr/>
            </w:pPr>
            <w:r>
              <w:rPr/>
              <w:t xml:space="preserve">  </w:t>
            </w:r>
          </w:p>
        </w:tc>
      </w:tr>
      <w:tr>
        <w:trPr/>
        <w:tc>
          <w:tcPr>
            <w:tcW w:w="6161"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8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16" w:type="dxa"/>
            <w:tcBorders/>
            <w:shd w:fill="FFFFFF" w:val="clear"/>
            <w:vAlign w:val="bottom"/>
          </w:tcPr>
          <w:p>
            <w:pPr>
              <w:pStyle w:val="TableContents"/>
              <w:spacing w:before="0" w:after="283"/>
              <w:jc w:val="right"/>
              <w:rPr/>
            </w:pPr>
            <w:r>
              <w:rPr/>
              <w:t xml:space="preserve">(100.4 </w:t>
            </w:r>
          </w:p>
        </w:tc>
        <w:tc>
          <w:tcPr>
            <w:tcW w:w="173"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(83.5 </w:t>
            </w:r>
          </w:p>
        </w:tc>
        <w:tc>
          <w:tcPr>
            <w:tcW w:w="173"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(68.7 </w:t>
            </w:r>
          </w:p>
        </w:tc>
        <w:tc>
          <w:tcPr>
            <w:tcW w:w="183" w:type="dxa"/>
            <w:tcBorders/>
            <w:shd w:fill="FFFFFF" w:val="clear"/>
            <w:vAlign w:val="bottom"/>
          </w:tcPr>
          <w:p>
            <w:pPr>
              <w:pStyle w:val="TableContents"/>
              <w:spacing w:before="0" w:after="283"/>
              <w:jc w:val="left"/>
              <w:rPr/>
            </w:pPr>
            <w:r>
              <w:rPr/>
              <w:t xml:space="preserve">) </w:t>
            </w:r>
          </w:p>
        </w:tc>
      </w:tr>
      <w:tr>
        <w:trPr/>
        <w:tc>
          <w:tcPr>
            <w:tcW w:w="6161"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18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16" w:type="dxa"/>
            <w:tcBorders/>
            <w:shd w:fill="CCEEFF" w:val="clear"/>
            <w:vAlign w:val="bottom"/>
          </w:tcPr>
          <w:p>
            <w:pPr>
              <w:pStyle w:val="TableContents"/>
              <w:spacing w:before="0" w:after="283"/>
              <w:jc w:val="right"/>
              <w:rPr/>
            </w:pPr>
            <w:r>
              <w:rPr/>
              <w:t xml:space="preserve">(85.6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(59.4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(46.7 </w:t>
            </w:r>
          </w:p>
        </w:tc>
        <w:tc>
          <w:tcPr>
            <w:tcW w:w="183" w:type="dxa"/>
            <w:tcBorders/>
            <w:shd w:fill="CCEEFF" w:val="clear"/>
            <w:vAlign w:val="bottom"/>
          </w:tcPr>
          <w:p>
            <w:pPr>
              <w:pStyle w:val="TableContents"/>
              <w:spacing w:before="0" w:after="283"/>
              <w:jc w:val="left"/>
              <w:rPr/>
            </w:pPr>
            <w:r>
              <w:rPr/>
              <w:t xml:space="preserve">) </w:t>
            </w:r>
          </w:p>
        </w:tc>
      </w:tr>
      <w:tr>
        <w:trPr/>
        <w:tc>
          <w:tcPr>
            <w:tcW w:w="6161" w:type="dxa"/>
            <w:tcBorders/>
            <w:shd w:fill="FFFFFF" w:val="clear"/>
            <w:vAlign w:val="bottom"/>
          </w:tcPr>
          <w:p>
            <w:pPr>
              <w:pStyle w:val="TableContents"/>
              <w:spacing w:before="0" w:after="0"/>
              <w:ind w:left="200" w:right="0" w:hanging="200"/>
              <w:jc w:val="left"/>
              <w:rPr>
                <w:sz w:val="17"/>
              </w:rPr>
            </w:pPr>
            <w:r>
              <w:rPr>
                <w:sz w:val="17"/>
              </w:rPr>
              <w:t xml:space="preserve">Interest income and other, net </w:t>
            </w:r>
          </w:p>
        </w:tc>
        <w:tc>
          <w:tcPr>
            <w:tcW w:w="186"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816" w:type="dxa"/>
            <w:tcBorders/>
            <w:shd w:fill="FFFFFF" w:val="clear"/>
            <w:vAlign w:val="bottom"/>
          </w:tcPr>
          <w:p>
            <w:pPr>
              <w:pStyle w:val="TableContents"/>
              <w:spacing w:before="0" w:after="283"/>
              <w:jc w:val="right"/>
              <w:rPr/>
            </w:pPr>
            <w:r>
              <w:rPr/>
              <w:t xml:space="preserve">2.0 </w:t>
            </w:r>
          </w:p>
        </w:tc>
        <w:tc>
          <w:tcPr>
            <w:tcW w:w="173"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4" w:type="dxa"/>
            <w:tcBorders/>
            <w:shd w:fill="FFFFFF" w:val="clear"/>
            <w:vAlign w:val="bottom"/>
          </w:tcPr>
          <w:p>
            <w:pPr>
              <w:pStyle w:val="TableContents"/>
              <w:spacing w:before="0" w:after="283"/>
              <w:jc w:val="right"/>
              <w:rPr/>
            </w:pPr>
            <w:r>
              <w:rPr/>
              <w:t xml:space="preserve">0.6 </w:t>
            </w:r>
          </w:p>
        </w:tc>
        <w:tc>
          <w:tcPr>
            <w:tcW w:w="173" w:type="dxa"/>
            <w:tcBorders/>
            <w:shd w:fill="FFFFFF" w:val="clear"/>
            <w:vAlign w:val="bottom"/>
          </w:tcPr>
          <w:p>
            <w:pPr>
              <w:pStyle w:val="TableContents"/>
              <w:spacing w:before="0" w:after="283"/>
              <w:jc w:val="left"/>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693" w:type="dxa"/>
            <w:tcBorders/>
            <w:shd w:fill="FFFFFF" w:val="clear"/>
            <w:vAlign w:val="bottom"/>
          </w:tcPr>
          <w:p>
            <w:pPr>
              <w:pStyle w:val="TableContents"/>
              <w:spacing w:before="0" w:after="283"/>
              <w:jc w:val="right"/>
              <w:rPr/>
            </w:pPr>
            <w:r>
              <w:rPr/>
              <w:t xml:space="preserve">(0.2 </w:t>
            </w:r>
          </w:p>
        </w:tc>
        <w:tc>
          <w:tcPr>
            <w:tcW w:w="183" w:type="dxa"/>
            <w:tcBorders/>
            <w:shd w:fill="FFFFFF" w:val="clear"/>
            <w:vAlign w:val="bottom"/>
          </w:tcPr>
          <w:p>
            <w:pPr>
              <w:pStyle w:val="TableContents"/>
              <w:spacing w:before="0" w:after="283"/>
              <w:jc w:val="left"/>
              <w:rPr/>
            </w:pPr>
            <w:r>
              <w:rPr/>
              <w:t xml:space="preserve">) </w:t>
            </w:r>
          </w:p>
        </w:tc>
      </w:tr>
      <w:tr>
        <w:trPr/>
        <w:tc>
          <w:tcPr>
            <w:tcW w:w="6161"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r>
        <w:trPr/>
        <w:tc>
          <w:tcPr>
            <w:tcW w:w="6161" w:type="dxa"/>
            <w:tcBorders/>
            <w:shd w:fill="CCEE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86"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816" w:type="dxa"/>
            <w:tcBorders/>
            <w:shd w:fill="CCEEFF" w:val="clear"/>
            <w:vAlign w:val="bottom"/>
          </w:tcPr>
          <w:p>
            <w:pPr>
              <w:pStyle w:val="TableContents"/>
              <w:spacing w:before="0" w:after="283"/>
              <w:jc w:val="right"/>
              <w:rPr/>
            </w:pPr>
            <w:r>
              <w:rPr/>
              <w:t xml:space="preserve">278.8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4" w:type="dxa"/>
            <w:tcBorders/>
            <w:shd w:fill="CCEEFF" w:val="clear"/>
            <w:vAlign w:val="bottom"/>
          </w:tcPr>
          <w:p>
            <w:pPr>
              <w:pStyle w:val="TableContents"/>
              <w:spacing w:before="0" w:after="283"/>
              <w:jc w:val="right"/>
              <w:rPr/>
            </w:pPr>
            <w:r>
              <w:rPr/>
              <w:t xml:space="preserve">217.8 </w:t>
            </w:r>
          </w:p>
        </w:tc>
        <w:tc>
          <w:tcPr>
            <w:tcW w:w="173" w:type="dxa"/>
            <w:tcBorders/>
            <w:shd w:fill="CCEEFF" w:val="clear"/>
            <w:vAlign w:val="bottom"/>
          </w:tcPr>
          <w:p>
            <w:pPr>
              <w:pStyle w:val="TableContents"/>
              <w:spacing w:before="0" w:after="283"/>
              <w:jc w:val="left"/>
              <w:rPr/>
            </w:pPr>
            <w:r>
              <w:rPr/>
              <w:t xml:space="preserve">  </w:t>
            </w:r>
          </w:p>
        </w:tc>
        <w:tc>
          <w:tcPr>
            <w:tcW w:w="260"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693" w:type="dxa"/>
            <w:tcBorders/>
            <w:shd w:fill="CCEEFF" w:val="clear"/>
            <w:vAlign w:val="bottom"/>
          </w:tcPr>
          <w:p>
            <w:pPr>
              <w:pStyle w:val="TableContents"/>
              <w:spacing w:before="0" w:after="283"/>
              <w:jc w:val="right"/>
              <w:rPr/>
            </w:pPr>
            <w:r>
              <w:rPr/>
              <w:t xml:space="preserve">133.1 </w:t>
            </w:r>
          </w:p>
        </w:tc>
        <w:tc>
          <w:tcPr>
            <w:tcW w:w="183" w:type="dxa"/>
            <w:tcBorders/>
            <w:shd w:fill="CCEEFF" w:val="clear"/>
            <w:vAlign w:val="bottom"/>
          </w:tcPr>
          <w:p>
            <w:pPr>
              <w:pStyle w:val="TableContents"/>
              <w:spacing w:before="0" w:after="283"/>
              <w:jc w:val="left"/>
              <w:rPr/>
            </w:pPr>
            <w:r>
              <w:rPr/>
              <w:t xml:space="preserve">  </w:t>
            </w:r>
          </w:p>
        </w:tc>
      </w:tr>
      <w:tr>
        <w:trPr/>
        <w:tc>
          <w:tcPr>
            <w:tcW w:w="6161"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3" w:type="dxa"/>
            <w:tcBorders/>
            <w:shd w:fill="FFFFFF" w:val="clear"/>
            <w:vAlign w:val="bottom"/>
          </w:tcPr>
          <w:p>
            <w:pPr>
              <w:pStyle w:val="TableContents"/>
              <w:spacing w:before="0" w:after="283"/>
              <w:rPr/>
            </w:pPr>
            <w:r>
              <w:rPr/>
              <w:t xml:space="preserve">  </w:t>
            </w:r>
          </w:p>
        </w:tc>
        <w:tc>
          <w:tcPr>
            <w:tcW w:w="260"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3"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Geographic Data</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operations in the United States and Canada. Set forth below are revenues and long lived assets attributable to these geographic areas (in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71"/>
        <w:gridCol w:w="182"/>
        <w:gridCol w:w="200"/>
        <w:gridCol w:w="1096"/>
        <w:gridCol w:w="149"/>
        <w:gridCol w:w="254"/>
        <w:gridCol w:w="200"/>
        <w:gridCol w:w="1096"/>
        <w:gridCol w:w="149"/>
        <w:gridCol w:w="254"/>
        <w:gridCol w:w="200"/>
        <w:gridCol w:w="1096"/>
        <w:gridCol w:w="158"/>
      </w:tblGrid>
      <w:tr>
        <w:trPr/>
        <w:tc>
          <w:tcPr>
            <w:tcW w:w="5171"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96"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25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96"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25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1096"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r>
      <w:tr>
        <w:trPr/>
        <w:tc>
          <w:tcPr>
            <w:tcW w:w="5171" w:type="dxa"/>
            <w:tcBorders/>
            <w:shd w:fill="FFFFFF" w:val="clear"/>
            <w:vAlign w:val="bottom"/>
          </w:tcPr>
          <w:p>
            <w:pPr>
              <w:pStyle w:val="TableContents"/>
              <w:spacing w:before="0" w:after="283"/>
              <w:jc w:val="center"/>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4694"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For the Year Ended December 31,</w:t>
            </w:r>
            <w:r>
              <w:rPr/>
              <w:t xml:space="preserve"> </w:t>
            </w:r>
          </w:p>
        </w:tc>
        <w:tc>
          <w:tcPr>
            <w:tcW w:w="158" w:type="dxa"/>
            <w:tcBorders/>
            <w:shd w:fill="FFFFFF" w:val="clear"/>
            <w:vAlign w:val="bottom"/>
          </w:tcPr>
          <w:p>
            <w:pPr>
              <w:pStyle w:val="TableContents"/>
              <w:spacing w:before="0" w:after="283"/>
              <w:jc w:val="center"/>
              <w:rPr/>
            </w:pPr>
            <w:r>
              <w:rPr/>
              <w:t xml:space="preserve">  </w:t>
            </w:r>
          </w:p>
        </w:tc>
      </w:tr>
      <w:tr>
        <w:trPr/>
        <w:tc>
          <w:tcPr>
            <w:tcW w:w="5171" w:type="dxa"/>
            <w:tcBorders/>
            <w:shd w:fill="FFFFFF" w:val="clear"/>
            <w:vAlign w:val="bottom"/>
          </w:tcPr>
          <w:p>
            <w:pPr>
              <w:pStyle w:val="TableContents"/>
              <w:spacing w:before="0" w:after="283"/>
              <w:jc w:val="center"/>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12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254" w:type="dxa"/>
            <w:tcBorders/>
            <w:shd w:fill="FFFFFF" w:val="clear"/>
            <w:vAlign w:val="bottom"/>
          </w:tcPr>
          <w:p>
            <w:pPr>
              <w:pStyle w:val="TableContents"/>
              <w:spacing w:before="0" w:after="283"/>
              <w:jc w:val="center"/>
              <w:rPr/>
            </w:pPr>
            <w:r>
              <w:rPr/>
              <w:t xml:space="preserve">  </w:t>
            </w:r>
          </w:p>
        </w:tc>
        <w:tc>
          <w:tcPr>
            <w:tcW w:w="12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9" w:type="dxa"/>
            <w:tcBorders/>
            <w:shd w:fill="FFFFFF" w:val="clear"/>
            <w:vAlign w:val="bottom"/>
          </w:tcPr>
          <w:p>
            <w:pPr>
              <w:pStyle w:val="TableContents"/>
              <w:spacing w:before="0" w:after="283"/>
              <w:jc w:val="center"/>
              <w:rPr/>
            </w:pPr>
            <w:r>
              <w:rPr/>
              <w:t xml:space="preserve">  </w:t>
            </w:r>
          </w:p>
        </w:tc>
        <w:tc>
          <w:tcPr>
            <w:tcW w:w="254" w:type="dxa"/>
            <w:tcBorders/>
            <w:shd w:fill="FFFFFF" w:val="clear"/>
            <w:vAlign w:val="bottom"/>
          </w:tcPr>
          <w:p>
            <w:pPr>
              <w:pStyle w:val="TableContents"/>
              <w:spacing w:before="0" w:after="283"/>
              <w:jc w:val="center"/>
              <w:rPr/>
            </w:pPr>
            <w:r>
              <w:rPr/>
              <w:t xml:space="preserve">  </w:t>
            </w:r>
          </w:p>
        </w:tc>
        <w:tc>
          <w:tcPr>
            <w:tcW w:w="129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58" w:type="dxa"/>
            <w:tcBorders/>
            <w:shd w:fill="FFFFFF" w:val="clear"/>
            <w:vAlign w:val="bottom"/>
          </w:tcPr>
          <w:p>
            <w:pPr>
              <w:pStyle w:val="TableContents"/>
              <w:spacing w:before="0" w:after="283"/>
              <w:jc w:val="center"/>
              <w:rPr/>
            </w:pPr>
            <w:r>
              <w:rPr/>
              <w:t xml:space="preserve">  </w:t>
            </w:r>
          </w:p>
        </w:tc>
      </w:tr>
      <w:tr>
        <w:trPr/>
        <w:tc>
          <w:tcPr>
            <w:tcW w:w="5171" w:type="dxa"/>
            <w:tcBorders/>
            <w:shd w:fill="FFFFFF" w:val="clear"/>
            <w:vAlign w:val="center"/>
          </w:tcPr>
          <w:p>
            <w:pPr>
              <w:pStyle w:val="TableContents"/>
              <w:spacing w:before="0" w:after="283"/>
              <w:rPr/>
            </w:pPr>
            <w:r>
              <w:rPr/>
              <w:t xml:space="preserve">  </w:t>
            </w:r>
          </w:p>
        </w:tc>
        <w:tc>
          <w:tcPr>
            <w:tcW w:w="5034" w:type="dxa"/>
            <w:gridSpan w:val="12"/>
            <w:tcBorders/>
            <w:shd w:fill="FFFFFF" w:val="clear"/>
          </w:tcPr>
          <w:p>
            <w:pPr>
              <w:pStyle w:val="TableContents"/>
              <w:spacing w:before="0" w:after="283"/>
              <w:rPr>
                <w:sz w:val="4"/>
                <w:szCs w:val="4"/>
              </w:rPr>
            </w:pPr>
            <w:r>
              <w:rPr>
                <w:sz w:val="4"/>
                <w:szCs w:val="4"/>
              </w:rPr>
            </w:r>
          </w:p>
        </w:tc>
      </w:tr>
      <w:tr>
        <w:trPr/>
        <w:tc>
          <w:tcPr>
            <w:tcW w:w="5171" w:type="dxa"/>
            <w:tcBorders/>
            <w:shd w:fill="CCEEFF" w:val="clear"/>
            <w:vAlign w:val="bottom"/>
          </w:tcPr>
          <w:p>
            <w:pPr>
              <w:pStyle w:val="TableContents"/>
              <w:spacing w:before="0" w:after="0"/>
              <w:ind w:left="200" w:right="0" w:hanging="200"/>
              <w:jc w:val="left"/>
              <w:rPr/>
            </w:pPr>
            <w:r>
              <w:rPr>
                <w:b/>
                <w:sz w:val="17"/>
              </w:rPr>
              <w:t>Revenues</w:t>
            </w:r>
            <w:r>
              <w:rPr/>
              <w:t xml:space="preserve"> </w:t>
            </w:r>
          </w:p>
        </w:tc>
        <w:tc>
          <w:tcPr>
            <w:tcW w:w="182"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  </w:t>
            </w:r>
          </w:p>
        </w:tc>
        <w:tc>
          <w:tcPr>
            <w:tcW w:w="149"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  </w:t>
            </w:r>
          </w:p>
        </w:tc>
        <w:tc>
          <w:tcPr>
            <w:tcW w:w="149"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  </w:t>
            </w:r>
          </w:p>
        </w:tc>
        <w:tc>
          <w:tcPr>
            <w:tcW w:w="158" w:type="dxa"/>
            <w:tcBorders/>
            <w:shd w:fill="CCEEFF" w:val="clear"/>
            <w:vAlign w:val="bottom"/>
          </w:tcPr>
          <w:p>
            <w:pPr>
              <w:pStyle w:val="TableContents"/>
              <w:spacing w:before="0" w:after="283"/>
              <w:jc w:val="left"/>
              <w:rPr/>
            </w:pPr>
            <w:r>
              <w:rPr/>
              <w:t xml:space="preserve">  </w:t>
            </w:r>
          </w:p>
        </w:tc>
      </w:tr>
      <w:tr>
        <w:trPr/>
        <w:tc>
          <w:tcPr>
            <w:tcW w:w="5171" w:type="dxa"/>
            <w:tcBorders/>
            <w:shd w:fill="FFFFFF" w:val="clear"/>
            <w:vAlign w:val="bottom"/>
          </w:tcPr>
          <w:p>
            <w:pPr>
              <w:pStyle w:val="TableContents"/>
              <w:spacing w:before="0" w:after="0"/>
              <w:ind w:left="200" w:right="0" w:hanging="200"/>
              <w:jc w:val="left"/>
              <w:rPr>
                <w:sz w:val="17"/>
              </w:rPr>
            </w:pPr>
            <w:r>
              <w:rPr>
                <w:sz w:val="17"/>
              </w:rPr>
              <w:t xml:space="preserve">United States (includes buy/sell revenues of $4,169.5, $14,749.0, and $10,164.6, respectively) </w:t>
            </w:r>
          </w:p>
        </w:tc>
        <w:tc>
          <w:tcPr>
            <w:tcW w:w="182"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18,118.0 </w:t>
            </w:r>
          </w:p>
        </w:tc>
        <w:tc>
          <w:tcPr>
            <w:tcW w:w="149"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26,198.9 </w:t>
            </w:r>
          </w:p>
        </w:tc>
        <w:tc>
          <w:tcPr>
            <w:tcW w:w="149"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17,499.0 </w:t>
            </w:r>
          </w:p>
        </w:tc>
        <w:tc>
          <w:tcPr>
            <w:tcW w:w="158" w:type="dxa"/>
            <w:tcBorders/>
            <w:shd w:fill="FFFFFF" w:val="clear"/>
            <w:vAlign w:val="bottom"/>
          </w:tcPr>
          <w:p>
            <w:pPr>
              <w:pStyle w:val="TableContents"/>
              <w:spacing w:before="0" w:after="283"/>
              <w:jc w:val="left"/>
              <w:rPr/>
            </w:pPr>
            <w:r>
              <w:rPr/>
              <w:t xml:space="preserve">  </w:t>
            </w:r>
          </w:p>
        </w:tc>
      </w:tr>
      <w:tr>
        <w:trPr/>
        <w:tc>
          <w:tcPr>
            <w:tcW w:w="5171" w:type="dxa"/>
            <w:tcBorders/>
            <w:shd w:fill="CCEEFF" w:val="clear"/>
            <w:vAlign w:val="bottom"/>
          </w:tcPr>
          <w:p>
            <w:pPr>
              <w:pStyle w:val="TableContents"/>
              <w:spacing w:before="0" w:after="0"/>
              <w:ind w:left="200" w:right="0" w:hanging="200"/>
              <w:jc w:val="left"/>
              <w:rPr>
                <w:sz w:val="17"/>
              </w:rPr>
            </w:pPr>
            <w:r>
              <w:rPr>
                <w:sz w:val="17"/>
              </w:rPr>
              <w:t xml:space="preserve">Canada (includes buy/sell revenues of $592.4, $1,525.9, and $1,232.2, respectively) </w:t>
            </w:r>
          </w:p>
        </w:tc>
        <w:tc>
          <w:tcPr>
            <w:tcW w:w="182"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4,326.4 </w:t>
            </w:r>
          </w:p>
        </w:tc>
        <w:tc>
          <w:tcPr>
            <w:tcW w:w="149"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4,977.6 </w:t>
            </w:r>
          </w:p>
        </w:tc>
        <w:tc>
          <w:tcPr>
            <w:tcW w:w="149" w:type="dxa"/>
            <w:tcBorders/>
            <w:shd w:fill="CCEEFF" w:val="clear"/>
            <w:vAlign w:val="bottom"/>
          </w:tcPr>
          <w:p>
            <w:pPr>
              <w:pStyle w:val="TableContents"/>
              <w:spacing w:before="0" w:after="283"/>
              <w:jc w:val="left"/>
              <w:rPr/>
            </w:pPr>
            <w:r>
              <w:rPr/>
              <w:t xml:space="preserve">  </w:t>
            </w:r>
          </w:p>
        </w:tc>
        <w:tc>
          <w:tcPr>
            <w:tcW w:w="25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pPr>
            <w:r>
              <w:rPr/>
              <w:t xml:space="preserve">3,476.0 </w:t>
            </w:r>
          </w:p>
        </w:tc>
        <w:tc>
          <w:tcPr>
            <w:tcW w:w="158" w:type="dxa"/>
            <w:tcBorders/>
            <w:shd w:fill="CCEEFF" w:val="clear"/>
            <w:vAlign w:val="bottom"/>
          </w:tcPr>
          <w:p>
            <w:pPr>
              <w:pStyle w:val="TableContents"/>
              <w:spacing w:before="0" w:after="283"/>
              <w:jc w:val="left"/>
              <w:rPr/>
            </w:pPr>
            <w:r>
              <w:rPr/>
              <w:t xml:space="preserve">  </w:t>
            </w:r>
          </w:p>
        </w:tc>
      </w:tr>
      <w:tr>
        <w:trPr/>
        <w:tc>
          <w:tcPr>
            <w:tcW w:w="5171"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r>
      <w:tr>
        <w:trPr/>
        <w:tc>
          <w:tcPr>
            <w:tcW w:w="5171" w:type="dxa"/>
            <w:tcBorders/>
            <w:shd w:fill="FFFFFF" w:val="clear"/>
            <w:vAlign w:val="bottom"/>
          </w:tcPr>
          <w:p>
            <w:pPr>
              <w:pStyle w:val="TableContents"/>
              <w:spacing w:before="0" w:after="283"/>
              <w:jc w:val="left"/>
              <w:rPr/>
            </w:pPr>
            <w:r>
              <w:rPr/>
              <w:t xml:space="preserve">  </w:t>
            </w:r>
          </w:p>
        </w:tc>
        <w:tc>
          <w:tcPr>
            <w:tcW w:w="182"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22,444.4 </w:t>
            </w:r>
          </w:p>
        </w:tc>
        <w:tc>
          <w:tcPr>
            <w:tcW w:w="149"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31,176.5 </w:t>
            </w:r>
          </w:p>
        </w:tc>
        <w:tc>
          <w:tcPr>
            <w:tcW w:w="149" w:type="dxa"/>
            <w:tcBorders/>
            <w:shd w:fill="FFFFFF" w:val="clear"/>
            <w:vAlign w:val="bottom"/>
          </w:tcPr>
          <w:p>
            <w:pPr>
              <w:pStyle w:val="TableContents"/>
              <w:spacing w:before="0" w:after="283"/>
              <w:jc w:val="left"/>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pPr>
            <w:r>
              <w:rPr/>
              <w:t xml:space="preserve">20,975.0 </w:t>
            </w:r>
          </w:p>
        </w:tc>
        <w:tc>
          <w:tcPr>
            <w:tcW w:w="158" w:type="dxa"/>
            <w:tcBorders/>
            <w:shd w:fill="FFFFFF" w:val="clear"/>
            <w:vAlign w:val="bottom"/>
          </w:tcPr>
          <w:p>
            <w:pPr>
              <w:pStyle w:val="TableContents"/>
              <w:spacing w:before="0" w:after="283"/>
              <w:jc w:val="left"/>
              <w:rPr/>
            </w:pPr>
            <w:r>
              <w:rPr/>
              <w:t xml:space="preserve">  </w:t>
            </w:r>
          </w:p>
        </w:tc>
      </w:tr>
      <w:tr>
        <w:trPr/>
        <w:tc>
          <w:tcPr>
            <w:tcW w:w="5171" w:type="dxa"/>
            <w:tcBorders/>
            <w:shd w:fill="FFFFFF" w:val="clear"/>
            <w:vAlign w:val="bottom"/>
          </w:tcPr>
          <w:p>
            <w:pPr>
              <w:pStyle w:val="TableContents"/>
              <w:spacing w:before="0" w:after="283"/>
              <w:rPr/>
            </w:pPr>
            <w:r>
              <w:rPr/>
              <w:t xml:space="preserve">  </w:t>
            </w:r>
          </w:p>
        </w:tc>
        <w:tc>
          <w:tcPr>
            <w:tcW w:w="182"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9"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0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7056"/>
        <w:gridCol w:w="199"/>
        <w:gridCol w:w="202"/>
        <w:gridCol w:w="975"/>
        <w:gridCol w:w="154"/>
        <w:gridCol w:w="281"/>
        <w:gridCol w:w="202"/>
        <w:gridCol w:w="975"/>
        <w:gridCol w:w="161"/>
      </w:tblGrid>
      <w:tr>
        <w:trPr/>
        <w:tc>
          <w:tcPr>
            <w:tcW w:w="7056" w:type="dxa"/>
            <w:tcBorders/>
            <w:shd w:fill="FFFFFF" w:val="clear"/>
            <w:vAlign w:val="bottom"/>
          </w:tcPr>
          <w:p>
            <w:pPr>
              <w:pStyle w:val="TableContents"/>
              <w:spacing w:before="0" w:after="283"/>
              <w:rPr/>
            </w:pPr>
            <w:r>
              <w:rPr/>
              <w:t> </w:t>
            </w:r>
          </w:p>
        </w:tc>
        <w:tc>
          <w:tcPr>
            <w:tcW w:w="199"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975"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left"/>
              <w:rPr/>
            </w:pPr>
            <w:r>
              <w:rPr/>
              <w:t> </w:t>
            </w:r>
          </w:p>
        </w:tc>
        <w:tc>
          <w:tcPr>
            <w:tcW w:w="28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right"/>
              <w:rPr/>
            </w:pPr>
            <w:r>
              <w:rPr/>
              <w:t> </w:t>
            </w:r>
          </w:p>
        </w:tc>
        <w:tc>
          <w:tcPr>
            <w:tcW w:w="97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r>
      <w:tr>
        <w:trPr/>
        <w:tc>
          <w:tcPr>
            <w:tcW w:w="705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789" w:type="dxa"/>
            <w:gridSpan w:val="6"/>
            <w:tcBorders/>
            <w:shd w:fill="FFFFFF" w:val="clear"/>
            <w:vAlign w:val="bottom"/>
          </w:tcPr>
          <w:p>
            <w:pPr>
              <w:pStyle w:val="TableContents"/>
              <w:spacing w:before="0" w:after="283"/>
              <w:jc w:val="center"/>
              <w:rPr>
                <w:b/>
              </w:rPr>
            </w:pPr>
            <w:r>
              <w:rPr>
                <w:b/>
              </w:rPr>
              <w:t>For the Year Ended</w:t>
            </w:r>
          </w:p>
        </w:tc>
        <w:tc>
          <w:tcPr>
            <w:tcW w:w="161" w:type="dxa"/>
            <w:tcBorders/>
            <w:shd w:fill="FFFFFF" w:val="clear"/>
            <w:vAlign w:val="bottom"/>
          </w:tcPr>
          <w:p>
            <w:pPr>
              <w:pStyle w:val="TableContents"/>
              <w:spacing w:before="0" w:after="283"/>
              <w:jc w:val="center"/>
              <w:rPr/>
            </w:pPr>
            <w:r>
              <w:rPr/>
              <w:t xml:space="preserve">  </w:t>
            </w:r>
          </w:p>
        </w:tc>
      </w:tr>
      <w:tr>
        <w:trPr/>
        <w:tc>
          <w:tcPr>
            <w:tcW w:w="705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2789"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61" w:type="dxa"/>
            <w:tcBorders/>
            <w:shd w:fill="FFFFFF" w:val="clear"/>
            <w:vAlign w:val="bottom"/>
          </w:tcPr>
          <w:p>
            <w:pPr>
              <w:pStyle w:val="TableContents"/>
              <w:spacing w:before="0" w:after="283"/>
              <w:jc w:val="center"/>
              <w:rPr/>
            </w:pPr>
            <w:r>
              <w:rPr/>
              <w:t xml:space="preserve">  </w:t>
            </w:r>
          </w:p>
        </w:tc>
      </w:tr>
      <w:tr>
        <w:trPr/>
        <w:tc>
          <w:tcPr>
            <w:tcW w:w="7056" w:type="dxa"/>
            <w:tcBorders/>
            <w:shd w:fill="FFFFFF" w:val="clear"/>
            <w:vAlign w:val="bottom"/>
          </w:tcPr>
          <w:p>
            <w:pPr>
              <w:pStyle w:val="TableContents"/>
              <w:spacing w:before="0" w:after="283"/>
              <w:jc w:val="center"/>
              <w:rPr/>
            </w:pPr>
            <w:r>
              <w:rPr/>
              <w:t xml:space="preserve">  </w:t>
            </w:r>
          </w:p>
        </w:tc>
        <w:tc>
          <w:tcPr>
            <w:tcW w:w="199" w:type="dxa"/>
            <w:tcBorders/>
            <w:shd w:fill="FFFFFF" w:val="clear"/>
            <w:vAlign w:val="bottom"/>
          </w:tcPr>
          <w:p>
            <w:pPr>
              <w:pStyle w:val="TableContents"/>
              <w:spacing w:before="0" w:after="283"/>
              <w:jc w:val="center"/>
              <w:rPr/>
            </w:pPr>
            <w:r>
              <w:rPr/>
              <w:t xml:space="preserve">  </w:t>
            </w:r>
          </w:p>
        </w:tc>
        <w:tc>
          <w:tcPr>
            <w:tcW w:w="117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4"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117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1" w:type="dxa"/>
            <w:tcBorders/>
            <w:shd w:fill="FFFFFF" w:val="clear"/>
            <w:vAlign w:val="bottom"/>
          </w:tcPr>
          <w:p>
            <w:pPr>
              <w:pStyle w:val="TableContents"/>
              <w:spacing w:before="0" w:after="283"/>
              <w:jc w:val="center"/>
              <w:rPr/>
            </w:pPr>
            <w:r>
              <w:rPr/>
              <w:t xml:space="preserve">  </w:t>
            </w:r>
          </w:p>
        </w:tc>
      </w:tr>
      <w:tr>
        <w:trPr/>
        <w:tc>
          <w:tcPr>
            <w:tcW w:w="7056" w:type="dxa"/>
            <w:tcBorders/>
            <w:shd w:fill="FFFFFF" w:val="clear"/>
            <w:vAlign w:val="center"/>
          </w:tcPr>
          <w:p>
            <w:pPr>
              <w:pStyle w:val="TableContents"/>
              <w:spacing w:before="0" w:after="283"/>
              <w:rPr/>
            </w:pPr>
            <w:r>
              <w:rPr/>
              <w:t xml:space="preserve">  </w:t>
            </w:r>
          </w:p>
        </w:tc>
        <w:tc>
          <w:tcPr>
            <w:tcW w:w="3149" w:type="dxa"/>
            <w:gridSpan w:val="8"/>
            <w:tcBorders/>
            <w:shd w:fill="FFFFFF" w:val="clear"/>
          </w:tcPr>
          <w:p>
            <w:pPr>
              <w:pStyle w:val="TableContents"/>
              <w:spacing w:before="0" w:after="283"/>
              <w:rPr>
                <w:sz w:val="4"/>
                <w:szCs w:val="4"/>
              </w:rPr>
            </w:pPr>
            <w:r>
              <w:rPr>
                <w:sz w:val="4"/>
                <w:szCs w:val="4"/>
              </w:rPr>
            </w:r>
          </w:p>
        </w:tc>
      </w:tr>
      <w:tr>
        <w:trPr/>
        <w:tc>
          <w:tcPr>
            <w:tcW w:w="7056" w:type="dxa"/>
            <w:tcBorders/>
            <w:shd w:fill="CCEEFF" w:val="clear"/>
            <w:vAlign w:val="bottom"/>
          </w:tcPr>
          <w:p>
            <w:pPr>
              <w:pStyle w:val="TableContents"/>
              <w:spacing w:before="0" w:after="0"/>
              <w:ind w:left="200" w:right="0" w:hanging="200"/>
              <w:jc w:val="left"/>
              <w:rPr/>
            </w:pPr>
            <w:r>
              <w:rPr>
                <w:b/>
                <w:sz w:val="17"/>
              </w:rPr>
              <w:t>Long-Lived Assets</w:t>
            </w:r>
            <w:r>
              <w:rPr/>
              <w:t xml:space="preserve"> </w:t>
            </w:r>
          </w:p>
        </w:tc>
        <w:tc>
          <w:tcPr>
            <w:tcW w:w="199"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75" w:type="dxa"/>
            <w:tcBorders/>
            <w:shd w:fill="CCEEFF" w:val="clear"/>
            <w:vAlign w:val="bottom"/>
          </w:tcPr>
          <w:p>
            <w:pPr>
              <w:pStyle w:val="TableContents"/>
              <w:spacing w:before="0" w:after="283"/>
              <w:jc w:val="right"/>
              <w:rPr/>
            </w:pPr>
            <w:r>
              <w:rPr/>
              <w:t xml:space="preserve">  </w:t>
            </w:r>
          </w:p>
        </w:tc>
        <w:tc>
          <w:tcPr>
            <w:tcW w:w="154"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75" w:type="dxa"/>
            <w:tcBorders/>
            <w:shd w:fill="CCEEFF" w:val="clear"/>
            <w:vAlign w:val="bottom"/>
          </w:tcPr>
          <w:p>
            <w:pPr>
              <w:pStyle w:val="TableContents"/>
              <w:spacing w:before="0" w:after="283"/>
              <w:jc w:val="right"/>
              <w:rPr/>
            </w:pPr>
            <w:r>
              <w:rPr/>
              <w:t xml:space="preserve">  </w:t>
            </w:r>
          </w:p>
        </w:tc>
        <w:tc>
          <w:tcPr>
            <w:tcW w:w="161" w:type="dxa"/>
            <w:tcBorders/>
            <w:shd w:fill="CCEEFF" w:val="clear"/>
            <w:vAlign w:val="bottom"/>
          </w:tcPr>
          <w:p>
            <w:pPr>
              <w:pStyle w:val="TableContents"/>
              <w:spacing w:before="0" w:after="283"/>
              <w:jc w:val="left"/>
              <w:rPr/>
            </w:pPr>
            <w:r>
              <w:rPr/>
              <w:t xml:space="preserve">  </w:t>
            </w:r>
          </w:p>
        </w:tc>
      </w:tr>
      <w:tr>
        <w:trPr/>
        <w:tc>
          <w:tcPr>
            <w:tcW w:w="7056" w:type="dxa"/>
            <w:tcBorders/>
            <w:shd w:fill="FFFFFF" w:val="clear"/>
            <w:vAlign w:val="bottom"/>
          </w:tcPr>
          <w:p>
            <w:pPr>
              <w:pStyle w:val="TableContents"/>
              <w:spacing w:before="0" w:after="0"/>
              <w:ind w:left="200" w:right="0" w:hanging="200"/>
              <w:jc w:val="left"/>
              <w:rPr>
                <w:sz w:val="17"/>
              </w:rPr>
            </w:pPr>
            <w:r>
              <w:rPr>
                <w:sz w:val="17"/>
              </w:rPr>
              <w:t xml:space="preserve">United States </w:t>
            </w:r>
          </w:p>
        </w:tc>
        <w:tc>
          <w:tcPr>
            <w:tcW w:w="199"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75" w:type="dxa"/>
            <w:tcBorders/>
            <w:shd w:fill="FFFFFF" w:val="clear"/>
            <w:vAlign w:val="bottom"/>
          </w:tcPr>
          <w:p>
            <w:pPr>
              <w:pStyle w:val="TableContents"/>
              <w:spacing w:before="0" w:after="283"/>
              <w:jc w:val="right"/>
              <w:rPr/>
            </w:pPr>
            <w:r>
              <w:rPr/>
              <w:t xml:space="preserve">4,947.9 </w:t>
            </w:r>
          </w:p>
        </w:tc>
        <w:tc>
          <w:tcPr>
            <w:tcW w:w="154"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75" w:type="dxa"/>
            <w:tcBorders/>
            <w:shd w:fill="FFFFFF" w:val="clear"/>
            <w:vAlign w:val="bottom"/>
          </w:tcPr>
          <w:p>
            <w:pPr>
              <w:pStyle w:val="TableContents"/>
              <w:spacing w:before="0" w:after="283"/>
              <w:jc w:val="right"/>
              <w:rPr/>
            </w:pPr>
            <w:r>
              <w:rPr/>
              <w:t xml:space="preserve">1,887.0 </w:t>
            </w:r>
          </w:p>
        </w:tc>
        <w:tc>
          <w:tcPr>
            <w:tcW w:w="161" w:type="dxa"/>
            <w:tcBorders/>
            <w:shd w:fill="FFFFFF" w:val="clear"/>
            <w:vAlign w:val="bottom"/>
          </w:tcPr>
          <w:p>
            <w:pPr>
              <w:pStyle w:val="TableContents"/>
              <w:spacing w:before="0" w:after="283"/>
              <w:jc w:val="left"/>
              <w:rPr/>
            </w:pPr>
            <w:r>
              <w:rPr/>
              <w:t xml:space="preserve">  </w:t>
            </w:r>
          </w:p>
        </w:tc>
      </w:tr>
      <w:tr>
        <w:trPr/>
        <w:tc>
          <w:tcPr>
            <w:tcW w:w="7056" w:type="dxa"/>
            <w:tcBorders/>
            <w:shd w:fill="CCEEFF" w:val="clear"/>
            <w:vAlign w:val="bottom"/>
          </w:tcPr>
          <w:p>
            <w:pPr>
              <w:pStyle w:val="TableContents"/>
              <w:spacing w:before="0" w:after="0"/>
              <w:ind w:left="200" w:right="0" w:hanging="200"/>
              <w:jc w:val="left"/>
              <w:rPr>
                <w:sz w:val="17"/>
              </w:rPr>
            </w:pPr>
            <w:r>
              <w:rPr>
                <w:sz w:val="17"/>
              </w:rPr>
              <w:t xml:space="preserve">Canada </w:t>
            </w:r>
          </w:p>
        </w:tc>
        <w:tc>
          <w:tcPr>
            <w:tcW w:w="199"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75" w:type="dxa"/>
            <w:tcBorders/>
            <w:shd w:fill="CCEEFF" w:val="clear"/>
            <w:vAlign w:val="bottom"/>
          </w:tcPr>
          <w:p>
            <w:pPr>
              <w:pStyle w:val="TableContents"/>
              <w:spacing w:before="0" w:after="283"/>
              <w:jc w:val="right"/>
              <w:rPr/>
            </w:pPr>
            <w:r>
              <w:rPr/>
              <w:t xml:space="preserve">600.4 </w:t>
            </w:r>
          </w:p>
        </w:tc>
        <w:tc>
          <w:tcPr>
            <w:tcW w:w="154"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02" w:type="dxa"/>
            <w:tcBorders/>
            <w:shd w:fill="CCEEFF" w:val="clear"/>
            <w:vAlign w:val="bottom"/>
          </w:tcPr>
          <w:p>
            <w:pPr>
              <w:pStyle w:val="TableContents"/>
              <w:spacing w:before="0" w:after="283"/>
              <w:jc w:val="left"/>
              <w:rPr/>
            </w:pPr>
            <w:r>
              <w:rPr/>
              <w:t xml:space="preserve">  </w:t>
            </w:r>
          </w:p>
        </w:tc>
        <w:tc>
          <w:tcPr>
            <w:tcW w:w="975" w:type="dxa"/>
            <w:tcBorders/>
            <w:shd w:fill="CCEEFF" w:val="clear"/>
            <w:vAlign w:val="bottom"/>
          </w:tcPr>
          <w:p>
            <w:pPr>
              <w:pStyle w:val="TableContents"/>
              <w:spacing w:before="0" w:after="283"/>
              <w:jc w:val="right"/>
              <w:rPr/>
            </w:pPr>
            <w:r>
              <w:rPr/>
              <w:t xml:space="preserve">422.5 </w:t>
            </w:r>
          </w:p>
        </w:tc>
        <w:tc>
          <w:tcPr>
            <w:tcW w:w="161" w:type="dxa"/>
            <w:tcBorders/>
            <w:shd w:fill="CCEEFF" w:val="clear"/>
            <w:vAlign w:val="bottom"/>
          </w:tcPr>
          <w:p>
            <w:pPr>
              <w:pStyle w:val="TableContents"/>
              <w:spacing w:before="0" w:after="283"/>
              <w:jc w:val="left"/>
              <w:rPr/>
            </w:pPr>
            <w:r>
              <w:rPr/>
              <w:t xml:space="preserve">  </w:t>
            </w:r>
          </w:p>
        </w:tc>
      </w:tr>
      <w:tr>
        <w:trPr/>
        <w:tc>
          <w:tcPr>
            <w:tcW w:w="7056"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r>
        <w:trPr/>
        <w:tc>
          <w:tcPr>
            <w:tcW w:w="7056" w:type="dxa"/>
            <w:tcBorders/>
            <w:shd w:fill="FFFFFF" w:val="clear"/>
            <w:vAlign w:val="bottom"/>
          </w:tcPr>
          <w:p>
            <w:pPr>
              <w:pStyle w:val="TableContents"/>
              <w:spacing w:before="0" w:after="283"/>
              <w:jc w:val="left"/>
              <w:rPr/>
            </w:pPr>
            <w:r>
              <w:rPr/>
              <w:t xml:space="preserve">  </w:t>
            </w:r>
          </w:p>
        </w:tc>
        <w:tc>
          <w:tcPr>
            <w:tcW w:w="199"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75" w:type="dxa"/>
            <w:tcBorders/>
            <w:shd w:fill="FFFFFF" w:val="clear"/>
            <w:vAlign w:val="bottom"/>
          </w:tcPr>
          <w:p>
            <w:pPr>
              <w:pStyle w:val="TableContents"/>
              <w:spacing w:before="0" w:after="283"/>
              <w:jc w:val="right"/>
              <w:rPr/>
            </w:pPr>
            <w:r>
              <w:rPr/>
              <w:t xml:space="preserve">5,548.3 </w:t>
            </w:r>
          </w:p>
        </w:tc>
        <w:tc>
          <w:tcPr>
            <w:tcW w:w="154"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02" w:type="dxa"/>
            <w:tcBorders/>
            <w:shd w:fill="FFFFFF" w:val="clear"/>
            <w:vAlign w:val="bottom"/>
          </w:tcPr>
          <w:p>
            <w:pPr>
              <w:pStyle w:val="TableContents"/>
              <w:spacing w:before="0" w:after="283"/>
              <w:jc w:val="left"/>
              <w:rPr/>
            </w:pPr>
            <w:r>
              <w:rPr/>
              <w:t xml:space="preserve">$ </w:t>
            </w:r>
          </w:p>
        </w:tc>
        <w:tc>
          <w:tcPr>
            <w:tcW w:w="975" w:type="dxa"/>
            <w:tcBorders/>
            <w:shd w:fill="FFFFFF" w:val="clear"/>
            <w:vAlign w:val="bottom"/>
          </w:tcPr>
          <w:p>
            <w:pPr>
              <w:pStyle w:val="TableContents"/>
              <w:spacing w:before="0" w:after="283"/>
              <w:jc w:val="right"/>
              <w:rPr/>
            </w:pPr>
            <w:r>
              <w:rPr/>
              <w:t xml:space="preserve">2,309.5 </w:t>
            </w:r>
          </w:p>
        </w:tc>
        <w:tc>
          <w:tcPr>
            <w:tcW w:w="161" w:type="dxa"/>
            <w:tcBorders/>
            <w:shd w:fill="FFFFFF" w:val="clear"/>
            <w:vAlign w:val="bottom"/>
          </w:tcPr>
          <w:p>
            <w:pPr>
              <w:pStyle w:val="TableContents"/>
              <w:spacing w:before="0" w:after="283"/>
              <w:jc w:val="left"/>
              <w:rPr/>
            </w:pPr>
            <w:r>
              <w:rPr/>
              <w:t xml:space="preserve">  </w:t>
            </w:r>
          </w:p>
        </w:tc>
      </w:tr>
      <w:tr>
        <w:trPr/>
        <w:tc>
          <w:tcPr>
            <w:tcW w:w="7056" w:type="dxa"/>
            <w:tcBorders/>
            <w:shd w:fill="FFFFFF" w:val="clear"/>
            <w:vAlign w:val="bottom"/>
          </w:tcPr>
          <w:p>
            <w:pPr>
              <w:pStyle w:val="TableContents"/>
              <w:spacing w:before="0" w:after="283"/>
              <w:rPr/>
            </w:pPr>
            <w:r>
              <w:rPr/>
              <w:t xml:space="preserve">  </w:t>
            </w:r>
          </w:p>
        </w:tc>
        <w:tc>
          <w:tcPr>
            <w:tcW w:w="199"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1" w:type="dxa"/>
            <w:tcBorders/>
            <w:shd w:fill="FFFFFF" w:val="clear"/>
            <w:vAlign w:val="bottom"/>
          </w:tcPr>
          <w:p>
            <w:pPr>
              <w:pStyle w:val="TableContents"/>
              <w:spacing w:before="0" w:after="283"/>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F-54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EXHIBIT INDEX</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24"/>
        <w:gridCol w:w="202"/>
        <w:gridCol w:w="673"/>
        <w:gridCol w:w="123"/>
        <w:gridCol w:w="291"/>
        <w:gridCol w:w="123"/>
        <w:gridCol w:w="8369"/>
      </w:tblGrid>
      <w:tr>
        <w:trPr/>
        <w:tc>
          <w:tcPr>
            <w:tcW w:w="424"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67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pPr>
            <w:r>
              <w:rPr/>
              <w:t>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Amended and Restated Agreement of Limited Partnership of Plains All American Pipeline, L.P., dated as of June 27, 2001 (incorporated by reference to Exhibit 3.1 to Form 8-K filed August 27, 2001).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.2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Amendment No. 1 dated as of April 15, 2004 to the Third Amended and Restated Agreement of Limited Partnership of Plains All American Pipeline, L.P. (incorporated by reference to Exhibit 3.1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.3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Amended and Restated Agreement of Limited Partnership of Plains Marketing, L.P. dated as of April 1, 2004 (incorporated by reference to Exhibit 3.2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.4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Amended and Restated Agreement of Limited Partnership of Plains Pipeline, L.P. dated as of April 1, 2004 (incorporated by reference to Exhibit 3.3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.5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Certificate of Incorporation of PAA Finance Corp. (incorporated by reference to Exhibit 3.6 to the Registration Statement on Form S-3 filed August 27, 2001).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Bylaws of PAA Finance Corp. (incorporated by reference to Exhibit 3.7 to the Registration Statement on Form S-3 filed August 27, 2001).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Amended and Restated Limited Liability Company Agreement of Plains All American GP LLC, dated September 12, 2005 (incorporated by reference to Exhibit 3.1 to the Current Report on Form 8-K filed September 16,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.8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Amended and Restated Limited Partnership Agreement of Plains AAP, L.P., dated September 12, 2005 (incorporated by reference to Exhibit 3.2 to the Current Report on Form 8-K filed September 16,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.9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Amendment No. 2 dated November 15, 2006 to Third Amended and Restated Agreement of Limited Partnership of Plains All American Pipeline, L.P. (incorporated by reference to Exhibit 3.1 to the Current Report on Form 8-K filed November 21,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.10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Certificate of Incorporation of Pacific Energy Finance Corporation.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3 </w:t>
            </w:r>
          </w:p>
        </w:tc>
        <w:tc>
          <w:tcPr>
            <w:tcW w:w="673" w:type="dxa"/>
            <w:tcBorders/>
            <w:shd w:fill="FFFFFF" w:val="clear"/>
          </w:tcPr>
          <w:p>
            <w:pPr>
              <w:pStyle w:val="TableContents"/>
              <w:spacing w:before="0" w:after="283"/>
              <w:jc w:val="left"/>
              <w:rPr/>
            </w:pPr>
            <w:r>
              <w:rPr/>
              <w:t xml:space="preserve">.11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Bylaws of Pacific Energy Finance Corporation.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the Quarterly Report on Form 10-Q for the quarter ended September 30, 2002).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.2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.3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.4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.5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Class C Common Unit Purchase Agreement by and among Plains All American Pipeline, L.P., Kayne Anderson Energy Fund II, L.P., KAFU Holdings, L.P., Kayne Anderson Capital Income Partners, L.P., Kayne Anderson MLP Fund, L.L.P., Tortoise Energy Infrastructure Corporation and Vulcan Energy II Inc. dated March 31, 2004 (incorporated by reference to Exhibit 4.2 to the Quarterly Report on Form 10-Q for the quarter ended March 31,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4.1 to the Quarterly Report on Form 10-Q for the quarter ended March 31, 2004).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24"/>
        <w:gridCol w:w="202"/>
        <w:gridCol w:w="673"/>
        <w:gridCol w:w="123"/>
        <w:gridCol w:w="291"/>
        <w:gridCol w:w="123"/>
        <w:gridCol w:w="8369"/>
      </w:tblGrid>
      <w:tr>
        <w:trPr/>
        <w:tc>
          <w:tcPr>
            <w:tcW w:w="424"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673"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291"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pPr>
            <w:r>
              <w:rPr/>
              <w:t>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.8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.9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as of May 12, 2006, to Indenture, dated as of September 25, 2002, among Plains All American Pipeline, L.P., PAA Finance Corp. and subsidiary guarantors signatory thereto and Wachovia Bank, National Association, as trustee (incorporated by reference to Exhibit 4.1 to the Current Report on Form 8-K filed May 12,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.10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as trustee (incorporated by reference to Exhibit 4.3 to the Current Report on Form 8-K filed May 12,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.11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as trustee (incorporated by reference to Exhibit 4.1 to the Current Report on Form 8-K filed August 25,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.12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424"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673"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291"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369"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28"/>
        <w:gridCol w:w="202"/>
        <w:gridCol w:w="575"/>
        <w:gridCol w:w="124"/>
        <w:gridCol w:w="293"/>
        <w:gridCol w:w="124"/>
        <w:gridCol w:w="8459"/>
      </w:tblGrid>
      <w:tr>
        <w:trPr/>
        <w:tc>
          <w:tcPr>
            <w:tcW w:w="42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right"/>
              <w:rPr/>
            </w:pPr>
            <w:r>
              <w:rPr/>
              <w:t> </w:t>
            </w:r>
          </w:p>
        </w:tc>
        <w:tc>
          <w:tcPr>
            <w:tcW w:w="57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29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459" w:type="dxa"/>
            <w:tcBorders/>
            <w:shd w:fill="FFFFFF" w:val="clear"/>
            <w:vAlign w:val="bottom"/>
          </w:tcPr>
          <w:p>
            <w:pPr>
              <w:pStyle w:val="TableContents"/>
              <w:spacing w:before="0" w:after="283"/>
              <w:rPr/>
            </w:pPr>
            <w:r>
              <w:rPr/>
              <w:t>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.18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.19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.20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.21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Registration Rights Agreement dated as of July 26, 2006 among Plains All American Pipeline, L.P., Vulcan Capital Private Equity I LLC, Kayne Anderson MLP Investment Company and Kayne Anderson Energy Total Return Fund, Inc. (incorporated by reference to Exhibit 4.13 to the Quarterly Report on Form 10-Q for the quarter ended September 30, 2006).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.22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Registration Rights Agreement dated as of December 19, 2006 among Plains All American Pipeline, L.P., E-Holdings III, L.P., E-Holdings V, L.P., Kayne Anderson MLP Investment Company and Kayne Anderson Energy Development Company (incorporated by reference to Exhibit 4.6 to the Registration Statement on Form S-3/A, File No, 333-138888). </w:t>
            </w:r>
          </w:p>
        </w:tc>
      </w:tr>
      <w:tr>
        <w:trPr/>
        <w:tc>
          <w:tcPr>
            <w:tcW w:w="428" w:type="dxa"/>
            <w:tcBorders/>
            <w:shd w:fill="FFFFFF" w:val="clear"/>
          </w:tcPr>
          <w:p>
            <w:pPr>
              <w:pStyle w:val="TableContents"/>
              <w:spacing w:before="0" w:after="283"/>
              <w:jc w:val="right"/>
              <w:rPr/>
            </w:pPr>
            <w:r>
              <w:rPr/>
              <w:t xml:space="preserve">  </w:t>
            </w:r>
          </w:p>
        </w:tc>
        <w:tc>
          <w:tcPr>
            <w:tcW w:w="202" w:type="dxa"/>
            <w:tcBorders/>
            <w:shd w:fill="FFFFFF" w:val="clear"/>
          </w:tcPr>
          <w:p>
            <w:pPr>
              <w:pStyle w:val="TableContents"/>
              <w:spacing w:before="0" w:after="283"/>
              <w:jc w:val="right"/>
              <w:rPr/>
            </w:pPr>
            <w:r>
              <w:rPr/>
              <w:t xml:space="preserve">4 </w:t>
            </w:r>
          </w:p>
        </w:tc>
        <w:tc>
          <w:tcPr>
            <w:tcW w:w="575" w:type="dxa"/>
            <w:tcBorders/>
            <w:shd w:fill="FFFFFF" w:val="clear"/>
          </w:tcPr>
          <w:p>
            <w:pPr>
              <w:pStyle w:val="TableContents"/>
              <w:spacing w:before="0" w:after="283"/>
              <w:jc w:val="left"/>
              <w:rPr/>
            </w:pPr>
            <w:r>
              <w:rPr/>
              <w:t xml:space="preserve">.23 </w:t>
            </w:r>
          </w:p>
        </w:tc>
        <w:tc>
          <w:tcPr>
            <w:tcW w:w="124" w:type="dxa"/>
            <w:tcBorders/>
            <w:shd w:fill="FFFFFF" w:val="clear"/>
            <w:vAlign w:val="bottom"/>
          </w:tcPr>
          <w:p>
            <w:pPr>
              <w:pStyle w:val="TableContents"/>
              <w:spacing w:before="0" w:after="283"/>
              <w:rPr/>
            </w:pPr>
            <w:r>
              <w:rPr/>
              <w:t xml:space="preserve">  </w:t>
            </w:r>
          </w:p>
        </w:tc>
        <w:tc>
          <w:tcPr>
            <w:tcW w:w="29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459"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15"/>
        <w:gridCol w:w="324"/>
        <w:gridCol w:w="797"/>
        <w:gridCol w:w="127"/>
        <w:gridCol w:w="314"/>
        <w:gridCol w:w="127"/>
        <w:gridCol w:w="8101"/>
      </w:tblGrid>
      <w:tr>
        <w:trPr/>
        <w:tc>
          <w:tcPr>
            <w:tcW w:w="415" w:type="dxa"/>
            <w:tcBorders/>
            <w:shd w:fill="FFFFFF" w:val="clear"/>
            <w:vAlign w:val="bottom"/>
          </w:tcPr>
          <w:p>
            <w:pPr>
              <w:pStyle w:val="TableContents"/>
              <w:spacing w:before="0" w:after="283"/>
              <w:jc w:val="right"/>
              <w:rPr/>
            </w:pPr>
            <w:r>
              <w:rPr/>
              <w:t> </w:t>
            </w:r>
          </w:p>
        </w:tc>
        <w:tc>
          <w:tcPr>
            <w:tcW w:w="324" w:type="dxa"/>
            <w:tcBorders/>
            <w:shd w:fill="FFFFFF" w:val="clear"/>
            <w:vAlign w:val="bottom"/>
          </w:tcPr>
          <w:p>
            <w:pPr>
              <w:pStyle w:val="TableContents"/>
              <w:spacing w:before="0" w:after="283"/>
              <w:jc w:val="right"/>
              <w:rPr/>
            </w:pPr>
            <w:r>
              <w:rPr/>
              <w:t> </w:t>
            </w:r>
          </w:p>
        </w:tc>
        <w:tc>
          <w:tcPr>
            <w:tcW w:w="79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8101" w:type="dxa"/>
            <w:tcBorders/>
            <w:shd w:fill="FFFFFF" w:val="clear"/>
            <w:vAlign w:val="bottom"/>
          </w:tcPr>
          <w:p>
            <w:pPr>
              <w:pStyle w:val="TableContents"/>
              <w:spacing w:before="0" w:after="283"/>
              <w:rPr/>
            </w:pPr>
            <w:r>
              <w:rPr/>
              <w:t>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4 </w:t>
            </w:r>
          </w:p>
        </w:tc>
        <w:tc>
          <w:tcPr>
            <w:tcW w:w="797" w:type="dxa"/>
            <w:tcBorders/>
            <w:shd w:fill="FFFFFF" w:val="clear"/>
          </w:tcPr>
          <w:p>
            <w:pPr>
              <w:pStyle w:val="TableContents"/>
              <w:spacing w:before="0" w:after="283"/>
              <w:jc w:val="left"/>
              <w:rPr/>
            </w:pPr>
            <w:r>
              <w:rPr/>
              <w:t xml:space="preserve">.24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 , as Joint Lead Arrangers and Joint Book Managers (incorporated by reference to Exhibit 10.1 to the Current Report on Form 8-K filed August 4, 2006).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Restated Credit Facility (Uncommitted Senior Secured Discretionary Contango Facility) dated November 19, 2004 among Plains Marketing, L.P., Bank of America, N.A., as Administrative Agent, and the Lenders party thereto (incorporated by reference to Exhibit 10.1 to the Current Report on Form 8-K filed November 24,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Crude Oil Marketing Agreement, dated as of July 23, 2004, among Plains Resources Inc., Calumet Florida Inc. and Plains Marketing, L.P. (incorporated by reference to Exhibit 10.2 to the Quarterly Report on Form 10-Q for the quarter ended June 30,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Contribution, Assignment and Amendment Agreement, dated as of June 8, 2001, among Plains All American Inc., Plains AAP, L.P. and Plains All American GP LLC (incorporated by reference to Exhibit 10.1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Separation Agreement, dated as of June 8, 2001 among Plains Resources Inc., Plains All American Inc., Plains All American GP LLC, Plains AAP, L.P. and Plains All American Pipeline, L.P. (incorporated by reference to Exhibit 10.2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Pension and Employee Benefits Assumption and Transition Agreement, dated as of June 8, 2001 among Plains Resources Inc., Plains All American Inc. and Plains All American GP LLC (incorporated by reference to Exhibit 10.3 to the Current Report on Form 8-K filed June 11, 2001).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GP LLC 2005 Long-Term Incentive Plan (incorporated by reference to Exhibit 10.1 to the Current Report on Form 8-K filed January 26, 2005).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 </w:t>
            </w:r>
          </w:p>
        </w:tc>
      </w:tr>
      <w:tr>
        <w:trPr/>
        <w:tc>
          <w:tcPr>
            <w:tcW w:w="415" w:type="dxa"/>
            <w:tcBorders/>
            <w:shd w:fill="FFFFFF" w:val="clear"/>
          </w:tcPr>
          <w:p>
            <w:pPr>
              <w:pStyle w:val="TableContents"/>
              <w:spacing w:before="0" w:after="283"/>
              <w:jc w:val="right"/>
              <w:rPr/>
            </w:pPr>
            <w:r>
              <w:rPr/>
              <w:t xml:space="preserve">  </w:t>
            </w:r>
          </w:p>
        </w:tc>
        <w:tc>
          <w:tcPr>
            <w:tcW w:w="324" w:type="dxa"/>
            <w:tcBorders/>
            <w:shd w:fill="FFFFFF" w:val="clear"/>
          </w:tcPr>
          <w:p>
            <w:pPr>
              <w:pStyle w:val="TableContents"/>
              <w:spacing w:before="0" w:after="283"/>
              <w:jc w:val="right"/>
              <w:rPr/>
            </w:pPr>
            <w:r>
              <w:rPr/>
              <w:t xml:space="preserve">10 </w:t>
            </w:r>
          </w:p>
        </w:tc>
        <w:tc>
          <w:tcPr>
            <w:tcW w:w="797" w:type="dxa"/>
            <w:tcBorders/>
            <w:shd w:fill="FFFFFF" w:val="clear"/>
          </w:tcPr>
          <w:p>
            <w:pPr>
              <w:pStyle w:val="TableContents"/>
              <w:spacing w:before="0" w:after="283"/>
              <w:jc w:val="left"/>
              <w:rPr/>
            </w:pPr>
            <w:r>
              <w:rPr/>
              <w:t xml:space="preserve">.11**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8101" w:type="dxa"/>
            <w:tcBorders/>
            <w:shd w:fill="FFFFFF" w:val="clear"/>
          </w:tcPr>
          <w:p>
            <w:pPr>
              <w:pStyle w:val="TableContents"/>
              <w:spacing w:before="0" w:after="283"/>
              <w:jc w:val="left"/>
              <w:rPr>
                <w:sz w:val="17"/>
              </w:rPr>
            </w:pPr>
            <w:r>
              <w:rPr>
                <w:sz w:val="17"/>
              </w:rPr>
              <w:t xml:space="preserve">Plains All American 2001 Performance Option Plan (incorporated by reference to Exhibit 99.2 to the Registration Statement on Form S-8, File No. 333-74920).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419"/>
        <w:gridCol w:w="321"/>
        <w:gridCol w:w="927"/>
        <w:gridCol w:w="127"/>
        <w:gridCol w:w="314"/>
        <w:gridCol w:w="127"/>
        <w:gridCol w:w="7970"/>
      </w:tblGrid>
      <w:tr>
        <w:trPr/>
        <w:tc>
          <w:tcPr>
            <w:tcW w:w="419" w:type="dxa"/>
            <w:tcBorders/>
            <w:shd w:fill="FFFFFF" w:val="clear"/>
            <w:vAlign w:val="bottom"/>
          </w:tcPr>
          <w:p>
            <w:pPr>
              <w:pStyle w:val="TableContents"/>
              <w:spacing w:before="0" w:after="283"/>
              <w:jc w:val="right"/>
              <w:rPr/>
            </w:pPr>
            <w:r>
              <w:rPr/>
              <w:t> </w:t>
            </w:r>
          </w:p>
        </w:tc>
        <w:tc>
          <w:tcPr>
            <w:tcW w:w="321" w:type="dxa"/>
            <w:tcBorders/>
            <w:shd w:fill="FFFFFF" w:val="clear"/>
            <w:vAlign w:val="bottom"/>
          </w:tcPr>
          <w:p>
            <w:pPr>
              <w:pStyle w:val="TableContents"/>
              <w:spacing w:before="0" w:after="283"/>
              <w:jc w:val="right"/>
              <w:rPr/>
            </w:pPr>
            <w:r>
              <w:rPr/>
              <w:t> </w:t>
            </w:r>
          </w:p>
        </w:tc>
        <w:tc>
          <w:tcPr>
            <w:tcW w:w="92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rPr/>
            </w:pPr>
            <w:r>
              <w:rPr/>
              <w:t> </w:t>
            </w:r>
          </w:p>
        </w:tc>
        <w:tc>
          <w:tcPr>
            <w:tcW w:w="3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rPr/>
            </w:pPr>
            <w:r>
              <w:rPr/>
              <w:t> </w:t>
            </w:r>
          </w:p>
        </w:tc>
        <w:tc>
          <w:tcPr>
            <w:tcW w:w="7970" w:type="dxa"/>
            <w:tcBorders/>
            <w:shd w:fill="FFFFFF" w:val="clear"/>
            <w:vAlign w:val="bottom"/>
          </w:tcPr>
          <w:p>
            <w:pPr>
              <w:pStyle w:val="TableContents"/>
              <w:spacing w:before="0" w:after="283"/>
              <w:rPr/>
            </w:pPr>
            <w:r>
              <w:rPr/>
              <w:t>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Amended and Restated Employment Agreement between Plains All American GP LLC and Greg L. Armstrong dated as of June 30, 2001 (incorporated by reference to Exhibit 10.1 to the Quarterly Report on Form 10-Q for the quarter ended September 30, 2001).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Amended and Restated Employment Agreement between Plains All American GP LLC and Harry N. Pefanis dated as of June 30, 2001 (incorporated by reference to Exhibit 10.2 to the Quarterly Report on Form 10-Q for the quarter ended September 30, 2001).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Asset Purchase and Sale Agreement dated February 28, 2001 between Murphy Oil Company Ltd. and Plains Marketing Canada, L.P. (incorporated by reference to Exhibit 99.1 to the Current Report on Form 8-K filed May 10, 2001).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Transportation Agreement dated July 30, 1993, between All American Pipeline Company and Exxon Company, U.S.A. (incorporated by reference to Exhibit 10.9 to the Registration Statement on Form S-1, File No. 333-64107).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Transportation Agreement dated August 2, 1993, among All American Pipeline Company, Texaco Trading and Transportation Inc., Chevron U.S.A. and Sun Operating Limited Partnership (incorporated by reference to Exhibit 10.10 to the Registration Statement on Form S-1, File No. 333-64107).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First Amendment to Contribution, Conveyance and Assumption Agreement dated as of December 15, 1998 (incorporated by reference to Exhibit 10.13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Agreement for Purchase and Sale of Membership Interest in Scurlock Permian LLC between Marathon Ashland LLC and Plains Marketing, L.P. dated as of March 17, 1999 (incorporated by reference to Exhibit 10.16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.19**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Plains All American Inc. 1998 Management Incentive Plan (incorporated by reference to Exhibit 10.5 to the Annual Report on Form 10-K for the year ended December 31, 1998).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PMC (Nova Scotia) Company Bonus Program (incorporated by reference to Exhibit 10.20 to the Annual Report on Form 10-K for the year ended December 31, 2004).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Quarterly Bonus Summary (incorporated by reference to Exhibit 10.21 to the Annual Report on Form 10-K for the year ended December 31,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Directors Compensation Summary.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Master Railcar Leasing Agreement dated as of May 25, 1998 (effective June 1, 1998), between Pivotal Enterprises Corporation and CANPET Energy Group, Inc., (incorporated by reference to Exhibit 10.16 to the Annual Report on Form 10-K for the year ended December 31, 2001).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.24**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(Armstrong/Pefanis) (incorporated by reference to Exhibit 10.24 to the Annual Report on Form 10-K for the year ended December 31,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.25**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(executive officers) (incorporated by reference to Exhibit 10.3 to the Current Report on Form 8-K filed April 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.26**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(independent directors) (incorporated by reference to Exhibit 10.3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.27**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(designated directors) (incorporated by reference to Exhibit 10.4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.28**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LTIP Grant Letter (payment to entity) (incorporated by reference to Exhibit 10.5 to the Current Report on Form 8-K filed February 23,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.29**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Form of Option Grant Letter (incorporated by reference to Exhibit 10.1 to the Current Report on Form 8-K filed April 1,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.30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Administrative Services Agreement between Plains All American Pipeline Company and Vulcan Energy Corporation, dated October 14, 2005 (incorporated by reference to Exhibit 1.1 to the Current Report on Form 8-K filed October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.31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Amended and Restated Limited Liability Company Agreement of PAA/Vulcan Gas Storage, LLC, dated September 13, 2005 (incorporated by reference to Exhibit 1.1 to the Current Report on Form 8-K filed September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.32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Membership Interest Purchase Agreement by and between Sempra Energy Trading Corp. and PAA/Vulcan Gas Storage, LLC, dated August 19, 2005 (incorporated by reference to Exhibit 1.2 to the Current Report on Form 8-K filed September 19, 2005). </w:t>
            </w:r>
          </w:p>
        </w:tc>
      </w:tr>
      <w:tr>
        <w:trPr/>
        <w:tc>
          <w:tcPr>
            <w:tcW w:w="419" w:type="dxa"/>
            <w:tcBorders/>
            <w:shd w:fill="FFFFFF" w:val="clear"/>
          </w:tcPr>
          <w:p>
            <w:pPr>
              <w:pStyle w:val="TableContents"/>
              <w:spacing w:before="0" w:after="283"/>
              <w:jc w:val="right"/>
              <w:rPr/>
            </w:pPr>
            <w:r>
              <w:rPr/>
              <w:t xml:space="preserve">  </w:t>
            </w:r>
          </w:p>
        </w:tc>
        <w:tc>
          <w:tcPr>
            <w:tcW w:w="321" w:type="dxa"/>
            <w:tcBorders/>
            <w:shd w:fill="FFFFFF" w:val="clear"/>
          </w:tcPr>
          <w:p>
            <w:pPr>
              <w:pStyle w:val="TableContents"/>
              <w:spacing w:before="0" w:after="283"/>
              <w:jc w:val="right"/>
              <w:rPr/>
            </w:pPr>
            <w:r>
              <w:rPr/>
              <w:t xml:space="preserve">10 </w:t>
            </w:r>
          </w:p>
        </w:tc>
        <w:tc>
          <w:tcPr>
            <w:tcW w:w="927" w:type="dxa"/>
            <w:tcBorders/>
            <w:shd w:fill="FFFFFF" w:val="clear"/>
          </w:tcPr>
          <w:p>
            <w:pPr>
              <w:pStyle w:val="TableContents"/>
              <w:spacing w:before="0" w:after="283"/>
              <w:jc w:val="left"/>
              <w:rPr/>
            </w:pPr>
            <w:r>
              <w:rPr/>
              <w:t xml:space="preserve">.33** </w:t>
            </w:r>
          </w:p>
        </w:tc>
        <w:tc>
          <w:tcPr>
            <w:tcW w:w="127" w:type="dxa"/>
            <w:tcBorders/>
            <w:shd w:fill="FFFFFF" w:val="clear"/>
            <w:vAlign w:val="bottom"/>
          </w:tcPr>
          <w:p>
            <w:pPr>
              <w:pStyle w:val="TableContents"/>
              <w:spacing w:before="0" w:after="283"/>
              <w:rPr/>
            </w:pPr>
            <w:r>
              <w:rPr/>
              <w:t xml:space="preserve">  </w:t>
            </w:r>
          </w:p>
        </w:tc>
        <w:tc>
          <w:tcPr>
            <w:tcW w:w="314" w:type="dxa"/>
            <w:tcBorders/>
            <w:shd w:fill="FFFFFF" w:val="clear"/>
          </w:tcPr>
          <w:p>
            <w:pPr>
              <w:pStyle w:val="TableContents"/>
              <w:spacing w:before="0" w:after="283"/>
              <w:jc w:val="right"/>
              <w:rPr>
                <w:sz w:val="17"/>
              </w:rPr>
            </w:pPr>
            <w:r>
              <w:rPr>
                <w:sz w:val="17"/>
              </w:rPr>
              <w:t xml:space="preserve"> </w:t>
            </w:r>
          </w:p>
        </w:tc>
        <w:tc>
          <w:tcPr>
            <w:tcW w:w="127" w:type="dxa"/>
            <w:tcBorders/>
            <w:shd w:fill="FFFFFF" w:val="clear"/>
            <w:vAlign w:val="bottom"/>
          </w:tcPr>
          <w:p>
            <w:pPr>
              <w:pStyle w:val="TableContents"/>
              <w:spacing w:before="0" w:after="283"/>
              <w:rPr/>
            </w:pPr>
            <w:r>
              <w:rPr/>
              <w:t xml:space="preserve">  </w:t>
            </w:r>
          </w:p>
        </w:tc>
        <w:tc>
          <w:tcPr>
            <w:tcW w:w="7970" w:type="dxa"/>
            <w:tcBorders/>
            <w:shd w:fill="FFFFFF" w:val="clear"/>
          </w:tcPr>
          <w:p>
            <w:pPr>
              <w:pStyle w:val="TableContents"/>
              <w:spacing w:before="0" w:after="283"/>
              <w:jc w:val="left"/>
              <w:rPr>
                <w:sz w:val="17"/>
              </w:rPr>
            </w:pPr>
            <w:r>
              <w:rPr>
                <w:sz w:val="17"/>
              </w:rPr>
              <w:t xml:space="preserve">Waiver Agreement dated as of August 12, 2005 between Plains All American GP LLC and Greg L. Armstrong (incorporated by reference to Exhibit 10.1 to the Current Report on Form 8-K filed August 16, 2005).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180"/>
        <w:gridCol w:w="797"/>
        <w:gridCol w:w="801"/>
        <w:gridCol w:w="126"/>
        <w:gridCol w:w="326"/>
        <w:gridCol w:w="126"/>
        <w:gridCol w:w="7849"/>
      </w:tblGrid>
      <w:tr>
        <w:trPr/>
        <w:tc>
          <w:tcPr>
            <w:tcW w:w="180" w:type="dxa"/>
            <w:tcBorders/>
            <w:shd w:fill="FFFFFF" w:val="clear"/>
            <w:vAlign w:val="bottom"/>
          </w:tcPr>
          <w:p>
            <w:pPr>
              <w:pStyle w:val="TableContents"/>
              <w:spacing w:before="0" w:after="283"/>
              <w:jc w:val="right"/>
              <w:rPr/>
            </w:pPr>
            <w:r>
              <w:rPr/>
              <w:t> </w:t>
            </w:r>
          </w:p>
        </w:tc>
        <w:tc>
          <w:tcPr>
            <w:tcW w:w="797" w:type="dxa"/>
            <w:tcBorders/>
            <w:shd w:fill="FFFFFF" w:val="clear"/>
            <w:vAlign w:val="bottom"/>
          </w:tcPr>
          <w:p>
            <w:pPr>
              <w:pStyle w:val="TableContents"/>
              <w:spacing w:before="0" w:after="283"/>
              <w:jc w:val="right"/>
              <w:rPr/>
            </w:pPr>
            <w:r>
              <w:rPr/>
              <w:t> </w:t>
            </w:r>
          </w:p>
        </w:tc>
        <w:tc>
          <w:tcPr>
            <w:tcW w:w="801"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2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7849" w:type="dxa"/>
            <w:tcBorders/>
            <w:shd w:fill="FFFFFF" w:val="clear"/>
            <w:vAlign w:val="bottom"/>
          </w:tcPr>
          <w:p>
            <w:pPr>
              <w:pStyle w:val="TableContents"/>
              <w:spacing w:before="0" w:after="283"/>
              <w:rPr/>
            </w:pPr>
            <w:r>
              <w:rPr/>
              <w:t>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.34**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Waiver Agreement dated as of August 12, 2005 between Plains All American GP LLC and Harry N. Pefanis (incorporated by reference to Exhibit 10.2 to the Current Report on Form 8-K filed August 16,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.35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Excess Voting Rights Agreement dated as of August 12, 2005 between Vulcan Energy GP Holdings Inc. and Plains All American GP LLC (incorporated by reference to Exhibit 10.3 to the Current Report on Form 8-K filed August 16,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.36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Excess Voting Rights Agreement dated as of August 12, 2005 between Lynx Holdings I, LLC and Plains All American GP LLC (incorporated by reference to Exhibit 10.4 to the Current Report on Form 8-K filed August 16,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.37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First Amendment dated as of April 20, 2005 to Restated Credit Agreement, by and among Plains Marketing, L.P., Bank of America, N.A., as Administrative Agent, and the Lenders party thereto (incorporated by reference to Exhibit 10.1 to the Current Report on Form 8-K filed April 21,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.38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Second Amendment dated as of May 20, 2005 to Restated Credit Agreement, by and among Plains Marketing, L.P., Bank of America, N.A., as Administrative Agent, and the Lenders party thereto (incorporated by reference to Exhibit 10.1 to the Current Report on Form 8-K filed May 12,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.39**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Form of LTIP Grant Letter (executive officers) (incorporated by reference to Exhibit 10.39 to the Annual Report on Form 10-K for the year ended December 31,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.40**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Employment Agreement between Plains All American GP LLC and John vonBerg dated December 18, 2001 (incorporated by reference to Exhibit 10.40 to the Annual Report on Form 10-K for the year ended December 31, 2005).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.41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Third Amendment dated as of November 4, 2005 to Restated Credit Agreement, by and among Plains Marketing, L.P., Bank of America, N.A., as Administrative Agent, and the Lenders party thereto (incorporated by reference to Exhibit 10.41 to the Annual Report on Form 10-K for the year ended December 31, 2005).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.42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Fourth Amendment dated as of November 16, 2006 to Restated Credit Agreement, by and among Plains Marketing, L.P., Bank of America, N.A., as Administrative Agent, and the Lenders party thereto.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.43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First Amendment dated May 9, 2006 to the Amended and Restated Limited Liability Company Agreement of PAA/Vulcan Gas Storage, LLC dated September 13, 2005 (incorporated by reference to Exhibit 10.1 to the Current Report on Form 8-K filed May 15, 2006).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.44**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Form of LTIP Grant Letter (audit committee members) (incorporated by reference to Exhibit 10.1 to the Current Report on Form 8-K filed August 23, 2006).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.45**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Plains All American PPX Successor Long-Term Incentive Plan.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10 </w:t>
            </w:r>
          </w:p>
        </w:tc>
        <w:tc>
          <w:tcPr>
            <w:tcW w:w="801" w:type="dxa"/>
            <w:tcBorders/>
            <w:shd w:fill="CCEEFF" w:val="clear"/>
          </w:tcPr>
          <w:p>
            <w:pPr>
              <w:pStyle w:val="TableContents"/>
              <w:spacing w:before="0" w:after="283"/>
              <w:jc w:val="left"/>
              <w:rPr/>
            </w:pPr>
            <w:r>
              <w:rPr/>
              <w:t xml:space="preserve">.46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Interim 364-Day Credit Agreement dated as of July 31, 2006 by and among Plains All American Pipeline, L.P.,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 as Joint Bookrunners and Co-Lead Arrangers (incorporated by reference to Exhibit 10.2 to the Current Report on Form 8-K filed August 4, 2006).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10 </w:t>
            </w:r>
          </w:p>
        </w:tc>
        <w:tc>
          <w:tcPr>
            <w:tcW w:w="801" w:type="dxa"/>
            <w:tcBorders/>
            <w:shd w:fill="FFFFFF" w:val="clear"/>
          </w:tcPr>
          <w:p>
            <w:pPr>
              <w:pStyle w:val="TableContents"/>
              <w:spacing w:before="0" w:after="283"/>
              <w:jc w:val="left"/>
              <w:rPr/>
            </w:pPr>
            <w:r>
              <w:rPr/>
              <w:t xml:space="preserve">.47**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Forms of LTIP Grant Letters (executive officers)  February 2007 awards (incorporated by reference to Exhibit 10.1 to the Current Report on Form 8-K filed February 28, 2007).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21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List of Subsidiaries of Plains All American Pipeline, L.P.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23 </w:t>
            </w:r>
          </w:p>
        </w:tc>
        <w:tc>
          <w:tcPr>
            <w:tcW w:w="801"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31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Certification of Principal Executive Officer pursuant to Exchange Act Rules 13a-14(a) and 15d-14(a).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31 </w:t>
            </w:r>
          </w:p>
        </w:tc>
        <w:tc>
          <w:tcPr>
            <w:tcW w:w="801"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Certification of Principal Financial Officer pursuant to Exchange Act Rules 13a-14(a) and 15d-14(a). </w:t>
            </w:r>
          </w:p>
        </w:tc>
      </w:tr>
      <w:tr>
        <w:trPr/>
        <w:tc>
          <w:tcPr>
            <w:tcW w:w="180" w:type="dxa"/>
            <w:tcBorders/>
            <w:shd w:fill="CCEEFF" w:val="clear"/>
          </w:tcPr>
          <w:p>
            <w:pPr>
              <w:pStyle w:val="TableContents"/>
              <w:spacing w:before="0" w:after="283"/>
              <w:jc w:val="left"/>
              <w:rPr/>
            </w:pPr>
            <w:r>
              <w:rPr/>
              <w:t xml:space="preserve">  </w:t>
            </w:r>
          </w:p>
        </w:tc>
        <w:tc>
          <w:tcPr>
            <w:tcW w:w="797" w:type="dxa"/>
            <w:tcBorders/>
            <w:shd w:fill="CCEEFF" w:val="clear"/>
          </w:tcPr>
          <w:p>
            <w:pPr>
              <w:pStyle w:val="TableContents"/>
              <w:spacing w:before="0" w:after="283"/>
              <w:jc w:val="right"/>
              <w:rPr/>
            </w:pPr>
            <w:r>
              <w:rPr/>
              <w:t xml:space="preserve">32 </w:t>
            </w:r>
          </w:p>
        </w:tc>
        <w:tc>
          <w:tcPr>
            <w:tcW w:w="801" w:type="dxa"/>
            <w:tcBorders/>
            <w:shd w:fill="CCEEFF" w:val="clear"/>
          </w:tcPr>
          <w:p>
            <w:pPr>
              <w:pStyle w:val="TableContents"/>
              <w:spacing w:before="0" w:after="283"/>
              <w:jc w:val="left"/>
              <w:rPr/>
            </w:pPr>
            <w:r>
              <w:rPr/>
              <w:t xml:space="preserve">.1 </w:t>
            </w:r>
          </w:p>
        </w:tc>
        <w:tc>
          <w:tcPr>
            <w:tcW w:w="126" w:type="dxa"/>
            <w:tcBorders/>
            <w:shd w:fill="CCEEFF" w:val="clear"/>
            <w:vAlign w:val="bottom"/>
          </w:tcPr>
          <w:p>
            <w:pPr>
              <w:pStyle w:val="TableContents"/>
              <w:spacing w:before="0" w:after="283"/>
              <w:rPr/>
            </w:pPr>
            <w:r>
              <w:rPr/>
              <w:t xml:space="preserve">  </w:t>
            </w:r>
          </w:p>
        </w:tc>
        <w:tc>
          <w:tcPr>
            <w:tcW w:w="326" w:type="dxa"/>
            <w:tcBorders/>
            <w:shd w:fill="CCEEFF" w:val="clear"/>
          </w:tcPr>
          <w:p>
            <w:pPr>
              <w:pStyle w:val="TableContents"/>
              <w:spacing w:before="0" w:after="283"/>
              <w:jc w:val="right"/>
              <w:rPr>
                <w:sz w:val="17"/>
              </w:rPr>
            </w:pPr>
            <w:r>
              <w:rPr>
                <w:sz w:val="17"/>
              </w:rPr>
              <w:t xml:space="preserve"> </w:t>
            </w:r>
          </w:p>
        </w:tc>
        <w:tc>
          <w:tcPr>
            <w:tcW w:w="126" w:type="dxa"/>
            <w:tcBorders/>
            <w:shd w:fill="CCEEFF" w:val="clear"/>
            <w:vAlign w:val="bottom"/>
          </w:tcPr>
          <w:p>
            <w:pPr>
              <w:pStyle w:val="TableContents"/>
              <w:spacing w:before="0" w:after="283"/>
              <w:rPr/>
            </w:pPr>
            <w:r>
              <w:rPr/>
              <w:t xml:space="preserve">  </w:t>
            </w:r>
          </w:p>
        </w:tc>
        <w:tc>
          <w:tcPr>
            <w:tcW w:w="7849" w:type="dxa"/>
            <w:tcBorders/>
            <w:shd w:fill="CCEEFF" w:val="clear"/>
          </w:tcPr>
          <w:p>
            <w:pPr>
              <w:pStyle w:val="TableContents"/>
              <w:spacing w:before="0" w:after="283"/>
              <w:jc w:val="left"/>
              <w:rPr>
                <w:sz w:val="17"/>
              </w:rPr>
            </w:pPr>
            <w:r>
              <w:rPr>
                <w:sz w:val="17"/>
              </w:rPr>
              <w:t xml:space="preserve">Certification of Principal Executive Officer pursuant to 18 USC 1350. </w:t>
            </w:r>
          </w:p>
        </w:tc>
      </w:tr>
      <w:tr>
        <w:trPr/>
        <w:tc>
          <w:tcPr>
            <w:tcW w:w="180" w:type="dxa"/>
            <w:tcBorders/>
            <w:shd w:fill="FFFFFF" w:val="clear"/>
          </w:tcPr>
          <w:p>
            <w:pPr>
              <w:pStyle w:val="TableContents"/>
              <w:spacing w:before="0" w:after="283"/>
              <w:jc w:val="left"/>
              <w:rPr/>
            </w:pPr>
            <w:r>
              <w:rPr/>
              <w:t xml:space="preserve">  </w:t>
            </w:r>
          </w:p>
        </w:tc>
        <w:tc>
          <w:tcPr>
            <w:tcW w:w="797" w:type="dxa"/>
            <w:tcBorders/>
            <w:shd w:fill="FFFFFF" w:val="clear"/>
          </w:tcPr>
          <w:p>
            <w:pPr>
              <w:pStyle w:val="TableContents"/>
              <w:spacing w:before="0" w:after="283"/>
              <w:jc w:val="right"/>
              <w:rPr/>
            </w:pPr>
            <w:r>
              <w:rPr/>
              <w:t xml:space="preserve">32 </w:t>
            </w:r>
          </w:p>
        </w:tc>
        <w:tc>
          <w:tcPr>
            <w:tcW w:w="801"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26"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7849" w:type="dxa"/>
            <w:tcBorders/>
            <w:shd w:fill="FFFFFF" w:val="clear"/>
          </w:tcPr>
          <w:p>
            <w:pPr>
              <w:pStyle w:val="TableContents"/>
              <w:spacing w:before="0" w:after="283"/>
              <w:jc w:val="left"/>
              <w:rPr>
                <w:sz w:val="17"/>
              </w:rPr>
            </w:pPr>
            <w:r>
              <w:rPr>
                <w:sz w:val="17"/>
              </w:rPr>
              <w:t xml:space="preserve">Certification of Principal Financial Officer pursuant to 18 USC 1350.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4"/>
        <w:gridCol w:w="101"/>
        <w:gridCol w:w="9800"/>
      </w:tblGrid>
      <w:tr>
        <w:trPr/>
        <w:tc>
          <w:tcPr>
            <w:tcW w:w="304"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800" w:type="dxa"/>
            <w:tcBorders/>
            <w:shd w:fill="FFFFFF" w:val="clear"/>
            <w:vAlign w:val="center"/>
          </w:tcPr>
          <w:p>
            <w:pPr>
              <w:pStyle w:val="TableContents"/>
              <w:spacing w:before="0" w:after="283"/>
              <w:rPr>
                <w:sz w:val="4"/>
                <w:szCs w:val="4"/>
              </w:rPr>
            </w:pPr>
            <w:r>
              <w:rPr>
                <w:sz w:val="4"/>
                <w:szCs w:val="4"/>
              </w:rPr>
            </w:r>
          </w:p>
        </w:tc>
      </w:tr>
      <w:tr>
        <w:trPr/>
        <w:tc>
          <w:tcPr>
            <w:tcW w:w="304" w:type="dxa"/>
            <w:tcBorders/>
            <w:shd w:fill="FFFFFF" w:val="clear"/>
          </w:tcPr>
          <w:p>
            <w:pPr>
              <w:pStyle w:val="TableContents"/>
              <w:spacing w:before="0" w:after="283"/>
              <w:jc w:val="right"/>
              <w:rPr/>
            </w:pPr>
            <w:r>
              <w:rPr/>
              <w:t xml:space="preserve"> </w:t>
            </w:r>
          </w:p>
        </w:tc>
        <w:tc>
          <w:tcPr>
            <w:tcW w:w="101" w:type="dxa"/>
            <w:tcBorders/>
            <w:shd w:fill="FFFFFF" w:val="clear"/>
            <w:vAlign w:val="center"/>
          </w:tcPr>
          <w:p>
            <w:pPr>
              <w:pStyle w:val="TableContents"/>
              <w:spacing w:before="0" w:after="283"/>
              <w:rPr>
                <w:sz w:val="4"/>
                <w:szCs w:val="4"/>
              </w:rPr>
            </w:pPr>
            <w:r>
              <w:rPr>
                <w:sz w:val="4"/>
                <w:szCs w:val="4"/>
              </w:rPr>
            </w:r>
          </w:p>
        </w:tc>
        <w:tc>
          <w:tcPr>
            <w:tcW w:w="9800" w:type="dxa"/>
            <w:tcBorders/>
            <w:shd w:fill="FFFFFF" w:val="clear"/>
            <w:vAlign w:val="bottom"/>
          </w:tcPr>
          <w:p>
            <w:pPr>
              <w:pStyle w:val="TableContents"/>
              <w:spacing w:before="0" w:after="283"/>
              <w:rPr/>
            </w:pPr>
            <w:r>
              <w:rPr/>
              <w:t>Filed herewith</w:t>
            </w:r>
          </w:p>
        </w:tc>
      </w:tr>
      <w:tr>
        <w:trPr/>
        <w:tc>
          <w:tcPr>
            <w:tcW w:w="304" w:type="dxa"/>
            <w:tcBorders/>
            <w:shd w:fill="FFFFFF" w:val="clear"/>
            <w:vAlign w:val="center"/>
          </w:tcPr>
          <w:p>
            <w:pPr>
              <w:pStyle w:val="TableContents"/>
              <w:spacing w:before="0" w:after="283"/>
              <w:rPr/>
            </w:pPr>
            <w:r>
              <w:rPr/>
              <w:t> </w:t>
            </w:r>
          </w:p>
        </w:tc>
        <w:tc>
          <w:tcPr>
            <w:tcW w:w="9901" w:type="dxa"/>
            <w:gridSpan w:val="2"/>
            <w:tcBorders/>
            <w:shd w:fill="FFFFFF" w:val="clear"/>
          </w:tcPr>
          <w:p>
            <w:pPr>
              <w:pStyle w:val="TableContents"/>
              <w:spacing w:before="0" w:after="283"/>
              <w:rPr>
                <w:sz w:val="4"/>
                <w:szCs w:val="4"/>
              </w:rPr>
            </w:pPr>
            <w:r>
              <w:rPr>
                <w:sz w:val="4"/>
                <w:szCs w:val="4"/>
              </w:rPr>
            </w:r>
          </w:p>
        </w:tc>
      </w:tr>
      <w:tr>
        <w:trPr/>
        <w:tc>
          <w:tcPr>
            <w:tcW w:w="304" w:type="dxa"/>
            <w:tcBorders/>
            <w:shd w:fill="FFFFFF" w:val="clear"/>
          </w:tcPr>
          <w:p>
            <w:pPr>
              <w:pStyle w:val="TableContents"/>
              <w:spacing w:before="0" w:after="283"/>
              <w:jc w:val="right"/>
              <w:rPr/>
            </w:pPr>
            <w:r>
              <w:rPr/>
              <w:t xml:space="preserve">** </w:t>
            </w:r>
          </w:p>
        </w:tc>
        <w:tc>
          <w:tcPr>
            <w:tcW w:w="101" w:type="dxa"/>
            <w:tcBorders/>
            <w:shd w:fill="FFFFFF" w:val="clear"/>
            <w:vAlign w:val="center"/>
          </w:tcPr>
          <w:p>
            <w:pPr>
              <w:pStyle w:val="TableContents"/>
              <w:spacing w:before="0" w:after="283"/>
              <w:rPr>
                <w:sz w:val="4"/>
                <w:szCs w:val="4"/>
              </w:rPr>
            </w:pPr>
            <w:r>
              <w:rPr>
                <w:sz w:val="4"/>
                <w:szCs w:val="4"/>
              </w:rPr>
            </w:r>
          </w:p>
        </w:tc>
        <w:tc>
          <w:tcPr>
            <w:tcW w:w="9800" w:type="dxa"/>
            <w:tcBorders/>
            <w:shd w:fill="FFFFFF" w:val="clear"/>
            <w:vAlign w:val="bottom"/>
          </w:tcPr>
          <w:p>
            <w:pPr>
              <w:pStyle w:val="TableContents"/>
              <w:spacing w:before="0" w:after="283"/>
              <w:rPr/>
            </w:pPr>
            <w:r>
              <w:rPr/>
              <w:t>Management compensatory plan or arrangement</w:t>
            </w:r>
          </w:p>
        </w:tc>
      </w:tr>
    </w:tbl>
    <w:p>
      <w:pPr>
        <w:pStyle w:val="Heading5"/>
        <w:jc w:val="left"/>
        <w:rPr/>
      </w:pPr>
      <w:r>
        <w:br w:type="page"/>
      </w:r>
      <w:bookmarkStart w:id="35" w:name="h43224exv3w10.htm"/>
      <w:bookmarkStart w:id="36" w:name="ksh43224exv3w10"/>
      <w:bookmarkEnd w:id="35"/>
      <w:bookmarkEnd w:id="36"/>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CERTIFICATE OF INCORPORATION</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OF</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PACIFIC ENERGY FINANCE CORPORATION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FIRST: The name of the corporation is Pacific Energy Finance Corporation. </w:t>
      </w:r>
    </w:p>
    <w:p>
      <w:pPr>
        <w:pStyle w:val="TextBody"/>
        <w:spacing w:before="120" w:after="283"/>
        <w:jc w:val="left"/>
        <w:rPr/>
      </w:pPr>
      <w:r>
        <w:rPr/>
        <w:t>     </w:t>
      </w:r>
      <w:r>
        <w:rPr>
          <w:rFonts w:ascii="Times New Roman;Times;serif" w:hAnsi="Times New Roman;Times;serif"/>
          <w:sz w:val="17"/>
        </w:rPr>
        <w:t xml:space="preserve">SECOND: The address of its registered office in the State of Delaware is Corporation Trust Center, 1209 Orange Street, Wilmington, Delaware 19801 in New Castle County, Delaware. The name of its registered agent at such address is The Corporation Trust Company. </w:t>
      </w:r>
    </w:p>
    <w:p>
      <w:pPr>
        <w:pStyle w:val="TextBody"/>
        <w:spacing w:before="120" w:after="283"/>
        <w:jc w:val="left"/>
        <w:rPr/>
      </w:pPr>
      <w:r>
        <w:rPr/>
        <w:t>     </w:t>
      </w:r>
      <w:r>
        <w:rPr>
          <w:rFonts w:ascii="Times New Roman;Times;serif" w:hAnsi="Times New Roman;Times;serif"/>
          <w:sz w:val="17"/>
        </w:rPr>
        <w:t xml:space="preserve">THIRD: The nature of the business or purposes to be conducted or promoted by the corporation is to engage in any lawful act or activity for which corporations may be organized under the Delaware General Corporation Law. </w:t>
      </w:r>
    </w:p>
    <w:p>
      <w:pPr>
        <w:pStyle w:val="TextBody"/>
        <w:spacing w:before="120" w:after="283"/>
        <w:jc w:val="left"/>
        <w:rPr/>
      </w:pPr>
      <w:r>
        <w:rPr/>
        <w:t>     </w:t>
      </w:r>
      <w:r>
        <w:rPr>
          <w:rFonts w:ascii="Times New Roman;Times;serif" w:hAnsi="Times New Roman;Times;serif"/>
          <w:sz w:val="17"/>
        </w:rPr>
        <w:t xml:space="preserve">FOURTH: The total number of shares of all classes of stock which the corporation shall have authority to issue is One Thousand (1,000) shares of Common Stock of the par value of One Cent ($.01) per share. </w:t>
      </w:r>
    </w:p>
    <w:p>
      <w:pPr>
        <w:pStyle w:val="TextBody"/>
        <w:spacing w:before="120" w:after="283"/>
        <w:jc w:val="left"/>
        <w:rPr/>
      </w:pPr>
      <w:r>
        <w:rPr/>
        <w:t>     </w:t>
      </w:r>
      <w:r>
        <w:rPr>
          <w:rFonts w:ascii="Times New Roman;Times;serif" w:hAnsi="Times New Roman;Times;serif"/>
          <w:sz w:val="17"/>
        </w:rPr>
        <w:t xml:space="preserve">FIFTH: The name of the incorporator is Kathy Truett and her mailing address is c/o Vinson &amp; Elkins L.L.P., 3700 Trammell Crow Center, 2001 Ross Avenue, Dallas, Texas 75201. </w:t>
      </w:r>
    </w:p>
    <w:p>
      <w:pPr>
        <w:pStyle w:val="TextBody"/>
        <w:spacing w:before="120" w:after="283"/>
        <w:jc w:val="left"/>
        <w:rPr/>
      </w:pPr>
      <w:r>
        <w:rPr/>
        <w:t>     </w:t>
      </w:r>
      <w:r>
        <w:rPr>
          <w:rFonts w:ascii="Times New Roman;Times;serif" w:hAnsi="Times New Roman;Times;serif"/>
          <w:sz w:val="17"/>
        </w:rPr>
        <w:t xml:space="preserve">SIXTH: The names and mailing addresses of the directors, who shall serve until the first annual meeting of stockholders or until their successors are elected and qualified, are as follows: </w:t>
      </w:r>
    </w:p>
    <w:tbl>
      <w:tblPr>
        <w:tblW w:w="5000" w:type="pct"/>
        <w:jc w:val="center"/>
        <w:tblInd w:w="0" w:type="dxa"/>
        <w:tblCellMar>
          <w:top w:w="0" w:type="dxa"/>
          <w:left w:w="0" w:type="dxa"/>
          <w:bottom w:w="0" w:type="dxa"/>
          <w:right w:w="0" w:type="dxa"/>
        </w:tblCellMar>
      </w:tblPr>
      <w:tblGrid>
        <w:gridCol w:w="4899"/>
        <w:gridCol w:w="201"/>
        <w:gridCol w:w="5105"/>
      </w:tblGrid>
      <w:tr>
        <w:trPr/>
        <w:tc>
          <w:tcPr>
            <w:tcW w:w="489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5105" w:type="dxa"/>
            <w:tcBorders/>
            <w:shd w:fill="auto" w:val="clear"/>
            <w:vAlign w:val="bottom"/>
          </w:tcPr>
          <w:p>
            <w:pPr>
              <w:pStyle w:val="TableContents"/>
              <w:spacing w:before="0" w:after="283"/>
              <w:rPr/>
            </w:pPr>
            <w:r>
              <w:rPr/>
              <w:t> </w:t>
            </w:r>
          </w:p>
        </w:tc>
      </w:tr>
      <w:tr>
        <w:trPr/>
        <w:tc>
          <w:tcPr>
            <w:tcW w:w="4899"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01" w:type="dxa"/>
            <w:tcBorders/>
            <w:shd w:fill="auto" w:val="clear"/>
            <w:vAlign w:val="bottom"/>
          </w:tcPr>
          <w:p>
            <w:pPr>
              <w:pStyle w:val="TableContents"/>
              <w:spacing w:before="0" w:after="283"/>
              <w:rPr/>
            </w:pPr>
            <w:r>
              <w:rPr/>
              <w:t> </w:t>
            </w:r>
          </w:p>
        </w:tc>
        <w:tc>
          <w:tcPr>
            <w:tcW w:w="5105" w:type="dxa"/>
            <w:tcBorders>
              <w:bottom w:val="single" w:sz="2" w:space="0" w:color="000000"/>
            </w:tcBorders>
            <w:shd w:fill="auto" w:val="clear"/>
            <w:tcMar>
              <w:bottom w:w="28" w:type="dxa"/>
            </w:tcMar>
            <w:vAlign w:val="bottom"/>
          </w:tcPr>
          <w:p>
            <w:pPr>
              <w:pStyle w:val="TableContents"/>
              <w:spacing w:before="0" w:after="283"/>
              <w:jc w:val="center"/>
              <w:rPr/>
            </w:pPr>
            <w:r>
              <w:rPr/>
              <w:t>Address</w:t>
            </w:r>
          </w:p>
        </w:tc>
      </w:tr>
      <w:tr>
        <w:trPr/>
        <w:tc>
          <w:tcPr>
            <w:tcW w:w="4899" w:type="dxa"/>
            <w:tcBorders/>
            <w:shd w:fill="auto" w:val="clear"/>
          </w:tcPr>
          <w:p>
            <w:pPr>
              <w:pStyle w:val="TableContents"/>
              <w:spacing w:before="0" w:after="0"/>
              <w:ind w:left="0" w:right="0" w:hanging="0"/>
              <w:rPr/>
            </w:pPr>
            <w:r>
              <w:rPr/>
              <w:t xml:space="preserve">Douglas L. Polson </w:t>
            </w:r>
          </w:p>
        </w:tc>
        <w:tc>
          <w:tcPr>
            <w:tcW w:w="201"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555 17th Street, Suite 2400, Denver, CO 80110</w:t>
            </w:r>
          </w:p>
        </w:tc>
      </w:tr>
      <w:tr>
        <w:trPr/>
        <w:tc>
          <w:tcPr>
            <w:tcW w:w="4899"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899" w:type="dxa"/>
            <w:tcBorders/>
            <w:shd w:fill="auto" w:val="clear"/>
          </w:tcPr>
          <w:p>
            <w:pPr>
              <w:pStyle w:val="TableContents"/>
              <w:spacing w:before="0" w:after="0"/>
              <w:ind w:left="0" w:right="0" w:hanging="0"/>
              <w:rPr/>
            </w:pPr>
            <w:r>
              <w:rPr/>
              <w:t xml:space="preserve">Irvin Toole, Jr. </w:t>
            </w:r>
          </w:p>
        </w:tc>
        <w:tc>
          <w:tcPr>
            <w:tcW w:w="201"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5900 Cherry Avenue, Long Beach, CA 90805</w:t>
            </w:r>
          </w:p>
        </w:tc>
      </w:tr>
      <w:tr>
        <w:trPr/>
        <w:tc>
          <w:tcPr>
            <w:tcW w:w="4899"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899" w:type="dxa"/>
            <w:tcBorders/>
            <w:shd w:fill="auto" w:val="clear"/>
          </w:tcPr>
          <w:p>
            <w:pPr>
              <w:pStyle w:val="TableContents"/>
              <w:spacing w:before="0" w:after="0"/>
              <w:ind w:left="0" w:right="0" w:hanging="0"/>
              <w:rPr/>
            </w:pPr>
            <w:r>
              <w:rPr/>
              <w:t xml:space="preserve">David E. Wright </w:t>
            </w:r>
          </w:p>
        </w:tc>
        <w:tc>
          <w:tcPr>
            <w:tcW w:w="201"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5900 Cherry Avenue, Long Beach, CA 90805</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number of directors of the corporation shall be as specified in, or determined in the manner provided in, the bylaws of the corporation. Election of directors need not be by written ballot. </w:t>
      </w:r>
    </w:p>
    <w:p>
      <w:pPr>
        <w:pStyle w:val="TextBody"/>
        <w:spacing w:before="120" w:after="283"/>
        <w:jc w:val="left"/>
        <w:rPr/>
      </w:pPr>
      <w:r>
        <w:rPr/>
        <w:t>     </w:t>
      </w:r>
      <w:r>
        <w:rPr>
          <w:rFonts w:ascii="Times New Roman;Times;serif" w:hAnsi="Times New Roman;Times;serif"/>
          <w:sz w:val="17"/>
        </w:rPr>
        <w:t xml:space="preserve">SEVENTH: In furtherance of, and not in limitation of, the powers conferred by statute, the Board of Directors is expressly authorized to adopt, amend or repeal the bylaws of the corporation. </w:t>
      </w:r>
    </w:p>
    <w:p>
      <w:pPr>
        <w:pStyle w:val="TextBody"/>
        <w:spacing w:before="120" w:after="283"/>
        <w:jc w:val="left"/>
        <w:rPr/>
      </w:pPr>
      <w:r>
        <w:rPr/>
        <w:t>     </w:t>
      </w:r>
      <w:r>
        <w:rPr>
          <w:rFonts w:ascii="Times New Roman;Times;serif" w:hAnsi="Times New Roman;Times;serif"/>
          <w:sz w:val="17"/>
        </w:rPr>
        <w:t xml:space="preserve">EIGHTH: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the corporation, as the case may be, to be summoned in such manner as the said court directs. If a majority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 </w:t>
      </w:r>
    </w:p>
    <w:p>
      <w:pPr>
        <w:pStyle w:val="TextBody"/>
        <w:spacing w:before="120" w:after="283"/>
        <w:jc w:val="left"/>
        <w:rPr/>
      </w:pPr>
      <w:r>
        <w:rPr/>
        <w:t>     </w:t>
      </w:r>
      <w:r>
        <w:rPr>
          <w:rFonts w:ascii="Times New Roman;Times;serif" w:hAnsi="Times New Roman;Times;serif"/>
          <w:sz w:val="17"/>
        </w:rPr>
        <w:t xml:space="preserve">NINTH: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In addition to the circumstances in which a director of the corporation is not personally liable as set forth in the preceding sentence, a director of the corporation shall not be liable to the fullest extent permitted by any amendment to the Delaware General Corporation Law hereafter enacted that further limits the liability of a director. </w:t>
      </w:r>
    </w:p>
    <w:p>
      <w:pPr>
        <w:pStyle w:val="TextBody"/>
        <w:spacing w:before="120" w:after="283"/>
        <w:jc w:val="left"/>
        <w:rPr/>
      </w:pPr>
      <w:r>
        <w:rPr/>
        <w:t>     </w:t>
      </w:r>
      <w:r>
        <w:rPr>
          <w:rFonts w:ascii="Times New Roman;Times;serif" w:hAnsi="Times New Roman;Times;serif"/>
          <w:sz w:val="17"/>
        </w:rPr>
        <w:t xml:space="preserve">TENTH: The corporation shall indemnify any person who was, is, or is threatened to be made a party to a proceeding (as hereinafter defined) by reason of the fact that such person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Delaware General Corporation Law, as the same exists or may hereafter be amended. Such right shall be a contract right and as such shall inure to the benefit of any director or officer who is elected and accepts the position of director or officer of the corporation or elects to continue to serve as a director or officer of the corporation while this Article Tenth is in effect. Any repeal or amendment of this Article Tenth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or amendment to this Article Tenth. Such right shall include the right to be paid by the corporation expenses (including, without limitation, attorneys fees) actually and reasonably incurred by such person in defending any such proceeding in advance of its final disposition to the maximum extent permitted under the Delaware General Corporation Law, as the same 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 It shall be a defense to any such action that such indemnification or advancement of costs of defense is not permitted under the Delaware General Corporation Law,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any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 is not permissible. In the event of the death of any person having a right of indemnification under the foregoing provisions, such right shall inure to the benefit of such persons heirs, executors, administrators, and personal representatives. The rights conferred above shall not be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exclusive of any other right which any person may have or hereafter acquire under any statute, bylaw, resolution of stockholders or directors, agreement, or otherwise. </w:t>
      </w:r>
    </w:p>
    <w:p>
      <w:pPr>
        <w:pStyle w:val="TextBody"/>
        <w:spacing w:before="120" w:after="283"/>
        <w:jc w:val="left"/>
        <w:rPr/>
      </w:pPr>
      <w:r>
        <w:rPr/>
        <w:t>     </w:t>
      </w:r>
      <w:r>
        <w:rPr>
          <w:rFonts w:ascii="Times New Roman;Times;serif" w:hAnsi="Times New Roman;Times;serif"/>
          <w:sz w:val="17"/>
        </w:rPr>
        <w:t xml:space="preserve">The corporation may also indemnify any employee or agent of the corporation to the fullest extent permitted by law. </w:t>
      </w:r>
    </w:p>
    <w:p>
      <w:pPr>
        <w:pStyle w:val="TextBody"/>
        <w:spacing w:before="120" w:after="283"/>
        <w:jc w:val="left"/>
        <w:rPr/>
      </w:pPr>
      <w:r>
        <w:rPr/>
        <w:t>     </w:t>
      </w:r>
      <w:r>
        <w:rPr>
          <w:rFonts w:ascii="Times New Roman;Times;serif" w:hAnsi="Times New Roman;Times;serif"/>
          <w:sz w:val="17"/>
        </w:rPr>
        <w:t>As used herein, the term </w:t>
      </w:r>
      <w:r>
        <w:rPr>
          <w:rFonts w:ascii="Times New Roman;Times;serif" w:hAnsi="Times New Roman;Times;serif"/>
          <w:i/>
          <w:sz w:val="17"/>
        </w:rPr>
        <w:t>proceeding</w:t>
      </w:r>
      <w:r>
        <w:rPr>
          <w:rFonts w:ascii="Times New Roman;Times;serif" w:hAnsi="Times New Roman;Times;serif"/>
          <w:sz w:val="17"/>
        </w:rPr>
        <w:t xml:space="preserve"> means any threatened, pending, or completed action, suit, or proceeding, whether civil, criminal, administrative, arbitrative, or investigative, any appeal in such an action, suit, or proceeding, any inquiry or investigation that could lead to such an action, suit, or proceeding. </w:t>
      </w:r>
    </w:p>
    <w:p>
      <w:pPr>
        <w:pStyle w:val="TextBody"/>
        <w:spacing w:before="120" w:after="283"/>
        <w:jc w:val="left"/>
        <w:rPr/>
      </w:pPr>
      <w:r>
        <w:rPr/>
        <w:t>     </w:t>
      </w:r>
      <w:r>
        <w:rPr>
          <w:rFonts w:ascii="Times New Roman;Times;serif" w:hAnsi="Times New Roman;Times;serif"/>
          <w:sz w:val="17"/>
        </w:rPr>
        <w:t>ELEVENTH: No contract or transaction between the corporation and one or more of its directors, officers, or stockholders or between the corporation and any person (as used herein, </w:t>
      </w:r>
      <w:r>
        <w:rPr>
          <w:rFonts w:ascii="Times New Roman;Times;serif" w:hAnsi="Times New Roman;Times;serif"/>
          <w:i/>
          <w:sz w:val="17"/>
        </w:rPr>
        <w:t>person</w:t>
      </w:r>
      <w:r>
        <w:rPr>
          <w:rFonts w:ascii="Times New Roman;Times;serif" w:hAnsi="Times New Roman;Times;serif"/>
          <w:sz w:val="17"/>
        </w:rPr>
        <w:t xml:space="preserve">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such persons vote is counted for such purpose, if : (i) the material facts as to such persons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such persons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 </w:t>
      </w:r>
    </w:p>
    <w:p>
      <w:pPr>
        <w:pStyle w:val="TextBody"/>
        <w:spacing w:before="120" w:after="283"/>
        <w:jc w:val="left"/>
        <w:rPr/>
      </w:pPr>
      <w:r>
        <w:rPr/>
        <w:t>     </w:t>
      </w:r>
      <w:r>
        <w:rPr>
          <w:rFonts w:ascii="Times New Roman;Times;serif" w:hAnsi="Times New Roman;Times;serif"/>
          <w:sz w:val="17"/>
        </w:rPr>
        <w:t xml:space="preserve">TWELFTH: The corporation shall have the right, subject to any express provisions or restrictions contained in this certificate of incorporation or bylaws of the corporation, from time to time, to amend this certificate of incorporation or any provision hereof in any manner now or hereafter provided by law, and all rights and powers of any kind conferred upon a director or stockholder of this corporation by this certificate of incorporation or any amendment hereof are subject to such right of the corporation. </w:t>
      </w:r>
    </w:p>
    <w:p>
      <w:pPr>
        <w:pStyle w:val="TextBody"/>
        <w:spacing w:before="120" w:after="283"/>
        <w:jc w:val="left"/>
        <w:rPr/>
      </w:pPr>
      <w:r>
        <w:rPr/>
        <w:t>          </w:t>
      </w:r>
      <w:r>
        <w:rPr>
          <w:rFonts w:ascii="Times New Roman;Times;serif" w:hAnsi="Times New Roman;Times;serif"/>
          <w:sz w:val="17"/>
        </w:rPr>
        <w:t xml:space="preserve">I, the undersigned, being the incorporator hereinbefore named, for the purpose of forming a corporation pursuant to the Delaware General Corporation Law, do make this certificate, hereby declaring that this is my act and deed and that the facts herein stated are true, and accordingly have hereunto set my hand this 28th day of May, 2004. </w:t>
      </w:r>
    </w:p>
    <w:tbl>
      <w:tblPr>
        <w:tblW w:w="5000" w:type="pct"/>
        <w:jc w:val="center"/>
        <w:tblInd w:w="0" w:type="dxa"/>
        <w:tblCellMar>
          <w:top w:w="0" w:type="dxa"/>
          <w:left w:w="0" w:type="dxa"/>
          <w:bottom w:w="0" w:type="dxa"/>
          <w:right w:w="0" w:type="dxa"/>
        </w:tblCellMar>
      </w:tblPr>
      <w:tblGrid>
        <w:gridCol w:w="4901"/>
        <w:gridCol w:w="203"/>
        <w:gridCol w:w="4082"/>
        <w:gridCol w:w="203"/>
        <w:gridCol w:w="816"/>
      </w:tblGrid>
      <w:tr>
        <w:trPr/>
        <w:tc>
          <w:tcPr>
            <w:tcW w:w="49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408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     </w:t>
            </w:r>
            <w:r>
              <w:rPr/>
              <w:t xml:space="preserve">/s/ Kathy Truett </w:t>
            </w:r>
          </w:p>
        </w:tc>
        <w:tc>
          <w:tcPr>
            <w:tcW w:w="203"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283"/>
              <w:rPr/>
            </w:pPr>
            <w:r>
              <w:rPr/>
              <w:t> </w:t>
            </w:r>
          </w:p>
        </w:tc>
        <w:tc>
          <w:tcPr>
            <w:tcW w:w="4082" w:type="dxa"/>
            <w:tcBorders>
              <w:top w:val="single" w:sz="2" w:space="0" w:color="000000"/>
            </w:tcBorders>
            <w:shd w:fill="auto" w:val="clear"/>
            <w:tcMar>
              <w:top w:w="28" w:type="dxa"/>
            </w:tcMa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r>
        <w:trPr/>
        <w:tc>
          <w:tcPr>
            <w:tcW w:w="4901"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Kathy Truett, Incorporator</w:t>
            </w:r>
          </w:p>
        </w:tc>
        <w:tc>
          <w:tcPr>
            <w:tcW w:w="203" w:type="dxa"/>
            <w:tcBorders/>
            <w:shd w:fill="auto" w:val="clear"/>
            <w:vAlign w:val="bottom"/>
          </w:tcPr>
          <w:p>
            <w:pPr>
              <w:pStyle w:val="TableContents"/>
              <w:spacing w:before="0" w:after="283"/>
              <w:rPr/>
            </w:pPr>
            <w:r>
              <w:rPr/>
              <w:t> </w:t>
            </w:r>
          </w:p>
        </w:tc>
        <w:tc>
          <w:tcPr>
            <w:tcW w:w="816"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37" w:name="h43224exv3w11.htm"/>
      <w:bookmarkStart w:id="38" w:name="ksh43224exv3w11"/>
      <w:bookmarkEnd w:id="37"/>
      <w:bookmarkEnd w:id="3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BYLAWS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OF</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FINANCE CORPORATION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 DELAWARE CORPORATION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ADOPTION: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JUNE 7, 2004</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TABLE OF CONTENTS</w:t>
        <w:br/>
        <w:t>TO</w:t>
        <w:br/>
        <w:t>BYLAWS OF</w:t>
        <w:br/>
        <w:t>PACIFIC ENERGY FINANCE CORPORATION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3"/>
        <w:gridCol w:w="510"/>
        <w:gridCol w:w="101"/>
        <w:gridCol w:w="510"/>
        <w:gridCol w:w="101"/>
      </w:tblGrid>
      <w:tr>
        <w:trPr/>
        <w:tc>
          <w:tcPr>
            <w:tcW w:w="8983"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ARTICLE I</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OFFICES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1.1 Registered Office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1.2 Other Offices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ARTICLE II</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STOCKHOLDERS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2.1 Place of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2.2 Quorum; Adjournment of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2.3 Annual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2.4 Special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2.5 Record Date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2.6 Notice of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2.7 Stock List</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2.8 Proxies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2.9 Voting; Elections; Inspectors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2.10 Conduct of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4</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2.11 Treasury Stock</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2.12 Action Without Meeting</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ARTICLE III</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0" w:right="0" w:hanging="0"/>
              <w:jc w:val="center"/>
              <w:rPr>
                <w:b/>
              </w:rPr>
            </w:pPr>
            <w:r>
              <w:rPr>
                <w:b/>
              </w:rPr>
              <w:t>BOARD OF DIRECTORS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3.1 Power; Number; Term of Office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3.2 Quorum</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3.3 Place of Meetings; Order of Business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3.4 First Meeting</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3.5 Regular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3.6 Special Meetings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3.7 Removal</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3.8 Vacancies; Increases in the Number of Directors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3.9 Compensation</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3.10 Action Without a Meeting; Telephone Conference Meeting</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Section 3.11 Approval or Ratification of Acts or Contracts by Stockholders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7</w:t>
            </w:r>
          </w:p>
        </w:tc>
        <w:tc>
          <w:tcPr>
            <w:tcW w:w="101"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spacing w:before="360" w:after="283"/>
        <w:jc w:val="center"/>
        <w:rPr/>
      </w:pPr>
      <w:r>
        <w:rPr/>
        <w:t> </w:t>
      </w:r>
      <w:r>
        <w:rPr>
          <w:rFonts w:ascii="Times New Roman;Times;serif" w:hAnsi="Times New Roman;Times;serif"/>
          <w:sz w:val="17"/>
        </w:rPr>
        <w:t xml:space="preserve">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8984"/>
        <w:gridCol w:w="509"/>
        <w:gridCol w:w="101"/>
        <w:gridCol w:w="509"/>
        <w:gridCol w:w="102"/>
      </w:tblGrid>
      <w:tr>
        <w:trPr/>
        <w:tc>
          <w:tcPr>
            <w:tcW w:w="8984"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ARTICLE IV</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COMMITTEES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4.1 Designation; Powers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7</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4.2 Procedure; Meetings; Quorum</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4.3 Substitution of Members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ARTICLE V</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OFFICERS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5.1 Number, Titles and Term of Office</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5.2 Salaries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5.3 Removal</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5.4 Vacancies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5.5 Powers and Duties of the Officers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5.6 Action with Respect to Securities of Other Corporations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ARTICLE VI</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pPr>
            <w:r>
              <w:rPr>
                <w:b/>
              </w:rPr>
              <w:t>INDEMNIFICATION OF DIRECTORS,</w:t>
            </w:r>
            <w:r>
              <w:rPr/>
              <w:br/>
            </w:r>
            <w:r>
              <w:rPr>
                <w:b/>
              </w:rPr>
              <w:t>OFFICERS, EMPLOYEES AND AGENTS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6.1 Right to Indemnification</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6.2 Indemnification of Employees and Agents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6.3 Right of Claimant to Bring Suit</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6.4 Nonexclusivity of Rights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6.5 Insurance</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6.6 Savings Clause</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6.7 Definitions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ARTICLE VII</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CAPITAL STOCK</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7.1 Certificates of Stock</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7.2 Transfer of Shares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7.3 Ownership of Shares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7.4 Regulations Regarding Certificates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7.5 Lost or Destroyed Certificates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ARTICLE VIII</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0" w:right="0" w:hanging="0"/>
              <w:jc w:val="center"/>
              <w:rPr>
                <w:b/>
              </w:rPr>
            </w:pPr>
            <w:r>
              <w:rPr>
                <w:b/>
              </w:rPr>
              <w:t>MISCELLANEOUS PROVISIONS</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Section 8.1 Fiscal Year</w:t>
            </w:r>
          </w:p>
        </w:tc>
        <w:tc>
          <w:tcPr>
            <w:tcW w:w="509"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spacing w:before="360" w:after="283"/>
        <w:jc w:val="center"/>
        <w:rPr/>
      </w:pPr>
      <w:r>
        <w:rPr/>
        <w:t> </w:t>
      </w:r>
      <w:r>
        <w:rPr>
          <w:rFonts w:ascii="Times New Roman;Times;serif" w:hAnsi="Times New Roman;Times;serif"/>
          <w:sz w:val="17"/>
        </w:rPr>
        <w:t xml:space="preserve">ii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8982"/>
        <w:gridCol w:w="509"/>
        <w:gridCol w:w="102"/>
        <w:gridCol w:w="510"/>
        <w:gridCol w:w="102"/>
      </w:tblGrid>
      <w:tr>
        <w:trPr/>
        <w:tc>
          <w:tcPr>
            <w:tcW w:w="898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8.2 Corporate Seal</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8.3 Notice and Waiver of Notice</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8.4 Resignations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8.5 Facsimile Signatures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8.6 Reliance upon Books, Reports and Records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0" w:right="0" w:hanging="0"/>
              <w:jc w:val="center"/>
              <w:rPr>
                <w:b/>
              </w:rPr>
            </w:pPr>
            <w:r>
              <w:rPr>
                <w:b/>
              </w:rPr>
              <w:t>ARTICLE IX</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0" w:right="0" w:hanging="0"/>
              <w:jc w:val="center"/>
              <w:rPr>
                <w:b/>
              </w:rPr>
            </w:pPr>
            <w:r>
              <w:rPr>
                <w:b/>
              </w:rPr>
              <w:t>AMENDMENTS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Section 9.1 Amendments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spacing w:before="360" w:after="283"/>
        <w:jc w:val="center"/>
        <w:rPr/>
      </w:pPr>
      <w:r>
        <w:rPr/>
        <w:t> </w:t>
      </w:r>
      <w:r>
        <w:rPr>
          <w:rFonts w:ascii="Times New Roman;Times;serif" w:hAnsi="Times New Roman;Times;serif"/>
          <w:sz w:val="17"/>
        </w:rPr>
        <w:t xml:space="preserve">iii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BYLAWS</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OF</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PACIFIC ENERGY FINANCE CORPORATION</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Article 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Offices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1.1 </w:t>
      </w:r>
      <w:r>
        <w:rPr>
          <w:rFonts w:ascii="Times New Roman;Times;serif" w:hAnsi="Times New Roman;Times;serif"/>
          <w:i/>
          <w:sz w:val="17"/>
        </w:rPr>
        <w:t>Registered Office</w:t>
      </w:r>
      <w:r>
        <w:rPr>
          <w:rFonts w:ascii="Times New Roman;Times;serif" w:hAnsi="Times New Roman;Times;serif"/>
          <w:sz w:val="17"/>
        </w:rPr>
        <w:t>. The registered office of the Corporation required by the General Corporation Law of the State of Delaware to be maintained in the State of Delaware, shall be the registered office named in the original Certificate of Incorporation of the Corporation (as the same may be amended and restated from time to time, the </w:t>
      </w:r>
      <w:r>
        <w:rPr>
          <w:rFonts w:ascii="Times New Roman;Times;serif" w:hAnsi="Times New Roman;Times;serif"/>
          <w:i/>
          <w:sz w:val="17"/>
        </w:rPr>
        <w:t>Certificate of Incorporation</w:t>
      </w:r>
      <w:r>
        <w:rPr>
          <w:rFonts w:ascii="Times New Roman;Times;serif" w:hAnsi="Times New Roman;Times;serif"/>
          <w:sz w:val="17"/>
        </w:rPr>
        <w:t xml:space="preserve">), or such other office as may be designated from time to time by the Board of Directors in the manner provided by law. Should the Corporation maintain a principal office within the State of Delaware such registered office need not be identical to such principal office of the Corporation. </w:t>
      </w:r>
    </w:p>
    <w:p>
      <w:pPr>
        <w:pStyle w:val="TextBody"/>
        <w:spacing w:before="120" w:after="283"/>
        <w:jc w:val="left"/>
        <w:rPr/>
      </w:pPr>
      <w:r>
        <w:rPr/>
        <w:t>     </w:t>
      </w:r>
      <w:r>
        <w:rPr>
          <w:rFonts w:ascii="Times New Roman;Times;serif" w:hAnsi="Times New Roman;Times;serif"/>
          <w:sz w:val="17"/>
        </w:rPr>
        <w:t xml:space="preserve">Section 1.2 </w:t>
      </w:r>
      <w:r>
        <w:rPr>
          <w:rFonts w:ascii="Times New Roman;Times;serif" w:hAnsi="Times New Roman;Times;serif"/>
          <w:i/>
          <w:sz w:val="17"/>
        </w:rPr>
        <w:t>Other Offices</w:t>
      </w:r>
      <w:r>
        <w:rPr>
          <w:rFonts w:ascii="Times New Roman;Times;serif" w:hAnsi="Times New Roman;Times;serif"/>
          <w:sz w:val="17"/>
        </w:rPr>
        <w:t xml:space="preserve">. The Corporation may also have offices at such other places both within and without the State of Delaware as the Board of Directors may from time to time determine or the business of the Corporation may require.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Stockholders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2.1 </w:t>
      </w:r>
      <w:r>
        <w:rPr>
          <w:rFonts w:ascii="Times New Roman;Times;serif" w:hAnsi="Times New Roman;Times;serif"/>
          <w:i/>
          <w:sz w:val="17"/>
        </w:rPr>
        <w:t>Place of Meetings</w:t>
      </w:r>
      <w:r>
        <w:rPr>
          <w:rFonts w:ascii="Times New Roman;Times;serif" w:hAnsi="Times New Roman;Times;serif"/>
          <w:sz w:val="17"/>
        </w:rPr>
        <w:t xml:space="preserve">. All meetings of the stockholders shall be held at the principal office of the Corporation, or at such other place within or without the State of Delaware as shall be specified or fixed in the notices or waivers of notice thereof. </w:t>
      </w:r>
    </w:p>
    <w:p>
      <w:pPr>
        <w:pStyle w:val="TextBody"/>
        <w:spacing w:before="120" w:after="283"/>
        <w:jc w:val="left"/>
        <w:rPr/>
      </w:pPr>
      <w:r>
        <w:rPr/>
        <w:t>     </w:t>
      </w:r>
      <w:r>
        <w:rPr>
          <w:rFonts w:ascii="Times New Roman;Times;serif" w:hAnsi="Times New Roman;Times;serif"/>
          <w:sz w:val="17"/>
        </w:rPr>
        <w:t xml:space="preserve">Section 2.2 </w:t>
      </w:r>
      <w:r>
        <w:rPr>
          <w:rFonts w:ascii="Times New Roman;Times;serif" w:hAnsi="Times New Roman;Times;serif"/>
          <w:i/>
          <w:sz w:val="17"/>
        </w:rPr>
        <w:t>Quorum; Adjournment of Meetings</w:t>
      </w:r>
      <w:r>
        <w:rPr>
          <w:rFonts w:ascii="Times New Roman;Times;serif" w:hAnsi="Times New Roman;Times;serif"/>
          <w:sz w:val="17"/>
        </w:rPr>
        <w:t xml:space="preserve">. Unless otherwise required by law or provided in the Certificate of Incorporation or these bylaws, the holders of a majority of the stock issued and outstanding and entitled to vote thereat, present in person or represented by proxy, shall constitute a quorum at any meeting of stockholders for the transaction of business and the act of a majority of such stock so represented at any meeting of stockholders at which a quorum is present shall constitute the act of the meeting of stockholders. The stockholders present at a duly organized meeting may continue to transact business until adjournment, notwithstanding the withdrawal of enough stockholders to leave less than a quorum. </w:t>
      </w:r>
    </w:p>
    <w:p>
      <w:pPr>
        <w:pStyle w:val="TextBody"/>
        <w:spacing w:before="120" w:after="283"/>
        <w:jc w:val="left"/>
        <w:rPr/>
      </w:pPr>
      <w:r>
        <w:rPr/>
        <w:t>     </w:t>
      </w:r>
      <w:r>
        <w:rPr>
          <w:rFonts w:ascii="Times New Roman;Times;serif" w:hAnsi="Times New Roman;Times;serif"/>
          <w:sz w:val="17"/>
        </w:rPr>
        <w:t xml:space="preserve">Notwithstanding the other provisions of the Certificate of Incorporation or these bylaws, the chairman of the meeting or the holders of a majority of the issued and outstanding stock present in person or represented by proxy at any meeting of stockholders, whether or not a quorum is present, shall have the power to adjourn such meeting from time to time, without any notice other than announcement at the meeting of the time and place of the holding of the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adjourned meeting;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if the adjournment is for more than thirty (30) days, or if after the adjournment a new record date is fixed for the adjourned meeting, a notice of the adjourned meeting shall be given to each stockholder of record entitled to vote at such meeting. At any such adjourned meeting at which a quorum shall be present or represented any business may be transacted which might have been transacted at the meeting as originally called. </w:t>
      </w:r>
    </w:p>
    <w:p>
      <w:pPr>
        <w:pStyle w:val="TextBody"/>
        <w:spacing w:before="120" w:after="283"/>
        <w:jc w:val="left"/>
        <w:rPr/>
      </w:pPr>
      <w:r>
        <w:rPr/>
        <w:t>     </w:t>
      </w:r>
      <w:r>
        <w:rPr>
          <w:rFonts w:ascii="Times New Roman;Times;serif" w:hAnsi="Times New Roman;Times;serif"/>
          <w:sz w:val="17"/>
        </w:rPr>
        <w:t xml:space="preserve">Section 2.3 </w:t>
      </w:r>
      <w:r>
        <w:rPr>
          <w:rFonts w:ascii="Times New Roman;Times;serif" w:hAnsi="Times New Roman;Times;serif"/>
          <w:i/>
          <w:sz w:val="17"/>
        </w:rPr>
        <w:t>Annual Meetings</w:t>
      </w:r>
      <w:r>
        <w:rPr>
          <w:rFonts w:ascii="Times New Roman;Times;serif" w:hAnsi="Times New Roman;Times;serif"/>
          <w:sz w:val="17"/>
        </w:rPr>
        <w:t xml:space="preserve">.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and set forth in the notice of the meeting, which date shall be within thirteen (13) months subsequent to the later of the date of incorporation or the last annual meeting of stockholders. </w:t>
      </w:r>
    </w:p>
    <w:p>
      <w:pPr>
        <w:pStyle w:val="TextBody"/>
        <w:spacing w:before="120" w:after="283"/>
        <w:jc w:val="left"/>
        <w:rPr/>
      </w:pPr>
      <w:r>
        <w:rPr/>
        <w:t>     </w:t>
      </w:r>
      <w:r>
        <w:rPr>
          <w:rFonts w:ascii="Times New Roman;Times;serif" w:hAnsi="Times New Roman;Times;serif"/>
          <w:sz w:val="17"/>
        </w:rPr>
        <w:t xml:space="preserve">Section 2.4 </w:t>
      </w:r>
      <w:r>
        <w:rPr>
          <w:rFonts w:ascii="Times New Roman;Times;serif" w:hAnsi="Times New Roman;Times;serif"/>
          <w:i/>
          <w:sz w:val="17"/>
        </w:rPr>
        <w:t>Special Meetings</w:t>
      </w:r>
      <w:r>
        <w:rPr>
          <w:rFonts w:ascii="Times New Roman;Times;serif" w:hAnsi="Times New Roman;Times;serif"/>
          <w:sz w:val="17"/>
        </w:rPr>
        <w:t xml:space="preserve">. Unless otherwise provided in the Certificate of Incorporation, special meetings of the stockholders for any purpose or purposes may be called at any time by the Chairman of the Board, by the President or by a majority of the Board of Directors, and shall be called by the Chairman of the Board, by the President or the Secretary upon the written request therefor, stating the purpose or purposes of the meeting, delivered to such officer, signed by the holder(s) of at least ten percent (l0%) of the issued and outstanding stock entitled to vote at such meeting. </w:t>
      </w:r>
    </w:p>
    <w:p>
      <w:pPr>
        <w:pStyle w:val="TextBody"/>
        <w:spacing w:before="120" w:after="283"/>
        <w:jc w:val="left"/>
        <w:rPr/>
      </w:pPr>
      <w:r>
        <w:rPr/>
        <w:t>     </w:t>
      </w:r>
      <w:r>
        <w:rPr>
          <w:rFonts w:ascii="Times New Roman;Times;serif" w:hAnsi="Times New Roman;Times;serif"/>
          <w:sz w:val="17"/>
        </w:rPr>
        <w:t xml:space="preserve">Section 2.5 </w:t>
      </w:r>
      <w:r>
        <w:rPr>
          <w:rFonts w:ascii="Times New Roman;Times;serif" w:hAnsi="Times New Roman;Times;serif"/>
          <w:i/>
          <w:sz w:val="17"/>
        </w:rPr>
        <w:t>Record Date</w:t>
      </w:r>
      <w:r>
        <w:rPr>
          <w:rFonts w:ascii="Times New Roman;Times;serif" w:hAnsi="Times New Roman;Times;serif"/>
          <w:sz w:val="17"/>
        </w:rPr>
        <w:t xml:space="preserve">. For the purpose of determining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of the Corporation may fix, in advance, a date as the record date for any such determination of stockholders, which date shall not be more than sixty (60) days nor less than ten (l0) days before the date of such meeting, nor more than sixty (60) days prior to any other action. </w:t>
      </w:r>
    </w:p>
    <w:p>
      <w:pPr>
        <w:pStyle w:val="TextBody"/>
        <w:spacing w:before="120" w:after="283"/>
        <w:jc w:val="left"/>
        <w:rPr/>
      </w:pPr>
      <w:r>
        <w:rPr/>
        <w:t>     </w:t>
      </w:r>
      <w:r>
        <w:rPr>
          <w:rFonts w:ascii="Times New Roman;Times;serif" w:hAnsi="Times New Roman;Times;serif"/>
          <w:sz w:val="17"/>
        </w:rPr>
        <w:t xml:space="preserve">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w:t>
      </w:r>
      <w:r>
        <w:rPr>
          <w:rFonts w:ascii="Times New Roman;Times;serif" w:hAnsi="Times New Roman;Times;serif"/>
          <w:sz w:val="17"/>
          <w:u w:val="single"/>
        </w:rPr>
        <w:t>Section 8.3</w:t>
      </w:r>
      <w:r>
        <w:rPr>
          <w:rFonts w:ascii="Times New Roman;Times;serif" w:hAnsi="Times New Roman;Times;serif"/>
          <w:sz w:val="17"/>
        </w:rPr>
        <w:t xml:space="preserve"> of these bylaws notice is waived, at the close of business on the day next preceding the day on which the meeting is held. If, in accordance with </w:t>
      </w:r>
      <w:r>
        <w:rPr>
          <w:rFonts w:ascii="Times New Roman;Times;serif" w:hAnsi="Times New Roman;Times;serif"/>
          <w:sz w:val="17"/>
          <w:u w:val="single"/>
        </w:rPr>
        <w:t>Section 2.12</w:t>
      </w:r>
      <w:r>
        <w:rPr>
          <w:rFonts w:ascii="Times New Roman;Times;serif" w:hAnsi="Times New Roman;Times;serif"/>
          <w:sz w:val="17"/>
        </w:rPr>
        <w:t xml:space="preserve">, corporate action without a meeting of stockholders is to be taken, the record date for determining stockholders entitled to express consent to such corporate action in writing, when no prior action by the Board of Directors is necessary, shall be the day on which the first written consent is expressed. The record date for determining stockholders for any other purpose shall be at the close of business on the day on which the Board of Directors adopts the resolution relating thereto. </w:t>
      </w:r>
    </w:p>
    <w:p>
      <w:pPr>
        <w:pStyle w:val="TextBody"/>
        <w:spacing w:before="120" w:after="283"/>
        <w:jc w:val="left"/>
        <w:rPr/>
      </w:pPr>
      <w:r>
        <w:rPr/>
        <w:t>     </w:t>
      </w:r>
      <w:r>
        <w:rPr>
          <w:rFonts w:ascii="Times New Roman;Times;serif" w:hAnsi="Times New Roman;Times;serif"/>
          <w:sz w:val="17"/>
        </w:rPr>
        <w:t xml:space="preserve">A determination of stockholders of record entitled to notice of or to vote at a meeting of stockholders shall apply to any adjournment of the meeting;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the Board of Directors may fix a new record date for the adjourned meeting.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2.6 </w:t>
      </w:r>
      <w:r>
        <w:rPr>
          <w:rFonts w:ascii="Times New Roman;Times;serif" w:hAnsi="Times New Roman;Times;serif"/>
          <w:i/>
          <w:sz w:val="17"/>
        </w:rPr>
        <w:t>Notice of Meetings</w:t>
      </w:r>
      <w:r>
        <w:rPr>
          <w:rFonts w:ascii="Times New Roman;Times;serif" w:hAnsi="Times New Roman;Times;serif"/>
          <w:sz w:val="17"/>
        </w:rPr>
        <w:t xml:space="preserve">. Written notice of the place, date and hour of all meetings, and, in case of a special meeting, the purpose or purposes for which the meeting is called, shall be given by or at the direction of the Chairman of the Board or the President, the Secretary or the other person(s) calling the meeting to each stockholder entitled to vote thereat not less than ten (10) nor more than sixty (60) days before the date of the meeting. Such notice may be delivered either personally or by mail. If mailed, notice is given when deposited in the United States mail, postage prepaid, directed to the stockholder at his address as it appears on the records of the Corporation. </w:t>
      </w:r>
    </w:p>
    <w:p>
      <w:pPr>
        <w:pStyle w:val="TextBody"/>
        <w:spacing w:before="120" w:after="283"/>
        <w:jc w:val="left"/>
        <w:rPr/>
      </w:pPr>
      <w:r>
        <w:rPr/>
        <w:t>     </w:t>
      </w:r>
      <w:r>
        <w:rPr>
          <w:rFonts w:ascii="Times New Roman;Times;serif" w:hAnsi="Times New Roman;Times;serif"/>
          <w:sz w:val="17"/>
        </w:rPr>
        <w:t xml:space="preserve">Section 2.7 </w:t>
      </w:r>
      <w:r>
        <w:rPr>
          <w:rFonts w:ascii="Times New Roman;Times;serif" w:hAnsi="Times New Roman;Times;serif"/>
          <w:i/>
          <w:sz w:val="17"/>
        </w:rPr>
        <w:t>Stock List</w:t>
      </w:r>
      <w:r>
        <w:rPr>
          <w:rFonts w:ascii="Times New Roman;Times;serif" w:hAnsi="Times New Roman;Times;serif"/>
          <w:sz w:val="17"/>
        </w:rPr>
        <w:t xml:space="preserve">. A complete list of stockholders entitled to vote at any meeting of stockholders, arranged in alphabetical order for each class of stock and showing the address of each such stockholder and the number of shares registered in the name of such stockholder, shall be open to the examination of any stockholder, for any purpose germane to the meeting, during ordinary business hours, for a period of at least ten (10) days prior to the meeting, either on a reasonably accessible electronic network, provided that the information required to gain access to the list is provided with the notice of the meeting, or during ordinary business hours, at the principal place of business of the Corporation. The stockholder list shall also be produced and kept at the time and place of the meeting during the whole time thereof, and may be inspected by any stockholder who is present. </w:t>
      </w:r>
    </w:p>
    <w:p>
      <w:pPr>
        <w:pStyle w:val="TextBody"/>
        <w:spacing w:before="120" w:after="283"/>
        <w:jc w:val="left"/>
        <w:rPr/>
      </w:pPr>
      <w:r>
        <w:rPr/>
        <w:t>     </w:t>
      </w:r>
      <w:r>
        <w:rPr>
          <w:rFonts w:ascii="Times New Roman;Times;serif" w:hAnsi="Times New Roman;Times;serif"/>
          <w:sz w:val="17"/>
        </w:rPr>
        <w:t xml:space="preserve">Section 2.8 </w:t>
      </w:r>
      <w:r>
        <w:rPr>
          <w:rFonts w:ascii="Times New Roman;Times;serif" w:hAnsi="Times New Roman;Times;serif"/>
          <w:i/>
          <w:sz w:val="17"/>
        </w:rPr>
        <w:t>Proxies</w:t>
      </w:r>
      <w:r>
        <w:rPr>
          <w:rFonts w:ascii="Times New Roman;Times;serif" w:hAnsi="Times New Roman;Times;serif"/>
          <w:sz w:val="17"/>
        </w:rPr>
        <w:t xml:space="preserve">. Each stockholder entitled to vote at a meeting of stockholders or to express consent or dissent to a corporate action in writing without a meeting may authorize another person or persons to act for him by proxy. Proxies for use at any meeting of stockholders shall be filed with the Secretary, or such other officer as the Board of Directors may from time to time determine by resolution, before or at the time of the meeting. 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w:t>
      </w:r>
    </w:p>
    <w:p>
      <w:pPr>
        <w:pStyle w:val="TextBody"/>
        <w:spacing w:before="120" w:after="283"/>
        <w:jc w:val="left"/>
        <w:rPr/>
      </w:pPr>
      <w:r>
        <w:rPr/>
        <w:t>     </w:t>
      </w:r>
      <w:r>
        <w:rPr>
          <w:rFonts w:ascii="Times New Roman;Times;serif" w:hAnsi="Times New Roman;Times;serif"/>
          <w:sz w:val="17"/>
        </w:rPr>
        <w:t xml:space="preserve">No proxy shall be valid after three (3) years from its date, unless the proxy provides for a longer period. Each proxy shall be revocable unless expressly provided therein to be irrevocable and coupled with an interest sufficient in law to support an irrevocable power. </w:t>
      </w:r>
    </w:p>
    <w:p>
      <w:pPr>
        <w:pStyle w:val="TextBody"/>
        <w:spacing w:before="120" w:after="283"/>
        <w:jc w:val="left"/>
        <w:rPr/>
      </w:pPr>
      <w:r>
        <w:rPr/>
        <w:t>     </w:t>
      </w:r>
      <w:r>
        <w:rPr>
          <w:rFonts w:ascii="Times New Roman;Times;serif" w:hAnsi="Times New Roman;Times;serif"/>
          <w:sz w:val="17"/>
        </w:rPr>
        <w:t xml:space="preserve">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 </w:t>
      </w:r>
    </w:p>
    <w:p>
      <w:pPr>
        <w:pStyle w:val="TextBody"/>
        <w:spacing w:before="120" w:after="283"/>
        <w:jc w:val="left"/>
        <w:rPr/>
      </w:pPr>
      <w:r>
        <w:rPr/>
        <w:t>     </w:t>
      </w:r>
      <w:r>
        <w:rPr>
          <w:rFonts w:ascii="Times New Roman;Times;serif" w:hAnsi="Times New Roman;Times;serif"/>
          <w:sz w:val="17"/>
        </w:rPr>
        <w:t xml:space="preserve">Section 2.9 </w:t>
      </w:r>
      <w:r>
        <w:rPr>
          <w:rFonts w:ascii="Times New Roman;Times;serif" w:hAnsi="Times New Roman;Times;serif"/>
          <w:i/>
          <w:sz w:val="17"/>
        </w:rPr>
        <w:t>Voting; Elections; Inspectors</w:t>
      </w:r>
      <w:r>
        <w:rPr>
          <w:rFonts w:ascii="Times New Roman;Times;serif" w:hAnsi="Times New Roman;Times;serif"/>
          <w:sz w:val="17"/>
        </w:rPr>
        <w:t xml:space="preserve">. Unless otherwise required by law or provided in the Certificate of Incorporation, each stockholder shall have one vote for each share of stock entitled to vote which is registered in such stockholders name on the record date for the meeting. Shares registered in the name of another corporation, domestic or foreign, may be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voted by such officer, agent or proxy as the bylaw (or comparable instrument) of such corporation may prescribe, or in the absence of such provision, as the board of directors (or comparable body) of such corporation may determine. Shares registered in the name of a deceased person may be voted by such deceased persons executor or administrator, either in person or by proxy. </w:t>
      </w:r>
    </w:p>
    <w:p>
      <w:pPr>
        <w:pStyle w:val="TextBody"/>
        <w:spacing w:before="120" w:after="283"/>
        <w:jc w:val="left"/>
        <w:rPr/>
      </w:pPr>
      <w:r>
        <w:rPr/>
        <w:t>     </w:t>
      </w:r>
      <w:r>
        <w:rPr>
          <w:rFonts w:ascii="Times New Roman;Times;serif" w:hAnsi="Times New Roman;Times;serif"/>
          <w:sz w:val="17"/>
        </w:rPr>
        <w:t xml:space="preserve">All voting, except as required by the Certificate of Incorporation or where otherwise required by law, may be by a voice vote;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upon demand therefor by stockholders holding a majority of the issued and outstanding stock present in person or by proxy at any meeting a stock vote shall be taken. Every stock vote shall be taken by written ballots, each of which shall state the name of the stockholder or proxy voting and such other information as may be required under the procedure established for the meeting. All elections of directors shall be by ballot, unless otherwise provided in the Certificate of Incorporation. </w:t>
      </w:r>
    </w:p>
    <w:p>
      <w:pPr>
        <w:pStyle w:val="TextBody"/>
        <w:spacing w:before="120" w:after="283"/>
        <w:jc w:val="left"/>
        <w:rPr/>
      </w:pPr>
      <w:r>
        <w:rPr/>
        <w:t>     </w:t>
      </w:r>
      <w:r>
        <w:rPr>
          <w:rFonts w:ascii="Times New Roman;Times;serif" w:hAnsi="Times New Roman;Times;serif"/>
          <w:sz w:val="17"/>
        </w:rPr>
        <w:t xml:space="preserve">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an inspector. </w:t>
      </w:r>
    </w:p>
    <w:p>
      <w:pPr>
        <w:pStyle w:val="TextBody"/>
        <w:spacing w:before="120" w:after="283"/>
        <w:jc w:val="left"/>
        <w:rPr/>
      </w:pPr>
      <w:r>
        <w:rPr/>
        <w:t>     </w:t>
      </w:r>
      <w:r>
        <w:rPr>
          <w:rFonts w:ascii="Times New Roman;Times;serif" w:hAnsi="Times New Roman;Times;serif"/>
          <w:sz w:val="17"/>
        </w:rPr>
        <w:t xml:space="preserve">Unless otherwise provided in the Certificate of Incorporation, cumulative voting for the election of directors shall be prohibited. </w:t>
      </w:r>
    </w:p>
    <w:p>
      <w:pPr>
        <w:pStyle w:val="TextBody"/>
        <w:spacing w:before="120" w:after="283"/>
        <w:jc w:val="left"/>
        <w:rPr/>
      </w:pPr>
      <w:r>
        <w:rPr/>
        <w:t>     </w:t>
      </w:r>
      <w:r>
        <w:rPr>
          <w:rFonts w:ascii="Times New Roman;Times;serif" w:hAnsi="Times New Roman;Times;serif"/>
          <w:sz w:val="17"/>
        </w:rPr>
        <w:t xml:space="preserve">Section 2.10 </w:t>
      </w:r>
      <w:r>
        <w:rPr>
          <w:rFonts w:ascii="Times New Roman;Times;serif" w:hAnsi="Times New Roman;Times;serif"/>
          <w:i/>
          <w:sz w:val="17"/>
        </w:rPr>
        <w:t>Conduct of Meetings</w:t>
      </w:r>
      <w:r>
        <w:rPr>
          <w:rFonts w:ascii="Times New Roman;Times;serif" w:hAnsi="Times New Roman;Times;serif"/>
          <w:sz w:val="17"/>
        </w:rPr>
        <w:t xml:space="preserve">. The meetings of the stockholders shall be presided over by the Chairman of the Board, or if he is not present, by the President, or if neither the Chairman of the Board, nor President is present, by a chairman elected at the meeting. The Secretary of the Corporation, if present, shall act as secretary of such meetings, or if such person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Calling of meeting to order.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Election of a chairman and the appointment of a secretary, if necessary.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Presentation of proof of the due calling of the meeting.</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Presentation and examination of proxies and determination of a quorum.</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Reading and settlement of the minutes of the previous meeting.</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(f)</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Reports of officers and committees.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(g)</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election of directors if an annual meeting, or a meeting called for that purpose.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(h)</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Unfinished business.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New business.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(j)</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Adjournment.</w:t>
            </w:r>
          </w:p>
        </w:tc>
      </w:tr>
    </w:tbl>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2.11 </w:t>
      </w:r>
      <w:r>
        <w:rPr>
          <w:rFonts w:ascii="Times New Roman;Times;serif" w:hAnsi="Times New Roman;Times;serif"/>
          <w:i/>
          <w:sz w:val="17"/>
        </w:rPr>
        <w:t>Treasury Stock</w:t>
      </w:r>
      <w:r>
        <w:rPr>
          <w:rFonts w:ascii="Times New Roman;Times;serif" w:hAnsi="Times New Roman;Times;serif"/>
          <w:sz w:val="17"/>
        </w:rPr>
        <w:t xml:space="preserve">. The Corporation shall not vote, directly or indirectly, shares of its own stock owned by it and such shares shall not be counted for quorum purposes. </w:t>
      </w:r>
    </w:p>
    <w:p>
      <w:pPr>
        <w:pStyle w:val="TextBody"/>
        <w:spacing w:before="120" w:after="283"/>
        <w:jc w:val="left"/>
        <w:rPr/>
      </w:pPr>
      <w:r>
        <w:rPr/>
        <w:t>     </w:t>
      </w:r>
      <w:r>
        <w:rPr>
          <w:rFonts w:ascii="Times New Roman;Times;serif" w:hAnsi="Times New Roman;Times;serif"/>
          <w:sz w:val="17"/>
        </w:rPr>
        <w:t xml:space="preserve">Section 2.12 </w:t>
      </w:r>
      <w:r>
        <w:rPr>
          <w:rFonts w:ascii="Times New Roman;Times;serif" w:hAnsi="Times New Roman;Times;serif"/>
          <w:i/>
          <w:sz w:val="17"/>
        </w:rPr>
        <w:t>Action Without Meeting</w:t>
      </w:r>
      <w:r>
        <w:rPr>
          <w:rFonts w:ascii="Times New Roman;Times;serif" w:hAnsi="Times New Roman;Times;serif"/>
          <w:sz w:val="17"/>
        </w:rPr>
        <w:t xml:space="preserve">. Unless otherwise provided in the Certificate of Incorporation, any action permitted or required by law, the Certificate of Incorporation or these bylaws to be taken at a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a unanimous written consent shall be given by the Secretary to those stockholders who have not consented in writing.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Board of Directors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3.1 </w:t>
      </w:r>
      <w:r>
        <w:rPr>
          <w:rFonts w:ascii="Times New Roman;Times;serif" w:hAnsi="Times New Roman;Times;serif"/>
          <w:i/>
          <w:sz w:val="17"/>
        </w:rPr>
        <w:t>Power; Number; Term of Office</w:t>
      </w:r>
      <w:r>
        <w:rPr>
          <w:rFonts w:ascii="Times New Roman;Times;serif" w:hAnsi="Times New Roman;Times;serif"/>
          <w:sz w:val="17"/>
        </w:rPr>
        <w:t xml:space="preserve">. The business and affairs of the Corporation shall be managed by or under the direction of the Board of Directors, and subject to the restrictions imposed by law or the Certificate of Incorporation, they may exercise all the powers of the Corporation. </w:t>
      </w:r>
    </w:p>
    <w:p>
      <w:pPr>
        <w:pStyle w:val="TextBody"/>
        <w:spacing w:before="120" w:after="283"/>
        <w:jc w:val="left"/>
        <w:rPr/>
      </w:pPr>
      <w:r>
        <w:rPr/>
        <w:t>     </w:t>
      </w:r>
      <w:r>
        <w:rPr>
          <w:rFonts w:ascii="Times New Roman;Times;serif" w:hAnsi="Times New Roman;Times;serif"/>
          <w:sz w:val="17"/>
        </w:rPr>
        <w:t xml:space="preserve">The number of directors of the Corporation shall be determined from time to time by resolution of the Board of Directors, unless the Certificate of Incorporation fixes the number of directors, in which case a change in the number of directors shall be made only by amendment of the Certificate of Incorporation. Each director shall hold office for the term for which he is elected, and until his successor shall have been elected and qualified or until his earlier death, resignation or removal. </w:t>
      </w:r>
    </w:p>
    <w:p>
      <w:pPr>
        <w:pStyle w:val="TextBody"/>
        <w:spacing w:before="120" w:after="283"/>
        <w:jc w:val="left"/>
        <w:rPr/>
      </w:pPr>
      <w:r>
        <w:rPr/>
        <w:t>     </w:t>
      </w:r>
      <w:r>
        <w:rPr>
          <w:rFonts w:ascii="Times New Roman;Times;serif" w:hAnsi="Times New Roman;Times;serif"/>
          <w:sz w:val="17"/>
        </w:rPr>
        <w:t xml:space="preserve">Unless otherwise provided in the Certificate of Incorporation, directors need not be stockholders nor residents of the State of Delaware. </w:t>
      </w:r>
    </w:p>
    <w:p>
      <w:pPr>
        <w:pStyle w:val="TextBody"/>
        <w:spacing w:before="120" w:after="283"/>
        <w:jc w:val="left"/>
        <w:rPr/>
      </w:pPr>
      <w:r>
        <w:rPr/>
        <w:t>     </w:t>
      </w:r>
      <w:r>
        <w:rPr>
          <w:rFonts w:ascii="Times New Roman;Times;serif" w:hAnsi="Times New Roman;Times;serif"/>
          <w:sz w:val="17"/>
        </w:rPr>
        <w:t xml:space="preserve">Section 3.2 </w:t>
      </w:r>
      <w:r>
        <w:rPr>
          <w:rFonts w:ascii="Times New Roman;Times;serif" w:hAnsi="Times New Roman;Times;serif"/>
          <w:i/>
          <w:sz w:val="17"/>
        </w:rPr>
        <w:t>Quorum</w:t>
      </w:r>
      <w:r>
        <w:rPr>
          <w:rFonts w:ascii="Times New Roman;Times;serif" w:hAnsi="Times New Roman;Times;serif"/>
          <w:sz w:val="17"/>
        </w:rPr>
        <w:t xml:space="preserve">. Unless otherwise provided in the Certificate of Incorporation, a majority of the total number of directors shall constitute a quorum for the transaction of business of the Board of Directors and the vote of a majority of the directors present at a meeting at which a quorum is present shall be the act of the Board of Directors. </w:t>
      </w:r>
    </w:p>
    <w:p>
      <w:pPr>
        <w:pStyle w:val="TextBody"/>
        <w:spacing w:before="120" w:after="283"/>
        <w:jc w:val="left"/>
        <w:rPr/>
      </w:pPr>
      <w:r>
        <w:rPr/>
        <w:t>     </w:t>
      </w:r>
      <w:r>
        <w:rPr>
          <w:rFonts w:ascii="Times New Roman;Times;serif" w:hAnsi="Times New Roman;Times;serif"/>
          <w:sz w:val="17"/>
        </w:rPr>
        <w:t xml:space="preserve">Section 3.3 </w:t>
      </w:r>
      <w:r>
        <w:rPr>
          <w:rFonts w:ascii="Times New Roman;Times;serif" w:hAnsi="Times New Roman;Times;serif"/>
          <w:i/>
          <w:sz w:val="17"/>
        </w:rPr>
        <w:t>Place of Meetings; Order of Business</w:t>
      </w:r>
      <w:r>
        <w:rPr>
          <w:rFonts w:ascii="Times New Roman;Times;serif" w:hAnsi="Times New Roman;Times;serif"/>
          <w:sz w:val="17"/>
        </w:rPr>
        <w:t xml:space="preserve">. The directors may hold their meetings and may have an office and keep the books of the Corporation, except as otherwise provided by law, in such place or places, within or without the State of Delaware, as the Board of Directors may from time to time determine by resolution. At all meetings of the Board of Directors business shall be transacted in such order as shall from time to time be determined by the Chairman of the Board, or in his absence by the President, or by resolution of the Board of Directors. </w:t>
      </w:r>
    </w:p>
    <w:p>
      <w:pPr>
        <w:pStyle w:val="TextBody"/>
        <w:spacing w:before="120" w:after="283"/>
        <w:jc w:val="left"/>
        <w:rPr/>
      </w:pPr>
      <w:r>
        <w:rPr/>
        <w:t>     </w:t>
      </w:r>
      <w:r>
        <w:rPr>
          <w:rFonts w:ascii="Times New Roman;Times;serif" w:hAnsi="Times New Roman;Times;serif"/>
          <w:sz w:val="17"/>
        </w:rPr>
        <w:t xml:space="preserve">Section 3.4 </w:t>
      </w:r>
      <w:r>
        <w:rPr>
          <w:rFonts w:ascii="Times New Roman;Times;serif" w:hAnsi="Times New Roman;Times;serif"/>
          <w:i/>
          <w:sz w:val="17"/>
        </w:rPr>
        <w:t>First Meeting</w:t>
      </w:r>
      <w:r>
        <w:rPr>
          <w:rFonts w:ascii="Times New Roman;Times;serif" w:hAnsi="Times New Roman;Times;serif"/>
          <w:sz w:val="17"/>
        </w:rPr>
        <w:t xml:space="preserve">. Each newly elected Board of Directors may hold its first meeting for the purpose of organization and the transaction of business, if a quorum is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present, immediately after and at the same place as the annual meeting of the stockholders. Notice of such meeting shall not be required. At the first meeting of the Board of Directors in each year at which a quorum shall be present, held next after the annual meeting of stockholders, the Board of Directors shall proceed to the election of the officers of the Corporation. </w:t>
      </w:r>
    </w:p>
    <w:p>
      <w:pPr>
        <w:pStyle w:val="TextBody"/>
        <w:spacing w:before="120" w:after="283"/>
        <w:jc w:val="left"/>
        <w:rPr/>
      </w:pPr>
      <w:r>
        <w:rPr/>
        <w:t>     </w:t>
      </w:r>
      <w:r>
        <w:rPr>
          <w:rFonts w:ascii="Times New Roman;Times;serif" w:hAnsi="Times New Roman;Times;serif"/>
          <w:sz w:val="17"/>
        </w:rPr>
        <w:t xml:space="preserve">Section 3.5 </w:t>
      </w:r>
      <w:r>
        <w:rPr>
          <w:rFonts w:ascii="Times New Roman;Times;serif" w:hAnsi="Times New Roman;Times;serif"/>
          <w:i/>
          <w:sz w:val="17"/>
        </w:rPr>
        <w:t>Regular Meetings</w:t>
      </w:r>
      <w:r>
        <w:rPr>
          <w:rFonts w:ascii="Times New Roman;Times;serif" w:hAnsi="Times New Roman;Times;serif"/>
          <w:sz w:val="17"/>
        </w:rPr>
        <w:t xml:space="preserve">. Regular meetings of the Board of Directors shall be held at such times and places as shall be designated from time to time by resolution of the Board of Directors. Notice of such regular meetings shall not be required. </w:t>
      </w:r>
    </w:p>
    <w:p>
      <w:pPr>
        <w:pStyle w:val="TextBody"/>
        <w:spacing w:before="120" w:after="283"/>
        <w:jc w:val="left"/>
        <w:rPr/>
      </w:pPr>
      <w:r>
        <w:rPr/>
        <w:t>     </w:t>
      </w:r>
      <w:r>
        <w:rPr>
          <w:rFonts w:ascii="Times New Roman;Times;serif" w:hAnsi="Times New Roman;Times;serif"/>
          <w:sz w:val="17"/>
        </w:rPr>
        <w:t xml:space="preserve">Section 3.6 </w:t>
      </w:r>
      <w:r>
        <w:rPr>
          <w:rFonts w:ascii="Times New Roman;Times;serif" w:hAnsi="Times New Roman;Times;serif"/>
          <w:i/>
          <w:sz w:val="17"/>
        </w:rPr>
        <w:t>Special Meetings</w:t>
      </w:r>
      <w:r>
        <w:rPr>
          <w:rFonts w:ascii="Times New Roman;Times;serif" w:hAnsi="Times New Roman;Times;serif"/>
          <w:sz w:val="17"/>
        </w:rPr>
        <w:t xml:space="preserve">. Special meetings of the Board of Directors may be called by the Chairman of the Board, the President or, on the written request of any two directors, by the Secretary, in each case on at least twenty-four (24) hours personal, written, telegraphic, cable or wireless notice to each director. Such notice, or any waiver thereof pursuant to </w:t>
      </w:r>
      <w:r>
        <w:rPr>
          <w:rFonts w:ascii="Times New Roman;Times;serif" w:hAnsi="Times New Roman;Times;serif"/>
          <w:sz w:val="17"/>
          <w:u w:val="single"/>
        </w:rPr>
        <w:t>Section 8.3</w:t>
      </w:r>
      <w:r>
        <w:rPr>
          <w:rFonts w:ascii="Times New Roman;Times;serif" w:hAnsi="Times New Roman;Times;serif"/>
          <w:sz w:val="17"/>
        </w:rPr>
        <w:t xml:space="preserve"> hereof, need not state the purpose or purposes of such meeting, except as may otherwise be required by law or provided for in the Certificate of Incorporation or these bylaws. </w:t>
      </w:r>
    </w:p>
    <w:p>
      <w:pPr>
        <w:pStyle w:val="TextBody"/>
        <w:spacing w:before="120" w:after="283"/>
        <w:jc w:val="left"/>
        <w:rPr/>
      </w:pPr>
      <w:r>
        <w:rPr/>
        <w:t>     </w:t>
      </w:r>
      <w:r>
        <w:rPr>
          <w:rFonts w:ascii="Times New Roman;Times;serif" w:hAnsi="Times New Roman;Times;serif"/>
          <w:sz w:val="17"/>
        </w:rPr>
        <w:t xml:space="preserve">Section 3.7 </w:t>
      </w:r>
      <w:r>
        <w:rPr>
          <w:rFonts w:ascii="Times New Roman;Times;serif" w:hAnsi="Times New Roman;Times;serif"/>
          <w:i/>
          <w:sz w:val="17"/>
        </w:rPr>
        <w:t>Removal</w:t>
      </w:r>
      <w:r>
        <w:rPr>
          <w:rFonts w:ascii="Times New Roman;Times;serif" w:hAnsi="Times New Roman;Times;serif"/>
          <w:sz w:val="17"/>
        </w:rPr>
        <w:t xml:space="preserve">. Any director or the entire Board of Directors may be removed, with or without cause, by the holders of a majority of the shares then entitled to vote at an election of directors; </w:t>
      </w:r>
      <w:r>
        <w:rPr>
          <w:rFonts w:ascii="Times New Roman;Times;serif" w:hAnsi="Times New Roman;Times;serif"/>
          <w:i/>
          <w:sz w:val="17"/>
        </w:rPr>
        <w:t>provided</w:t>
      </w:r>
      <w:r>
        <w:rPr>
          <w:rFonts w:ascii="Times New Roman;Times;serif" w:hAnsi="Times New Roman;Times;serif"/>
          <w:sz w:val="17"/>
        </w:rPr>
        <w:t xml:space="preserve"> that, unless the Certificate of Incorporation otherwise provides, if the Board of Directors is classified, then the stockholders may effect such removal only for cause; and </w:t>
      </w:r>
      <w:r>
        <w:rPr>
          <w:rFonts w:ascii="Times New Roman;Times;serif" w:hAnsi="Times New Roman;Times;serif"/>
          <w:i/>
          <w:sz w:val="17"/>
        </w:rPr>
        <w:t>provided further</w:t>
      </w:r>
      <w:r>
        <w:rPr>
          <w:rFonts w:ascii="Times New Roman;Times;serif" w:hAnsi="Times New Roman;Times;serif"/>
          <w:sz w:val="17"/>
        </w:rPr>
        <w:t xml:space="preserve"> that, if the Certificate of Incorporation expressly grants to stockholders the right to cumulate votes for the election of directors and if less than the entire board is to be removed, no director may be removed without cause if the votes cast against his removal would be sufficient to elect him if then cumulatively voted at an election of the entire Board of Directors, or, if there be classes of directors, at an election of the class of directors of which such director is a part. </w:t>
      </w:r>
    </w:p>
    <w:p>
      <w:pPr>
        <w:pStyle w:val="TextBody"/>
        <w:spacing w:before="120" w:after="283"/>
        <w:jc w:val="left"/>
        <w:rPr/>
      </w:pPr>
      <w:r>
        <w:rPr/>
        <w:t>     </w:t>
      </w:r>
      <w:r>
        <w:rPr>
          <w:rFonts w:ascii="Times New Roman;Times;serif" w:hAnsi="Times New Roman;Times;serif"/>
          <w:sz w:val="17"/>
        </w:rPr>
        <w:t xml:space="preserve">Section 3.8 </w:t>
      </w:r>
      <w:r>
        <w:rPr>
          <w:rFonts w:ascii="Times New Roman;Times;serif" w:hAnsi="Times New Roman;Times;serif"/>
          <w:i/>
          <w:sz w:val="17"/>
        </w:rPr>
        <w:t>Vacancies; Increases in the Number of Directors</w:t>
      </w:r>
      <w:r>
        <w:rPr>
          <w:rFonts w:ascii="Times New Roman;Times;serif" w:hAnsi="Times New Roman;Times;serif"/>
          <w:sz w:val="17"/>
        </w:rPr>
        <w:t xml:space="preserve">. Unless otherwise provided in the Certificate of Incorporation, vacancies and newly created directorships resulting from any increase in the authorized number of directors may be filled by a majority of the directors then in office, although less than a quorum, or a sole remaining director; and any director so chosen shall hold office until the next annual election and until his successor shall be duly elected and shall qualify, unless sooner displaced. </w:t>
      </w:r>
    </w:p>
    <w:p>
      <w:pPr>
        <w:pStyle w:val="TextBody"/>
        <w:spacing w:before="120" w:after="283"/>
        <w:jc w:val="left"/>
        <w:rPr/>
      </w:pPr>
      <w:r>
        <w:rPr/>
        <w:t>     </w:t>
      </w:r>
      <w:r>
        <w:rPr>
          <w:rFonts w:ascii="Times New Roman;Times;serif" w:hAnsi="Times New Roman;Times;serif"/>
          <w:sz w:val="17"/>
        </w:rPr>
        <w:t xml:space="preserve">If the directors of the Corporation are divided into classes, any directors elected to fill vacancies or newly created directorships shall hold office until the next election of the class for which such directors shall have been chosen, and until their successors shall be duly elected and shall qualify. </w:t>
      </w:r>
    </w:p>
    <w:p>
      <w:pPr>
        <w:pStyle w:val="TextBody"/>
        <w:spacing w:before="120" w:after="283"/>
        <w:jc w:val="left"/>
        <w:rPr/>
      </w:pPr>
      <w:r>
        <w:rPr/>
        <w:t>     </w:t>
      </w:r>
      <w:r>
        <w:rPr>
          <w:rFonts w:ascii="Times New Roman;Times;serif" w:hAnsi="Times New Roman;Times;serif"/>
          <w:sz w:val="17"/>
        </w:rPr>
        <w:t xml:space="preserve">Section 3.9 </w:t>
      </w:r>
      <w:r>
        <w:rPr>
          <w:rFonts w:ascii="Times New Roman;Times;serif" w:hAnsi="Times New Roman;Times;serif"/>
          <w:i/>
          <w:sz w:val="17"/>
        </w:rPr>
        <w:t>Compensation</w:t>
      </w:r>
      <w:r>
        <w:rPr>
          <w:rFonts w:ascii="Times New Roman;Times;serif" w:hAnsi="Times New Roman;Times;serif"/>
          <w:sz w:val="17"/>
        </w:rPr>
        <w:t xml:space="preserve">. Unless otherwise restricted by the Certificate of Incorporation, the Board of Directors shall have the authority to fix the compensation of directors. </w:t>
      </w:r>
    </w:p>
    <w:p>
      <w:pPr>
        <w:pStyle w:val="TextBody"/>
        <w:spacing w:before="120" w:after="283"/>
        <w:jc w:val="left"/>
        <w:rPr/>
      </w:pPr>
      <w:r>
        <w:rPr/>
        <w:t>     </w:t>
      </w:r>
      <w:r>
        <w:rPr>
          <w:rFonts w:ascii="Times New Roman;Times;serif" w:hAnsi="Times New Roman;Times;serif"/>
          <w:sz w:val="17"/>
        </w:rPr>
        <w:t xml:space="preserve">Section 3.10 </w:t>
      </w:r>
      <w:r>
        <w:rPr>
          <w:rFonts w:ascii="Times New Roman;Times;serif" w:hAnsi="Times New Roman;Times;serif"/>
          <w:i/>
          <w:sz w:val="17"/>
        </w:rPr>
        <w:t>Action Without a Meeting; Telephone Conference Meeting</w:t>
      </w:r>
      <w:r>
        <w:rPr>
          <w:rFonts w:ascii="Times New Roman;Times;serif" w:hAnsi="Times New Roman;Times;serif"/>
          <w:sz w:val="17"/>
        </w:rPr>
        <w:t xml:space="preserve">. Unless otherwise restricted by the Certificate of Incorporation, any action required or permitted to be taken at any meeting of the Board of Directors, or any committee designated by the Board of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Directors, may be taken without a meeting if all members of the Board of Directors or committee, as the case may be consent thereto in writing, and the writing or writings are filed with the minutes of proceedings of the Board of Directors or committee. Such consent shall have the same force and effect as a unanimous vote at a meeting, and may be stated as such in any document or instrument filed with the Secretary of State of Delaware. </w:t>
      </w:r>
    </w:p>
    <w:p>
      <w:pPr>
        <w:pStyle w:val="TextBody"/>
        <w:spacing w:before="120" w:after="283"/>
        <w:jc w:val="left"/>
        <w:rPr/>
      </w:pPr>
      <w:r>
        <w:rPr/>
        <w:t>     </w:t>
      </w:r>
      <w:r>
        <w:rPr>
          <w:rFonts w:ascii="Times New Roman;Times;serif" w:hAnsi="Times New Roman;Times;serif"/>
          <w:sz w:val="17"/>
        </w:rPr>
        <w:t xml:space="preserve">Unless otherwise restricted by the Certificate of Incorporation, subject to the requirement for notice of meetings, members of the Board of Directors, or members of any committee designated by the Board of Directors, may participate in a meeting of such Board of Directors or committee, as the case may be, by means of a conference telephone or similar communications equipment by means of which all persons participating in the meeting can hear each other, and participation in such a meeting shall constitute presence in person at such meeting, except where a person participates in the meeting for the express purpose of objecting to the transaction of any business on the ground that the meeting is not lawfully called or convened. </w:t>
      </w:r>
    </w:p>
    <w:p>
      <w:pPr>
        <w:pStyle w:val="TextBody"/>
        <w:spacing w:before="120" w:after="283"/>
        <w:jc w:val="left"/>
        <w:rPr/>
      </w:pPr>
      <w:r>
        <w:rPr/>
        <w:t>     </w:t>
      </w:r>
      <w:r>
        <w:rPr>
          <w:rFonts w:ascii="Times New Roman;Times;serif" w:hAnsi="Times New Roman;Times;serif"/>
          <w:sz w:val="17"/>
        </w:rPr>
        <w:t xml:space="preserve">Section 3.11 </w:t>
      </w:r>
      <w:r>
        <w:rPr>
          <w:rFonts w:ascii="Times New Roman;Times;serif" w:hAnsi="Times New Roman;Times;serif"/>
          <w:i/>
          <w:sz w:val="17"/>
        </w:rPr>
        <w:t>Approval or Ratification of Acts or Contracts by Stockholders</w:t>
      </w:r>
      <w:r>
        <w:rPr>
          <w:rFonts w:ascii="Times New Roman;Times;serif" w:hAnsi="Times New Roman;Times;serif"/>
          <w:sz w:val="17"/>
        </w:rPr>
        <w:t xml:space="preserve">.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IV</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Committees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4.1 </w:t>
      </w:r>
      <w:r>
        <w:rPr>
          <w:rFonts w:ascii="Times New Roman;Times;serif" w:hAnsi="Times New Roman;Times;serif"/>
          <w:i/>
          <w:sz w:val="17"/>
        </w:rPr>
        <w:t>Designation; Powers</w:t>
      </w:r>
      <w:r>
        <w:rPr>
          <w:rFonts w:ascii="Times New Roman;Times;serif" w:hAnsi="Times New Roman;Times;serif"/>
          <w:sz w:val="17"/>
        </w:rPr>
        <w:t xml:space="preserve">. The Board of Directors may, by resolution passed by a majority of the entire board, designate one or more committees, including, if they shall so determine, an executive committee,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such resolution, except that no such committee shall have the power or authority of the Board of Directors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of the Corporation, or amending, altering or repealing the bylaws or adopting new bylaws for the Corporation and, unless such resolution or the Certificate of Incorporation expressly so provides, no such committee shall have the power or authority to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declare a dividend or to authorize the issuance of stock. Any such designated committee may authorize the seal of the Corporation to be affixed to all papers which may require it. In addition to the above such committee or committees shall have such other powers and limitations of authority as may be determined from time to time by resolution adopted by the Board of Directors. </w:t>
      </w:r>
    </w:p>
    <w:p>
      <w:pPr>
        <w:pStyle w:val="TextBody"/>
        <w:spacing w:before="120" w:after="283"/>
        <w:jc w:val="left"/>
        <w:rPr/>
      </w:pPr>
      <w:r>
        <w:rPr/>
        <w:t>     </w:t>
      </w:r>
      <w:r>
        <w:rPr>
          <w:rFonts w:ascii="Times New Roman;Times;serif" w:hAnsi="Times New Roman;Times;serif"/>
          <w:sz w:val="17"/>
        </w:rPr>
        <w:t xml:space="preserve">Section 4.2 </w:t>
      </w:r>
      <w:r>
        <w:rPr>
          <w:rFonts w:ascii="Times New Roman;Times;serif" w:hAnsi="Times New Roman;Times;serif"/>
          <w:i/>
          <w:sz w:val="17"/>
        </w:rPr>
        <w:t>Procedure; Meetings; Quorum</w:t>
      </w:r>
      <w:r>
        <w:rPr>
          <w:rFonts w:ascii="Times New Roman;Times;serif" w:hAnsi="Times New Roman;Times;serif"/>
          <w:sz w:val="17"/>
        </w:rPr>
        <w:t xml:space="preserve">. Any committee designated pursuant to </w:t>
      </w:r>
      <w:r>
        <w:rPr>
          <w:rFonts w:ascii="Times New Roman;Times;serif" w:hAnsi="Times New Roman;Times;serif"/>
          <w:sz w:val="17"/>
          <w:u w:val="single"/>
        </w:rPr>
        <w:t>Section 4.1</w:t>
      </w:r>
      <w:r>
        <w:rPr>
          <w:rFonts w:ascii="Times New Roman;Times;serif" w:hAnsi="Times New Roman;Times;serif"/>
          <w:sz w:val="17"/>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w:t>
      </w:r>
    </w:p>
    <w:p>
      <w:pPr>
        <w:pStyle w:val="TextBody"/>
        <w:spacing w:before="120" w:after="283"/>
        <w:jc w:val="left"/>
        <w:rPr/>
      </w:pPr>
      <w:r>
        <w:rPr/>
        <w:t>     </w:t>
      </w:r>
      <w:r>
        <w:rPr>
          <w:rFonts w:ascii="Times New Roman;Times;serif" w:hAnsi="Times New Roman;Times;serif"/>
          <w:sz w:val="17"/>
        </w:rPr>
        <w:t xml:space="preserve">Section 4.3 </w:t>
      </w:r>
      <w:r>
        <w:rPr>
          <w:rFonts w:ascii="Times New Roman;Times;serif" w:hAnsi="Times New Roman;Times;serif"/>
          <w:i/>
          <w:sz w:val="17"/>
        </w:rPr>
        <w:t>Substitution of Members</w:t>
      </w:r>
      <w:r>
        <w:rPr>
          <w:rFonts w:ascii="Times New Roman;Times;serif" w:hAnsi="Times New Roman;Times;serif"/>
          <w:sz w:val="17"/>
        </w:rPr>
        <w:t xml:space="preserve">. The Board of Directors may designate one or more directors as alternate members of any committee, who may replace any absent or disqualified member at any meeting of such committee.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Officers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5.1 </w:t>
      </w:r>
      <w:r>
        <w:rPr>
          <w:rFonts w:ascii="Times New Roman;Times;serif" w:hAnsi="Times New Roman;Times;serif"/>
          <w:i/>
          <w:sz w:val="17"/>
        </w:rPr>
        <w:t>Number, Titles and Term of Office</w:t>
      </w:r>
      <w:r>
        <w:rPr>
          <w:rFonts w:ascii="Times New Roman;Times;serif" w:hAnsi="Times New Roman;Times;serif"/>
          <w:sz w:val="17"/>
        </w:rPr>
        <w:t xml:space="preserve">. The officers of the Corporation shall be a President and a Secretary and, if the Board of Directors so elects, a Chairman of the Board, one or more Vice Presidents (any one or more of whom may be designated Executive Vice President or Senior Vice President), a Treasurer and such other officers as the Board of Directors may from time to time elect or appoint. Each officer shall hold office until his successor shall be duly elected and shall qualify or until his death or until he shall resign or shall have been removed in the manner hereinafter provided. Any number of offices may be held by the same person, unless the Certificate of Incorporation provides otherwise. Except for the Chairman of the Board, if any, no officer need be a director. </w:t>
      </w:r>
    </w:p>
    <w:p>
      <w:pPr>
        <w:pStyle w:val="TextBody"/>
        <w:spacing w:before="120" w:after="283"/>
        <w:jc w:val="left"/>
        <w:rPr/>
      </w:pPr>
      <w:r>
        <w:rPr/>
        <w:t>     </w:t>
      </w:r>
      <w:r>
        <w:rPr>
          <w:rFonts w:ascii="Times New Roman;Times;serif" w:hAnsi="Times New Roman;Times;serif"/>
          <w:sz w:val="17"/>
        </w:rPr>
        <w:t xml:space="preserve">Section 5.2 </w:t>
      </w:r>
      <w:r>
        <w:rPr>
          <w:rFonts w:ascii="Times New Roman;Times;serif" w:hAnsi="Times New Roman;Times;serif"/>
          <w:i/>
          <w:sz w:val="17"/>
        </w:rPr>
        <w:t>Salaries</w:t>
      </w:r>
      <w:r>
        <w:rPr>
          <w:rFonts w:ascii="Times New Roman;Times;serif" w:hAnsi="Times New Roman;Times;serif"/>
          <w:sz w:val="17"/>
        </w:rPr>
        <w:t xml:space="preserve">. The salaries or other compensation of the officers and agents of the Corporation shall be fixed from time to time by the Board of Directors. </w:t>
      </w:r>
    </w:p>
    <w:p>
      <w:pPr>
        <w:pStyle w:val="TextBody"/>
        <w:spacing w:before="120" w:after="283"/>
        <w:jc w:val="left"/>
        <w:rPr/>
      </w:pPr>
      <w:r>
        <w:rPr/>
        <w:t>     </w:t>
      </w:r>
      <w:r>
        <w:rPr>
          <w:rFonts w:ascii="Times New Roman;Times;serif" w:hAnsi="Times New Roman;Times;serif"/>
          <w:sz w:val="17"/>
        </w:rPr>
        <w:t xml:space="preserve">Section 5.3 </w:t>
      </w:r>
      <w:r>
        <w:rPr>
          <w:rFonts w:ascii="Times New Roman;Times;serif" w:hAnsi="Times New Roman;Times;serif"/>
          <w:i/>
          <w:sz w:val="17"/>
        </w:rPr>
        <w:t>Removal</w:t>
      </w:r>
      <w:r>
        <w:rPr>
          <w:rFonts w:ascii="Times New Roman;Times;serif" w:hAnsi="Times New Roman;Times;serif"/>
          <w:sz w:val="17"/>
        </w:rPr>
        <w:t xml:space="preserve">. Any officer or agent elected or appointed by the Board of Directors may be removed, either with or without cause, by the vote of a majority of the whole Board of Directors at a special meeting called for the purpose, or at any regular meeting of the Board of Directors, provided the notice for such meeting shall specify that the matter of any such proposed removal will be considered at the meeting but such removal shall be without prejudice to the contract rights, if any, of the person so removed. Election or appointment of an officer or agent shall not of itself create contract rights.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5.4 </w:t>
      </w:r>
      <w:r>
        <w:rPr>
          <w:rFonts w:ascii="Times New Roman;Times;serif" w:hAnsi="Times New Roman;Times;serif"/>
          <w:i/>
          <w:sz w:val="17"/>
        </w:rPr>
        <w:t>Vacancies</w:t>
      </w:r>
      <w:r>
        <w:rPr>
          <w:rFonts w:ascii="Times New Roman;Times;serif" w:hAnsi="Times New Roman;Times;serif"/>
          <w:sz w:val="17"/>
        </w:rPr>
        <w:t xml:space="preserve">. Any vacancy occurring in any office of the Corporation may be filled by the Board of Directors. </w:t>
      </w:r>
    </w:p>
    <w:p>
      <w:pPr>
        <w:pStyle w:val="TextBody"/>
        <w:spacing w:before="120" w:after="283"/>
        <w:jc w:val="left"/>
        <w:rPr/>
      </w:pPr>
      <w:r>
        <w:rPr/>
        <w:t>     </w:t>
      </w:r>
      <w:r>
        <w:rPr>
          <w:rFonts w:ascii="Times New Roman;Times;serif" w:hAnsi="Times New Roman;Times;serif"/>
          <w:sz w:val="17"/>
        </w:rPr>
        <w:t xml:space="preserve">Section 5.5 </w:t>
      </w:r>
      <w:r>
        <w:rPr>
          <w:rFonts w:ascii="Times New Roman;Times;serif" w:hAnsi="Times New Roman;Times;serif"/>
          <w:i/>
          <w:sz w:val="17"/>
        </w:rPr>
        <w:t>Powers and Duties of the Officers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(a) Chief Executive Officer</w:t>
      </w:r>
      <w:r>
        <w:rPr>
          <w:rFonts w:ascii="Times New Roman;Times;serif" w:hAnsi="Times New Roman;Times;serif"/>
          <w:sz w:val="17"/>
        </w:rPr>
        <w:t xml:space="preserve">. The President shall be the chief executive officer of the Corporation unless the Board of Directors designates the Chairman of the Board as chief executive officer. Subject to the control of the Board of Directors, the chief executive officer shall have general executive charge, management and control of the properties, business and operations of the Corporation with all such powers as may be reasonably incident to such responsibilities; such person may agree upon and execute all leases, contracts, evidences of indebtedness and other obligations in the name of the Corporation and may sign all certificates for shares of capital stock of the Corporation; and shall have such other powers and duties as designated in accordance with these bylaws and as from time to time may be assigned to such person by the Board of Directors. </w:t>
      </w:r>
    </w:p>
    <w:p>
      <w:pPr>
        <w:pStyle w:val="TextBody"/>
        <w:spacing w:before="120" w:after="283"/>
        <w:jc w:val="left"/>
        <w:rPr/>
      </w:pPr>
      <w:r>
        <w:rPr/>
        <w:t>          </w:t>
      </w:r>
      <w:r>
        <w:rPr>
          <w:rFonts w:ascii="Times New Roman;Times;serif" w:hAnsi="Times New Roman;Times;serif"/>
          <w:i/>
          <w:sz w:val="17"/>
        </w:rPr>
        <w:t>(b) Chairman of the Board</w:t>
      </w:r>
      <w:r>
        <w:rPr>
          <w:rFonts w:ascii="Times New Roman;Times;serif" w:hAnsi="Times New Roman;Times;serif"/>
          <w:sz w:val="17"/>
        </w:rPr>
        <w:t xml:space="preserve">. The Board of Directors may elect an individual to serve as Chairman. If a Chairman is elected and acting, the Chairman shall, subject to the direction of the Board of Directors, be the chief policy making officer of the Corporation and shall have power and final authority over all of the Corporations affairs and business. The Chairman shall, subject to the supervision of the Board of Directors, shall preside at all meetings of the stockholders and of the Boards of Directors; The Chairman shall have the nonexclusive authority to sign on behalf of the Corporation any deeds, mortgages, leases, bonds, notes, certificates, contracts or other instruments, except in cases where the execution thereof shall be expressly delegated by the Board of Directors or these bylaws to some other officer or agent of the Corporation or shall be required by law to be otherwise executed. In general, the Chairman shall perform any duties necessary for the operation and management of the Corporation and such other duties as may be prescribed from time to time by the Board of Directors. </w:t>
      </w:r>
    </w:p>
    <w:p>
      <w:pPr>
        <w:pStyle w:val="TextBody"/>
        <w:spacing w:before="120" w:after="283"/>
        <w:jc w:val="left"/>
        <w:rPr/>
      </w:pPr>
      <w:r>
        <w:rPr/>
        <w:t>          </w:t>
      </w:r>
      <w:r>
        <w:rPr>
          <w:rFonts w:ascii="Times New Roman;Times;serif" w:hAnsi="Times New Roman;Times;serif"/>
          <w:i/>
          <w:sz w:val="17"/>
        </w:rPr>
        <w:t>(c) President</w:t>
      </w:r>
      <w:r>
        <w:rPr>
          <w:rFonts w:ascii="Times New Roman;Times;serif" w:hAnsi="Times New Roman;Times;serif"/>
          <w:sz w:val="17"/>
        </w:rPr>
        <w:t xml:space="preserve">. In general, the President, subject to the direction and supervision of the Board of Directors and the Chairman, if there shall be one, shall be the chief executive officer of the Corporation and shall have general and active control of its affairs and business and general supervision of its officers, agents and employees, and shall perform all duties incident to the office of President of the Corporation and such other duties as may be prescribed from time to time by the Chairman or the Board of Directors or these bylaws. The President shall have the nonexclusive authority to sign on behalf of the Corporation any deeds, mortgages, leases, bonds, notes, certificates, contracts or other instruments, except in cases where the execution thereof shall be expressly delegated by the Board of Directors to some other officer or agent of the Corporation or shall be required by law to be otherwise executed. In the absence of the Chairman or in the event of the Chairmans inability or refusal to act, the President shall perform the duties of the Chairman, and the President, when so acting, shall have all of the powers and be subject to all the restrictions upon the Chairman; and, unless the Board of Directors otherwise determines, such person shall, in the absence of the Chairman of the Board or if there be no Chairman of the Board, preside at all meetings of the stockholders and (should he be a director) of the Board of Directors; and he shall have such other powers and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duties as designated in accordance with these bylaws and as from time to time may be assigned to him by the Board of Directors. </w:t>
      </w:r>
    </w:p>
    <w:p>
      <w:pPr>
        <w:pStyle w:val="TextBody"/>
        <w:spacing w:before="120" w:after="283"/>
        <w:jc w:val="left"/>
        <w:rPr/>
      </w:pPr>
      <w:r>
        <w:rPr/>
        <w:t>          </w:t>
      </w:r>
      <w:r>
        <w:rPr>
          <w:rFonts w:ascii="Times New Roman;Times;serif" w:hAnsi="Times New Roman;Times;serif"/>
          <w:i/>
          <w:sz w:val="17"/>
        </w:rPr>
        <w:t>(d) Vice Presidents</w:t>
      </w:r>
      <w:r>
        <w:rPr>
          <w:rFonts w:ascii="Times New Roman;Times;serif" w:hAnsi="Times New Roman;Times;serif"/>
          <w:sz w:val="17"/>
        </w:rPr>
        <w:t xml:space="preserve">. The Board of Directors in its discretion, may elect one or more Vice Presidents. In the absence of the President or in the event of the Presidents inability or refusal to act, the Vice President (or in the event there be more than one vice president, the vice presidents in the order designated, or in the absence of any designation, then in the order of their election) shall perform the duties of the President, and the Vice President, when so acting, shall have all of the powers and be subject to all the restrictions upon the President. Each Vice President shall perform such other duties as from time to time may be assigned by the Board of Directors, the Chairman, if there is one, or the President. </w:t>
      </w:r>
    </w:p>
    <w:p>
      <w:pPr>
        <w:pStyle w:val="TextBody"/>
        <w:spacing w:before="120" w:after="283"/>
        <w:jc w:val="left"/>
        <w:rPr/>
      </w:pPr>
      <w:r>
        <w:rPr/>
        <w:t>          </w:t>
      </w:r>
      <w:r>
        <w:rPr>
          <w:rFonts w:ascii="Times New Roman;Times;serif" w:hAnsi="Times New Roman;Times;serif"/>
          <w:i/>
          <w:sz w:val="17"/>
        </w:rPr>
        <w:t>(e) Treasurer</w:t>
      </w:r>
      <w:r>
        <w:rPr>
          <w:rFonts w:ascii="Times New Roman;Times;serif" w:hAnsi="Times New Roman;Times;serif"/>
          <w:sz w:val="17"/>
        </w:rPr>
        <w:t xml:space="preserve">. The Treasurer, if any, shall have responsibility for the custody and control of all the funds and securities of the Corporation, and such person shall have such other powers and duties as designated in these bylaws and as from time to time may be assigned to such person by the Board of Directors. Such person shall perform all acts incident to the position of Treasurer, subject to the control of the chief executive officer and the Board of Directors; and such person shall, if required by the Board of Directors, give such bond for the faithful discharge of such persons duties in such form as the Board of Directors may require. </w:t>
      </w:r>
    </w:p>
    <w:p>
      <w:pPr>
        <w:pStyle w:val="TextBody"/>
        <w:spacing w:before="120" w:after="283"/>
        <w:jc w:val="left"/>
        <w:rPr/>
      </w:pPr>
      <w:r>
        <w:rPr/>
        <w:t>          </w:t>
      </w:r>
      <w:r>
        <w:rPr>
          <w:rFonts w:ascii="Times New Roman;Times;serif" w:hAnsi="Times New Roman;Times;serif"/>
          <w:i/>
          <w:sz w:val="17"/>
        </w:rPr>
        <w:t>(f) Assistant Treasurers</w:t>
      </w:r>
      <w:r>
        <w:rPr>
          <w:rFonts w:ascii="Times New Roman;Times;serif" w:hAnsi="Times New Roman;Times;serif"/>
          <w:sz w:val="17"/>
        </w:rPr>
        <w:t xml:space="preserve">. Each Assistant Treasurer, if any, shall have the usual powers and duties pertaining to such persons office, together with such other powers and duties as designated in these bylaws and as from time to time may be assigned to such person by the chief executive officer or the Board of Directors. The Assistant Treasurers shall exercise the powers of the Treasurer during that officers absence or inability or refusal to act. </w:t>
      </w:r>
    </w:p>
    <w:p>
      <w:pPr>
        <w:pStyle w:val="TextBody"/>
        <w:spacing w:before="120" w:after="283"/>
        <w:jc w:val="left"/>
        <w:rPr/>
      </w:pPr>
      <w:r>
        <w:rPr/>
        <w:t>          </w:t>
      </w:r>
      <w:r>
        <w:rPr>
          <w:rFonts w:ascii="Times New Roman;Times;serif" w:hAnsi="Times New Roman;Times;serif"/>
          <w:i/>
          <w:sz w:val="17"/>
        </w:rPr>
        <w:t>(g) Secretary</w:t>
      </w:r>
      <w:r>
        <w:rPr>
          <w:rFonts w:ascii="Times New Roman;Times;serif" w:hAnsi="Times New Roman;Times;serif"/>
          <w:sz w:val="17"/>
        </w:rPr>
        <w:t xml:space="preserve">. The Secretary shall keep the minutes of all meetings of the Board of Directors, committees of directors and the stockholders, in books provided for that purpose; such person shall attend to the giving and serving of all notices; such person may in the name of the Corporation affix the seal of the Corporation to all contracts of the Corporation and attest the affixation of the seal of the Corporation thereto; he may sign with the other appointed officers all certificates for shares of capital stock of the Corporation; such person shall have charge of the certificate books, transfer books and stock ledgers, and such other books and papers as the Board of Directors may direct, all of which shall at all reasonable times be open to inspection of any director upon application at the office of the Corporation during business hours; such person shall have such other powers and duties as designated in these bylaws and as from time to time may be assigned to him by the Board of Directors; and he shall in general perform all acts incident to the office of Secretary, subject to the control of the chief executive officer and the Board of Directors. </w:t>
      </w:r>
    </w:p>
    <w:p>
      <w:pPr>
        <w:pStyle w:val="TextBody"/>
        <w:spacing w:before="120" w:after="283"/>
        <w:jc w:val="left"/>
        <w:rPr/>
      </w:pPr>
      <w:r>
        <w:rPr/>
        <w:t>          </w:t>
      </w:r>
      <w:r>
        <w:rPr>
          <w:rFonts w:ascii="Times New Roman;Times;serif" w:hAnsi="Times New Roman;Times;serif"/>
          <w:i/>
          <w:sz w:val="17"/>
        </w:rPr>
        <w:t>(h) Assistant Secretaries</w:t>
      </w:r>
      <w:r>
        <w:rPr>
          <w:rFonts w:ascii="Times New Roman;Times;serif" w:hAnsi="Times New Roman;Times;serif"/>
          <w:sz w:val="17"/>
        </w:rPr>
        <w:t xml:space="preserve">. Each Assistant Secretary, if any, shall have the usual powers and duties pertaining to such persons office, together with such other powers and duties as designated in these bylaws and as from time to time may be assigned to such person by the chief executive officer or the Board of Directors. The Assistant Secretaries shall exercise the powers of the Secretary during that officers absence or inability or refusal to act.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5.6 </w:t>
      </w:r>
      <w:r>
        <w:rPr>
          <w:rFonts w:ascii="Times New Roman;Times;serif" w:hAnsi="Times New Roman;Times;serif"/>
          <w:i/>
          <w:sz w:val="17"/>
        </w:rPr>
        <w:t>Action with Respect to Securities of Other Corporations</w:t>
      </w:r>
      <w:r>
        <w:rPr>
          <w:rFonts w:ascii="Times New Roman;Times;serif" w:hAnsi="Times New Roman;Times;serif"/>
          <w:sz w:val="17"/>
        </w:rPr>
        <w:t xml:space="preserve">. Unless otherwise directed by the Board of Directors, the chief executive officer shall have power to vote and otherwise act on behalf of the Corporation, in person or by proxy, at any meeting of security holders of or with respect to any action of security holders of any other corporation in which this Corporation may hold securities and otherwise to exercise any and all rights and powers which this Corporation may possess by reason of its ownership of securities in such other corporation.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Indemnification of Directors,</w:t>
      </w:r>
      <w:r>
        <w:rPr>
          <w:rFonts w:ascii="Times New Roman;Times;serif" w:hAnsi="Times New Roman;Times;serif"/>
          <w:sz w:val="17"/>
        </w:rPr>
        <w:br/>
      </w:r>
      <w:r>
        <w:rPr>
          <w:rFonts w:ascii="Times New Roman;Times;serif" w:hAnsi="Times New Roman;Times;serif"/>
          <w:b/>
          <w:sz w:val="17"/>
          <w:u w:val="single"/>
        </w:rPr>
        <w:t>Officers, Employees and Agents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6.1 </w:t>
      </w:r>
      <w:r>
        <w:rPr>
          <w:rFonts w:ascii="Times New Roman;Times;serif" w:hAnsi="Times New Roman;Times;serif"/>
          <w:i/>
          <w:sz w:val="17"/>
        </w:rPr>
        <w:t>Right to Indemnification</w:t>
      </w:r>
      <w:r>
        <w:rPr>
          <w:rFonts w:ascii="Times New Roman;Times;serif" w:hAnsi="Times New Roman;Times;serif"/>
          <w:sz w:val="17"/>
        </w:rPr>
        <w:t>. Each person who was or is made a party or is threatened to be made a party to or is involved in any action, suit or proceeding, whether civil, criminal, administrative or investigative (hereinafter a </w:t>
      </w:r>
      <w:r>
        <w:rPr>
          <w:rFonts w:ascii="Times New Roman;Times;serif" w:hAnsi="Times New Roman;Times;serif"/>
          <w:i/>
          <w:sz w:val="17"/>
        </w:rPr>
        <w:t>proceeding</w:t>
      </w:r>
      <w:r>
        <w:rPr>
          <w:rFonts w:ascii="Times New Roman;Times;serif" w:hAnsi="Times New Roman;Times;serif"/>
          <w:sz w:val="17"/>
        </w:rPr>
        <w:t xml:space="preserve">), by reason of the fact that such person or a person of whom such person is the legal representative, is or was or has agreed to become a director or officer of the Corporation or is or was serving or has agreed to serve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such persons heirs, executors and administrators;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the Corporation shall indemnify any such person seeking indemnification in connection with a proceeding (or part thereof), other than a proceeding (or part thereof) brought under </w:t>
      </w:r>
      <w:r>
        <w:rPr>
          <w:rFonts w:ascii="Times New Roman;Times;serif" w:hAnsi="Times New Roman;Times;serif"/>
          <w:sz w:val="17"/>
          <w:u w:val="single"/>
        </w:rPr>
        <w:t>Section 6.3</w:t>
      </w:r>
      <w:r>
        <w:rPr>
          <w:rFonts w:ascii="Times New Roman;Times;serif" w:hAnsi="Times New Roman;Times;serif"/>
          <w:sz w:val="17"/>
        </w:rPr>
        <w:t xml:space="preserve">, initiated by such person or such persons heirs, executors and administrators only if such proceeding (or part thereof) was authorized by the board of directors of the Corporation. The right to indemnification conferred in this </w:t>
      </w:r>
      <w:r>
        <w:rPr>
          <w:rFonts w:ascii="Times New Roman;Times;serif" w:hAnsi="Times New Roman;Times;serif"/>
          <w:sz w:val="17"/>
          <w:u w:val="single"/>
        </w:rPr>
        <w:t>Article VI</w:t>
      </w:r>
      <w:r>
        <w:rPr>
          <w:rFonts w:ascii="Times New Roman;Times;serif" w:hAnsi="Times New Roman;Times;serif"/>
          <w:sz w:val="17"/>
        </w:rPr>
        <w:t xml:space="preserve"> shall be a contract right and shall include the right to be paid by the Corporation the expenses incurred in defending any such proceeding in advance of its final disposition;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if the Delaware General Corporation Law requires, the payment of such expenses incurred by a current, former or proposed director or officer in such persons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 Section or otherwise.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6.2 </w:t>
      </w:r>
      <w:r>
        <w:rPr>
          <w:rFonts w:ascii="Times New Roman;Times;serif" w:hAnsi="Times New Roman;Times;serif"/>
          <w:i/>
          <w:sz w:val="17"/>
        </w:rPr>
        <w:t>Indemnification of Employees and Agents</w:t>
      </w:r>
      <w:r>
        <w:rPr>
          <w:rFonts w:ascii="Times New Roman;Times;serif" w:hAnsi="Times New Roman;Times;serif"/>
          <w:sz w:val="17"/>
        </w:rPr>
        <w:t xml:space="preserve">. The Corporation may, by action of its Board of Directors, provide indemnification to employees and agents of the Corporation, individually or as a group, with the same scope and effect as the indemnification of directors and officers provided for in this </w:t>
      </w:r>
      <w:r>
        <w:rPr>
          <w:rFonts w:ascii="Times New Roman;Times;serif" w:hAnsi="Times New Roman;Times;serif"/>
          <w:sz w:val="17"/>
          <w:u w:val="single"/>
        </w:rPr>
        <w:t>Article VI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6.3 </w:t>
      </w:r>
      <w:r>
        <w:rPr>
          <w:rFonts w:ascii="Times New Roman;Times;serif" w:hAnsi="Times New Roman;Times;serif"/>
          <w:i/>
          <w:sz w:val="17"/>
        </w:rPr>
        <w:t>Right of Claimant to Bring Suit</w:t>
      </w:r>
      <w:r>
        <w:rPr>
          <w:rFonts w:ascii="Times New Roman;Times;serif" w:hAnsi="Times New Roman;Times;serif"/>
          <w:sz w:val="17"/>
        </w:rPr>
        <w:t xml:space="preserve">. If a written claim received by the Corporation from or on behalf of an indemnified party under this </w:t>
      </w:r>
      <w:r>
        <w:rPr>
          <w:rFonts w:ascii="Times New Roman;Times;serif" w:hAnsi="Times New Roman;Times;serif"/>
          <w:sz w:val="17"/>
          <w:u w:val="single"/>
        </w:rPr>
        <w:t>Article VI</w:t>
      </w:r>
      <w:r>
        <w:rPr>
          <w:rFonts w:ascii="Times New Roman;Times;serif" w:hAnsi="Times New Roman;Times;serif"/>
          <w:sz w:val="17"/>
        </w:rPr>
        <w:t xml:space="preserve"> is not paid in full by the Corporation within ninety (90)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 </w:t>
      </w:r>
    </w:p>
    <w:p>
      <w:pPr>
        <w:pStyle w:val="TextBody"/>
        <w:spacing w:before="120" w:after="283"/>
        <w:jc w:val="left"/>
        <w:rPr/>
      </w:pPr>
      <w:r>
        <w:rPr/>
        <w:t>     </w:t>
      </w:r>
      <w:r>
        <w:rPr>
          <w:rFonts w:ascii="Times New Roman;Times;serif" w:hAnsi="Times New Roman;Times;serif"/>
          <w:sz w:val="17"/>
        </w:rPr>
        <w:t xml:space="preserve">Section 6.4 </w:t>
      </w:r>
      <w:r>
        <w:rPr>
          <w:rFonts w:ascii="Times New Roman;Times;serif" w:hAnsi="Times New Roman;Times;serif"/>
          <w:i/>
          <w:sz w:val="17"/>
        </w:rPr>
        <w:t>Nonexclusivity of Rights</w:t>
      </w:r>
      <w:r>
        <w:rPr>
          <w:rFonts w:ascii="Times New Roman;Times;serif" w:hAnsi="Times New Roman;Times;serif"/>
          <w:sz w:val="17"/>
        </w:rPr>
        <w:t xml:space="preserve">. The right to indemnification and the advancement and payment of expenses conferred in this </w:t>
      </w:r>
      <w:r>
        <w:rPr>
          <w:rFonts w:ascii="Times New Roman;Times;serif" w:hAnsi="Times New Roman;Times;serif"/>
          <w:sz w:val="17"/>
          <w:u w:val="single"/>
        </w:rPr>
        <w:t>Article VI</w:t>
      </w:r>
      <w:r>
        <w:rPr>
          <w:rFonts w:ascii="Times New Roman;Times;serif" w:hAnsi="Times New Roman;Times;serif"/>
          <w:sz w:val="17"/>
        </w:rPr>
        <w:t xml:space="preserve"> shall not be exclusive of any other right which any person may have or hereafter acquire under any law (common or statutory), provision of the Certificate of Incorporation of the Corporation, bylaw, agreement, vote of stockholders or disinterested directors or otherwise. </w:t>
      </w:r>
    </w:p>
    <w:p>
      <w:pPr>
        <w:pStyle w:val="TextBody"/>
        <w:spacing w:before="120" w:after="283"/>
        <w:jc w:val="left"/>
        <w:rPr/>
      </w:pPr>
      <w:r>
        <w:rPr/>
        <w:t>     </w:t>
      </w:r>
      <w:r>
        <w:rPr>
          <w:rFonts w:ascii="Times New Roman;Times;serif" w:hAnsi="Times New Roman;Times;serif"/>
          <w:sz w:val="17"/>
        </w:rPr>
        <w:t xml:space="preserve">Section 6.5 </w:t>
      </w:r>
      <w:r>
        <w:rPr>
          <w:rFonts w:ascii="Times New Roman;Times;serif" w:hAnsi="Times New Roman;Times;serif"/>
          <w:i/>
          <w:sz w:val="17"/>
        </w:rPr>
        <w:t>Insurance</w:t>
      </w:r>
      <w:r>
        <w:rPr>
          <w:rFonts w:ascii="Times New Roman;Times;serif" w:hAnsi="Times New Roman;Times;serif"/>
          <w:sz w:val="17"/>
        </w:rPr>
        <w:t xml:space="preserve">. The Corporation may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Delaware General Corporation Law. </w:t>
      </w:r>
    </w:p>
    <w:p>
      <w:pPr>
        <w:pStyle w:val="TextBody"/>
        <w:spacing w:before="120" w:after="283"/>
        <w:jc w:val="left"/>
        <w:rPr/>
      </w:pPr>
      <w:r>
        <w:rPr/>
        <w:t>     </w:t>
      </w:r>
      <w:r>
        <w:rPr>
          <w:rFonts w:ascii="Times New Roman;Times;serif" w:hAnsi="Times New Roman;Times;serif"/>
          <w:sz w:val="17"/>
        </w:rPr>
        <w:t xml:space="preserve">Section 6.6 </w:t>
      </w:r>
      <w:r>
        <w:rPr>
          <w:rFonts w:ascii="Times New Roman;Times;serif" w:hAnsi="Times New Roman;Times;serif"/>
          <w:i/>
          <w:sz w:val="17"/>
        </w:rPr>
        <w:t>Savings Clause</w:t>
      </w:r>
      <w:r>
        <w:rPr>
          <w:rFonts w:ascii="Times New Roman;Times;serif" w:hAnsi="Times New Roman;Times;serif"/>
          <w:sz w:val="17"/>
        </w:rPr>
        <w:t xml:space="preserve">. If this </w:t>
      </w:r>
      <w:r>
        <w:rPr>
          <w:rFonts w:ascii="Times New Roman;Times;serif" w:hAnsi="Times New Roman;Times;serif"/>
          <w:sz w:val="17"/>
          <w:u w:val="single"/>
        </w:rPr>
        <w:t>Article VI</w:t>
      </w:r>
      <w:r>
        <w:rPr>
          <w:rFonts w:ascii="Times New Roman;Times;serif" w:hAnsi="Times New Roman;Times;serif"/>
          <w:sz w:val="17"/>
        </w:rPr>
        <w:t xml:space="preserve">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w:t>
      </w:r>
      <w:r>
        <w:rPr>
          <w:rFonts w:ascii="Times New Roman;Times;serif" w:hAnsi="Times New Roman;Times;serif"/>
          <w:sz w:val="17"/>
          <w:u w:val="single"/>
        </w:rPr>
        <w:t>Article VI</w:t>
      </w:r>
      <w:r>
        <w:rPr>
          <w:rFonts w:ascii="Times New Roman;Times;serif" w:hAnsi="Times New Roman;Times;serif"/>
          <w:sz w:val="17"/>
        </w:rPr>
        <w:t xml:space="preserve"> that shall not have been invalidated and to the fullest extent permitted by applicable law.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6.7 </w:t>
      </w:r>
      <w:r>
        <w:rPr>
          <w:rFonts w:ascii="Times New Roman;Times;serif" w:hAnsi="Times New Roman;Times;serif"/>
          <w:i/>
          <w:sz w:val="17"/>
        </w:rPr>
        <w:t>Definitions</w:t>
      </w:r>
      <w:r>
        <w:rPr>
          <w:rFonts w:ascii="Times New Roman;Times;serif" w:hAnsi="Times New Roman;Times;serif"/>
          <w:sz w:val="17"/>
        </w:rPr>
        <w:t>. For purposes of this Article, reference to the </w:t>
      </w:r>
      <w:r>
        <w:rPr>
          <w:rFonts w:ascii="Times New Roman;Times;serif" w:hAnsi="Times New Roman;Times;serif"/>
          <w:i/>
          <w:sz w:val="17"/>
        </w:rPr>
        <w:t>Corporation</w:t>
      </w:r>
      <w:r>
        <w:rPr>
          <w:rFonts w:ascii="Times New Roman;Times;serif" w:hAnsi="Times New Roman;Times;serif"/>
          <w:sz w:val="17"/>
        </w:rPr>
        <w:t xml:space="preserve"> shall include, in addition to the Corporation, any constituent corporation (including any constituent of a constituent) absorbed in a consolidation or merger prior to (or, in the case of an entity specifically designated in a resolution of the Board of Directors, after) the adoption hereof and which, if its separate existence had continued, would have had the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Times;serif" w:hAnsi="Times New Roman;Times;serif"/>
          <w:sz w:val="17"/>
          <w:u w:val="single"/>
        </w:rPr>
        <w:t>Article VI</w:t>
      </w:r>
      <w:r>
        <w:rPr>
          <w:rFonts w:ascii="Times New Roman;Times;serif" w:hAnsi="Times New Roman;Times;serif"/>
          <w:sz w:val="17"/>
        </w:rPr>
        <w:t xml:space="preserve"> with respect to the resulting or surviving corporation as such person would have with respect to such constituent corporation if its separate existence had continued.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Capital Stock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7.1 </w:t>
      </w:r>
      <w:r>
        <w:rPr>
          <w:rFonts w:ascii="Times New Roman;Times;serif" w:hAnsi="Times New Roman;Times;serif"/>
          <w:i/>
          <w:sz w:val="17"/>
        </w:rPr>
        <w:t>Certificates of Stock</w:t>
      </w:r>
      <w:r>
        <w:rPr>
          <w:rFonts w:ascii="Times New Roman;Times;serif" w:hAnsi="Times New Roman;Times;serif"/>
          <w:sz w:val="17"/>
        </w:rPr>
        <w:t xml:space="preserve">. The certificates for shares of the capital stock of the Corporation shall be in such form, not inconsistent with that required by law and the Certificate of Incorporation, as shall be approved by the Board of Directors. The Chairman of the Board, President or a Vice President shall cause to be issued to each stockholder one or more certificates, under the seal of the Corporation or a facsimile thereof if the Board of Directors shall have provided for such seal, and signed by the Chairman of the Board, President or a Vice President and the Secretary or an Assistant Secretary or the Treasurer or an Assistant Treasurer certifying the number of shares (and, if the stock of the Corporation shall be divided into classes or series, the class and series of such shares) owned by such stockholder in the Corporation;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any of or all the signatures on the certificate may be facsimile.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 The stock certificates shall be consecutively numbered and shall be entered in the books of the Corporation as they are issued and shall exhibit the holders name and number of shares. </w:t>
      </w:r>
    </w:p>
    <w:p>
      <w:pPr>
        <w:pStyle w:val="TextBody"/>
        <w:spacing w:before="120" w:after="283"/>
        <w:jc w:val="left"/>
        <w:rPr/>
      </w:pPr>
      <w:r>
        <w:rPr/>
        <w:t>     </w:t>
      </w:r>
      <w:r>
        <w:rPr>
          <w:rFonts w:ascii="Times New Roman;Times;serif" w:hAnsi="Times New Roman;Times;serif"/>
          <w:sz w:val="17"/>
        </w:rPr>
        <w:t xml:space="preserve">Section 7.2 </w:t>
      </w:r>
      <w:r>
        <w:rPr>
          <w:rFonts w:ascii="Times New Roman;Times;serif" w:hAnsi="Times New Roman;Times;serif"/>
          <w:i/>
          <w:sz w:val="17"/>
        </w:rPr>
        <w:t>Transfer of Shares</w:t>
      </w:r>
      <w:r>
        <w:rPr>
          <w:rFonts w:ascii="Times New Roman;Times;serif" w:hAnsi="Times New Roman;Times;serif"/>
          <w:sz w:val="17"/>
        </w:rPr>
        <w:t xml:space="preserve">. The shares of stock of the Corporation shall be transferable only on the books of the Corporation by the holders thereof in person or by their duly authorized attorneys or legal representatives upon surrender and cancellation of certificates for a like number of shares. Upon surrender to the Corporation or a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7.3 </w:t>
      </w:r>
      <w:r>
        <w:rPr>
          <w:rFonts w:ascii="Times New Roman;Times;serif" w:hAnsi="Times New Roman;Times;serif"/>
          <w:i/>
          <w:sz w:val="17"/>
        </w:rPr>
        <w:t>Ownership of Shares</w:t>
      </w:r>
      <w:r>
        <w:rPr>
          <w:rFonts w:ascii="Times New Roman;Times;serif" w:hAnsi="Times New Roman;Times;serif"/>
          <w:sz w:val="17"/>
        </w:rPr>
        <w:t xml:space="preserve">. The Corporation shall be entitled to treat the holder of record of any share or shares of capital stock of the Corporation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 </w:t>
      </w:r>
    </w:p>
    <w:p>
      <w:pPr>
        <w:pStyle w:val="TextBody"/>
        <w:spacing w:before="120" w:after="283"/>
        <w:jc w:val="left"/>
        <w:rPr/>
      </w:pPr>
      <w:r>
        <w:rPr/>
        <w:t>     </w:t>
      </w:r>
      <w:r>
        <w:rPr>
          <w:rFonts w:ascii="Times New Roman;Times;serif" w:hAnsi="Times New Roman;Times;serif"/>
          <w:sz w:val="17"/>
        </w:rPr>
        <w:t xml:space="preserve">Section 7.4 </w:t>
      </w:r>
      <w:r>
        <w:rPr>
          <w:rFonts w:ascii="Times New Roman;Times;serif" w:hAnsi="Times New Roman;Times;serif"/>
          <w:i/>
          <w:sz w:val="17"/>
        </w:rPr>
        <w:t>Regulations Regarding Certificates</w:t>
      </w:r>
      <w:r>
        <w:rPr>
          <w:rFonts w:ascii="Times New Roman;Times;serif" w:hAnsi="Times New Roman;Times;serif"/>
          <w:sz w:val="17"/>
        </w:rPr>
        <w:t xml:space="preserve">. The Board of Directors shall have the power and authority to make all such rules and regulations as they may deem expedient concerning the issue, transfer and registration or the replacement of certificates for shares of capital stock of the Corporation. </w:t>
      </w:r>
    </w:p>
    <w:p>
      <w:pPr>
        <w:pStyle w:val="TextBody"/>
        <w:spacing w:before="120" w:after="283"/>
        <w:jc w:val="left"/>
        <w:rPr/>
      </w:pPr>
      <w:r>
        <w:rPr/>
        <w:t>     </w:t>
      </w:r>
      <w:r>
        <w:rPr>
          <w:rFonts w:ascii="Times New Roman;Times;serif" w:hAnsi="Times New Roman;Times;serif"/>
          <w:sz w:val="17"/>
        </w:rPr>
        <w:t xml:space="preserve">Section 7.5 </w:t>
      </w:r>
      <w:r>
        <w:rPr>
          <w:rFonts w:ascii="Times New Roman;Times;serif" w:hAnsi="Times New Roman;Times;serif"/>
          <w:i/>
          <w:sz w:val="17"/>
        </w:rPr>
        <w:t>Lost or Destroyed Certificates</w:t>
      </w:r>
      <w:r>
        <w:rPr>
          <w:rFonts w:ascii="Times New Roman;Times;serif" w:hAnsi="Times New Roman;Times;serif"/>
          <w:sz w:val="17"/>
        </w:rPr>
        <w:t xml:space="preserve">. The Board of Directors may determine the conditions upon which a new certificate of stock may be issued in place of a certificate which is alleged to have been lost, stolen or destroyed; and may, in their discretion, require the owner of such certificate or his legal representative to give bond, with sufficient surety, to indemnify the Corporation and each transfer agent and registrar against any and all losses or claims which may arise by reason of the issue of a new certificate in the place of the one so lost, stolen or destroyed.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VIII</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Miscellaneous Provisions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8.1 </w:t>
      </w:r>
      <w:r>
        <w:rPr>
          <w:rFonts w:ascii="Times New Roman;Times;serif" w:hAnsi="Times New Roman;Times;serif"/>
          <w:i/>
          <w:sz w:val="17"/>
        </w:rPr>
        <w:t>Fiscal Year</w:t>
      </w:r>
      <w:r>
        <w:rPr>
          <w:rFonts w:ascii="Times New Roman;Times;serif" w:hAnsi="Times New Roman;Times;serif"/>
          <w:sz w:val="17"/>
        </w:rPr>
        <w:t xml:space="preserve">. The fiscal year of the Corporation shall be such as established from time to time by the Board of Directors. </w:t>
      </w:r>
    </w:p>
    <w:p>
      <w:pPr>
        <w:pStyle w:val="TextBody"/>
        <w:spacing w:before="120" w:after="283"/>
        <w:jc w:val="left"/>
        <w:rPr/>
      </w:pPr>
      <w:r>
        <w:rPr/>
        <w:t>     </w:t>
      </w:r>
      <w:r>
        <w:rPr>
          <w:rFonts w:ascii="Times New Roman;Times;serif" w:hAnsi="Times New Roman;Times;serif"/>
          <w:sz w:val="17"/>
        </w:rPr>
        <w:t xml:space="preserve">Section 8.2 </w:t>
      </w:r>
      <w:r>
        <w:rPr>
          <w:rFonts w:ascii="Times New Roman;Times;serif" w:hAnsi="Times New Roman;Times;serif"/>
          <w:i/>
          <w:sz w:val="17"/>
        </w:rPr>
        <w:t>Corporate Seal</w:t>
      </w:r>
      <w:r>
        <w:rPr>
          <w:rFonts w:ascii="Times New Roman;Times;serif" w:hAnsi="Times New Roman;Times;serif"/>
          <w:sz w:val="17"/>
        </w:rPr>
        <w:t xml:space="preserve">. The Board of Directors may provide a suitable seal, containing the name of the Corporation. The Secretary shall have charge of the seal (if any). If and when so directed by the Board of Directors or a committee thereof, duplicates of the seal may be kept and used by the Treasurer or by the Assistant Secretary or Assistant Treasurer. </w:t>
      </w:r>
    </w:p>
    <w:p>
      <w:pPr>
        <w:pStyle w:val="TextBody"/>
        <w:spacing w:before="120" w:after="283"/>
        <w:jc w:val="left"/>
        <w:rPr/>
      </w:pPr>
      <w:r>
        <w:rPr/>
        <w:t>     </w:t>
      </w:r>
      <w:r>
        <w:rPr>
          <w:rFonts w:ascii="Times New Roman;Times;serif" w:hAnsi="Times New Roman;Times;serif"/>
          <w:sz w:val="17"/>
        </w:rPr>
        <w:t xml:space="preserve">Section 8.3 </w:t>
      </w:r>
      <w:r>
        <w:rPr>
          <w:rFonts w:ascii="Times New Roman;Times;serif" w:hAnsi="Times New Roman;Times;serif"/>
          <w:i/>
          <w:sz w:val="17"/>
        </w:rPr>
        <w:t>Notice and Waiver of Notice</w:t>
      </w:r>
      <w:r>
        <w:rPr>
          <w:rFonts w:ascii="Times New Roman;Times;serif" w:hAnsi="Times New Roman;Times;serif"/>
          <w:sz w:val="17"/>
        </w:rPr>
        <w:t xml:space="preserve">. Whenever any notice is required to be given by law, the Certificate of Incorporation or under the provisions of these bylaws, said notice shall be deemed to be sufficient if given (i) by telegraphic, cable or wireless transmission or (ii) by deposit of the same in a post office box in a sealed prepaid wrapper addressed to the person entitled thereto at his post office address, as it appears on the records of the Corporation, and such notice shall be deemed to have been given on the day of such transmission or mailing, as the case may be. </w:t>
      </w:r>
    </w:p>
    <w:p>
      <w:pPr>
        <w:pStyle w:val="TextBody"/>
        <w:spacing w:before="120" w:after="283"/>
        <w:jc w:val="left"/>
        <w:rPr/>
      </w:pPr>
      <w:r>
        <w:rPr/>
        <w:t>     </w:t>
      </w:r>
      <w:r>
        <w:rPr>
          <w:rFonts w:ascii="Times New Roman;Times;serif" w:hAnsi="Times New Roman;Times;serif"/>
          <w:sz w:val="17"/>
        </w:rPr>
        <w:t xml:space="preserve">Whenever notice is required to be given by law, the Certificate of Incorporation or under any of the provisions of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meeting of the stockholders, directors, or members of a committee of directors need be specified in any written waiver of notice unless so required by the Certificate of Incorporation or the bylaws. </w:t>
      </w:r>
    </w:p>
    <w:p>
      <w:pPr>
        <w:pStyle w:val="TextBody"/>
        <w:spacing w:before="120" w:after="283"/>
        <w:jc w:val="left"/>
        <w:rPr/>
      </w:pPr>
      <w:r>
        <w:rPr/>
        <w:t>     </w:t>
      </w:r>
      <w:r>
        <w:rPr>
          <w:rFonts w:ascii="Times New Roman;Times;serif" w:hAnsi="Times New Roman;Times;serif"/>
          <w:sz w:val="17"/>
        </w:rPr>
        <w:t xml:space="preserve">Section 8.4 </w:t>
      </w:r>
      <w:r>
        <w:rPr>
          <w:rFonts w:ascii="Times New Roman;Times;serif" w:hAnsi="Times New Roman;Times;serif"/>
          <w:i/>
          <w:sz w:val="17"/>
        </w:rPr>
        <w:t>Resignations</w:t>
      </w:r>
      <w:r>
        <w:rPr>
          <w:rFonts w:ascii="Times New Roman;Times;serif" w:hAnsi="Times New Roman;Times;serif"/>
          <w:sz w:val="17"/>
        </w:rPr>
        <w:t xml:space="preserve">. Any director, member of a committee or officer may resign at any time. Such resignation shall be made in writing and shall take effect at the time specified therein, or if no time be specified, at the time of its receipt by the chief executive officer or Secretary. The acceptance of a resignation shall not be necessary to make it effective, unless expressly so provided in the resignation. </w:t>
      </w:r>
    </w:p>
    <w:p>
      <w:pPr>
        <w:pStyle w:val="TextBody"/>
        <w:spacing w:before="120" w:after="283"/>
        <w:jc w:val="left"/>
        <w:rPr/>
      </w:pPr>
      <w:r>
        <w:rPr/>
        <w:t>     </w:t>
      </w:r>
      <w:r>
        <w:rPr>
          <w:rFonts w:ascii="Times New Roman;Times;serif" w:hAnsi="Times New Roman;Times;serif"/>
          <w:sz w:val="17"/>
        </w:rPr>
        <w:t xml:space="preserve">Section 8.5 </w:t>
      </w:r>
      <w:r>
        <w:rPr>
          <w:rFonts w:ascii="Times New Roman;Times;serif" w:hAnsi="Times New Roman;Times;serif"/>
          <w:i/>
          <w:sz w:val="17"/>
        </w:rPr>
        <w:t>Facsimile Signatures</w:t>
      </w:r>
      <w:r>
        <w:rPr>
          <w:rFonts w:ascii="Times New Roman;Times;serif" w:hAnsi="Times New Roman;Times;serif"/>
          <w:sz w:val="17"/>
        </w:rPr>
        <w:t xml:space="preserve">. In addition to the provisions for the use of facsimile signatures elsewhere specifically authorized in these bylaws, facsimile signatures of any officer or officers of the Corporation may be used whenever and as authorized by the Board of Directors. </w:t>
      </w:r>
    </w:p>
    <w:p>
      <w:pPr>
        <w:pStyle w:val="TextBody"/>
        <w:spacing w:before="120" w:after="283"/>
        <w:jc w:val="left"/>
        <w:rPr/>
      </w:pPr>
      <w:r>
        <w:rPr/>
        <w:t>     </w:t>
      </w:r>
      <w:r>
        <w:rPr>
          <w:rFonts w:ascii="Times New Roman;Times;serif" w:hAnsi="Times New Roman;Times;serif"/>
          <w:sz w:val="17"/>
        </w:rPr>
        <w:t xml:space="preserve">Section 8.6 </w:t>
      </w:r>
      <w:r>
        <w:rPr>
          <w:rFonts w:ascii="Times New Roman;Times;serif" w:hAnsi="Times New Roman;Times;serif"/>
          <w:i/>
          <w:sz w:val="17"/>
        </w:rPr>
        <w:t>Reliance upon Books, Reports and Records</w:t>
      </w:r>
      <w:r>
        <w:rPr>
          <w:rFonts w:ascii="Times New Roman;Times;serif" w:hAnsi="Times New Roman;Times;serif"/>
          <w:sz w:val="17"/>
        </w:rPr>
        <w:t xml:space="preserve">. Each director and each member of any committee designated by the Board of Directors shall, in the performance of such directors or members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IX</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u w:val="single"/>
        </w:rPr>
        <w:t>Amendments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9.1 </w:t>
      </w:r>
      <w:r>
        <w:rPr>
          <w:rFonts w:ascii="Times New Roman;Times;serif" w:hAnsi="Times New Roman;Times;serif"/>
          <w:i/>
          <w:sz w:val="17"/>
        </w:rPr>
        <w:t>Amendments</w:t>
      </w:r>
      <w:r>
        <w:rPr>
          <w:rFonts w:ascii="Times New Roman;Times;serif" w:hAnsi="Times New Roman;Times;serif"/>
          <w:sz w:val="17"/>
        </w:rPr>
        <w:t xml:space="preserve">. 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 </w:t>
      </w:r>
    </w:p>
    <w:p>
      <w:pPr>
        <w:pStyle w:val="TextBody"/>
        <w:spacing w:before="360" w:after="283"/>
        <w:jc w:val="center"/>
        <w:rPr>
          <w:rFonts w:ascii="Times New Roman;Times;serif" w:hAnsi="Times New Roman;Times;serif"/>
          <w:sz w:val="17"/>
        </w:rPr>
      </w:pPr>
      <w:r>
        <w:rPr>
          <w:rFonts w:ascii="Times New Roman;Times;serif" w:hAnsi="Times New Roman;Times;serif"/>
          <w:smallCaps/>
          <w:sz w:val="17"/>
        </w:rPr>
        <w:t>Bylaws of</w:t>
      </w:r>
      <w:r>
        <w:rPr>
          <w:rFonts w:ascii="Times New Roman;Times;serif" w:hAnsi="Times New Roman;Times;serif"/>
          <w:sz w:val="17"/>
        </w:rPr>
        <w:br/>
      </w:r>
      <w:r>
        <w:rPr>
          <w:rFonts w:ascii="Times New Roman;Times;serif" w:hAnsi="Times New Roman;Times;serif"/>
          <w:smallCaps/>
          <w:sz w:val="17"/>
        </w:rPr>
        <w:t>Pacific Energy Finance Corporation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15 </w:t>
      </w:r>
      <w:r>
        <w:br w:type="page"/>
      </w:r>
    </w:p>
    <w:p>
      <w:pPr>
        <w:pStyle w:val="Heading5"/>
        <w:jc w:val="left"/>
        <w:rPr/>
      </w:pPr>
      <w:bookmarkStart w:id="39" w:name="h43224exv4w17.htm"/>
      <w:bookmarkStart w:id="40" w:name="ksh43224exv4w17"/>
      <w:bookmarkEnd w:id="39"/>
      <w:bookmarkEnd w:id="4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4.17</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PACIFIC ENERGY PARTNERS, L.P.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PACIFIC ENERGY FINANCE CORPORATION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And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Guarantors named herein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7 1/8 % SENIOR NOTES DUE 2014 </w:t>
      </w:r>
    </w:p>
    <w:p>
      <w:pPr>
        <w:pStyle w:val="TextBody"/>
        <w:spacing w:before="320" w:after="283"/>
        <w:jc w:val="center"/>
        <w:rPr>
          <w:bdr w:val="single" w:sz="2" w:space="1" w:color="000000"/>
        </w:rPr>
      </w:pPr>
      <w:r>
        <w:rPr>
          <w:bdr w:val="single" w:sz="2" w:space="1" w:color="000000"/>
        </w:rPr>
        <w:t>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SUPPLEMENTAL INDENTURE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AND AMENDMENT  SUBSIDIARY GUARANTEE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DATED AS OF SEPTEMBER 23, 2005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WELLS FARGO BANK, NATIONAL ASSOCIATION,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Trustee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This SUPPLEMENTAL INDENTURE, dated as of September 23, 2005. is among Pacific Energy Partners, L.P., a Delaware limited Partnership (the </w:t>
      </w:r>
      <w:r>
        <w:rPr>
          <w:rFonts w:ascii="Times New Roman;Times;serif" w:hAnsi="Times New Roman;Times;serif"/>
          <w:sz w:val="17"/>
          <w:u w:val="single"/>
        </w:rPr>
        <w:t>Company</w:t>
      </w:r>
      <w:r>
        <w:rPr>
          <w:rFonts w:ascii="Times New Roman;Times;serif" w:hAnsi="Times New Roman;Times;serif"/>
          <w:sz w:val="17"/>
        </w:rPr>
        <w:t>), Pacific Energy Finance Corporation, a Delaware corporation (</w:t>
      </w:r>
      <w:r>
        <w:rPr>
          <w:rFonts w:ascii="Times New Roman;Times;serif" w:hAnsi="Times New Roman;Times;serif"/>
          <w:sz w:val="17"/>
          <w:u w:val="single"/>
        </w:rPr>
        <w:t>Finance Corp.</w:t>
      </w:r>
      <w:r>
        <w:rPr>
          <w:rFonts w:ascii="Times New Roman;Times;serif" w:hAnsi="Times New Roman;Times;serif"/>
          <w:sz w:val="17"/>
        </w:rPr>
        <w:t> and, together with the Company, the </w:t>
      </w:r>
      <w:r>
        <w:rPr>
          <w:rFonts w:ascii="Times New Roman;Times;serif" w:hAnsi="Times New Roman;Times;serif"/>
          <w:sz w:val="17"/>
          <w:u w:val="single"/>
        </w:rPr>
        <w:t>Issuers</w:t>
      </w:r>
      <w:r>
        <w:rPr>
          <w:rFonts w:ascii="Times New Roman;Times;serif" w:hAnsi="Times New Roman;Times;serif"/>
          <w:sz w:val="17"/>
        </w:rPr>
        <w:t>), each of the parties identified under the caption Guarantors on the signature page hereto (the </w:t>
      </w:r>
      <w:r>
        <w:rPr>
          <w:rFonts w:ascii="Times New Roman;Times;serif" w:hAnsi="Times New Roman;Times;serif"/>
          <w:sz w:val="17"/>
          <w:u w:val="single"/>
        </w:rPr>
        <w:t>Guarantors</w:t>
      </w:r>
      <w:r>
        <w:rPr>
          <w:rFonts w:ascii="Times New Roman;Times;serif" w:hAnsi="Times New Roman;Times;serif"/>
          <w:sz w:val="17"/>
        </w:rPr>
        <w:t xml:space="preserve">) and Wells Fargo Bank, National Association, a New York banking corporation, as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RECITALS </w:t>
      </w:r>
    </w:p>
    <w:p>
      <w:pPr>
        <w:pStyle w:val="TextBody"/>
        <w:spacing w:before="120" w:after="283"/>
        <w:jc w:val="left"/>
        <w:rPr/>
      </w:pPr>
      <w:r>
        <w:rPr/>
        <w:t>     </w:t>
      </w:r>
      <w:r>
        <w:rPr>
          <w:rFonts w:ascii="Times New Roman;Times;serif" w:hAnsi="Times New Roman;Times;serif"/>
          <w:sz w:val="17"/>
        </w:rPr>
        <w:t>WHEREAS, the Issuers, the initial Guarantors and the Trustee entered into an Indenture, dated as of June 16, 2004 (the </w:t>
      </w:r>
      <w:r>
        <w:rPr>
          <w:rFonts w:ascii="Times New Roman;Times;serif" w:hAnsi="Times New Roman;Times;serif"/>
          <w:sz w:val="17"/>
          <w:u w:val="single"/>
        </w:rPr>
        <w:t>Indenture</w:t>
      </w:r>
      <w:r>
        <w:rPr>
          <w:rFonts w:ascii="Times New Roman;Times;serif" w:hAnsi="Times New Roman;Times;serif"/>
          <w:sz w:val="17"/>
        </w:rPr>
        <w:t>), pursuant to which the company has issued $250,000,000 in aggregate principal amount of 7 1/8% Senior Notes due 2014 (the </w:t>
      </w:r>
      <w:r>
        <w:rPr>
          <w:rFonts w:ascii="Times New Roman;Times;serif" w:hAnsi="Times New Roman;Times;serif"/>
          <w:sz w:val="17"/>
          <w:u w:val="single"/>
        </w:rPr>
        <w:t>Notes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WHEREAS, Section 9.01(g) of the Indenture provides that the Issuers, the Guarantors and the Trustee may amend or supplement the Indenture in order to comply with Section 4.13 or 10.03 thereof, without the consent of the Holders of the Notes; and </w:t>
      </w:r>
    </w:p>
    <w:p>
      <w:pPr>
        <w:pStyle w:val="TextBody"/>
        <w:spacing w:before="120" w:after="283"/>
        <w:jc w:val="left"/>
        <w:rPr/>
      </w:pPr>
      <w:r>
        <w:rPr/>
        <w:t>     </w:t>
      </w:r>
      <w:r>
        <w:rPr>
          <w:rFonts w:ascii="Times New Roman;Times;serif" w:hAnsi="Times New Roman;Times;serif"/>
          <w:sz w:val="17"/>
        </w:rPr>
        <w:t xml:space="preserve">WHEREAS, all acts and things prescribed by the Indenture, by law and by the Certificate of Incorporation and the Bylaws (or comparable constituent documents) of the Issuers, of the Guarantors and of the Trustee necessary to make this Supplemental Indenture a valid instrument legally binding on the Issuers, the Guarantors and the Trustee, in accordance with its terms, have been duly done and performed; </w:t>
      </w:r>
    </w:p>
    <w:p>
      <w:pPr>
        <w:pStyle w:val="TextBody"/>
        <w:spacing w:before="120" w:after="283"/>
        <w:jc w:val="left"/>
        <w:rPr/>
      </w:pPr>
      <w:r>
        <w:rPr/>
        <w:t>     </w:t>
      </w:r>
      <w:r>
        <w:rPr>
          <w:rFonts w:ascii="Times New Roman;Times;serif" w:hAnsi="Times New Roman;Times;serif"/>
          <w:sz w:val="17"/>
        </w:rPr>
        <w:t xml:space="preserve">NOW, THEREFORE, to comply with the provisions of the Indenture and in consideration of the above premises, the Issuers, the Guarantors and the Trustee covenant and agree for the equal and proportionate benefit of the respective Holders of the Notes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1 </w:t>
      </w:r>
    </w:p>
    <w:p>
      <w:pPr>
        <w:pStyle w:val="TextBody"/>
        <w:spacing w:before="120" w:after="283"/>
        <w:jc w:val="left"/>
        <w:rPr/>
      </w:pPr>
      <w:r>
        <w:rPr/>
        <w:t>     </w:t>
      </w:r>
      <w:r>
        <w:rPr>
          <w:rFonts w:ascii="Times New Roman;Times;serif" w:hAnsi="Times New Roman;Times;serif"/>
          <w:sz w:val="17"/>
        </w:rPr>
        <w:t xml:space="preserve">Section 1.01. This Supplemental Indenture is supplemental to the Indenture and does and shall be deemed to form a part of, and shall be construed in connection with and as part of, the Indenture for any and all purposes. </w:t>
      </w:r>
    </w:p>
    <w:p>
      <w:pPr>
        <w:pStyle w:val="TextBody"/>
        <w:spacing w:before="120" w:after="283"/>
        <w:jc w:val="left"/>
        <w:rPr/>
      </w:pPr>
      <w:r>
        <w:rPr/>
        <w:t>     </w:t>
      </w:r>
      <w:r>
        <w:rPr>
          <w:rFonts w:ascii="Times New Roman;Times;serif" w:hAnsi="Times New Roman;Times;serif"/>
          <w:sz w:val="17"/>
        </w:rPr>
        <w:t xml:space="preserve">Section 1.02. This Supplemental Indenture shall become effective immediately upon its execution and delivery by each of the Issuers, the Guarantors and the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2 </w:t>
      </w:r>
    </w:p>
    <w:p>
      <w:pPr>
        <w:pStyle w:val="TextBody"/>
        <w:spacing w:before="120" w:after="283"/>
        <w:jc w:val="left"/>
        <w:rPr/>
      </w:pPr>
      <w:r>
        <w:rPr/>
        <w:t>     </w:t>
      </w:r>
      <w:r>
        <w:rPr>
          <w:rFonts w:ascii="Times New Roman;Times;serif" w:hAnsi="Times New Roman;Times;serif"/>
          <w:sz w:val="17"/>
        </w:rPr>
        <w:t xml:space="preserve">From this date, in accordance with Section 4.13 or 10.03 and by executing this Supplemental Indenture, the Guarantors whose signatures appear below are subject to the provisions of the Indenture to the extent provided for in Article 10 thereunder.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3 </w:t>
      </w:r>
    </w:p>
    <w:p>
      <w:pPr>
        <w:pStyle w:val="TextBody"/>
        <w:spacing w:before="120" w:after="283"/>
        <w:jc w:val="left"/>
        <w:rPr/>
      </w:pPr>
      <w:r>
        <w:rPr/>
        <w:t>     </w:t>
      </w:r>
      <w:r>
        <w:rPr>
          <w:rFonts w:ascii="Times New Roman;Times;serif" w:hAnsi="Times New Roman;Times;serif"/>
          <w:sz w:val="17"/>
        </w:rPr>
        <w:t>Section 3.01. Except as specifically modified herein, the Indenture and the Notes are in all respects ratified and confirmed (</w:t>
      </w:r>
      <w:r>
        <w:rPr>
          <w:rFonts w:ascii="Times New Roman;Times;serif" w:hAnsi="Times New Roman;Times;serif"/>
          <w:i/>
          <w:sz w:val="17"/>
        </w:rPr>
        <w:t>mutatis mutandis</w:t>
      </w:r>
      <w:r>
        <w:rPr>
          <w:rFonts w:ascii="Times New Roman;Times;serif" w:hAnsi="Times New Roman;Times;serif"/>
          <w:sz w:val="17"/>
        </w:rPr>
        <w:t xml:space="preserve">) and shall remain in full force and effect in accordance with their terms with all capitalized terms used herein without definition having the same respective meanings ascribed to them as in the Indenture.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3.02.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120" w:after="283"/>
        <w:jc w:val="left"/>
        <w:rPr/>
      </w:pPr>
      <w:r>
        <w:rPr/>
        <w:t>     </w:t>
      </w:r>
      <w:r>
        <w:rPr>
          <w:rFonts w:ascii="Times New Roman;Times;serif" w:hAnsi="Times New Roman;Times;serif"/>
          <w:sz w:val="17"/>
        </w:rPr>
        <w:t xml:space="preserve">Section 3.03. THIS SUPPLEMENTAL INDENTURE SHALL BE GOVERNED BY, AND CONSTRUED IN ACCORDANCE WITH, THE LAWS OF THE STATE OF NEW YORK. </w:t>
      </w:r>
    </w:p>
    <w:p>
      <w:pPr>
        <w:pStyle w:val="TextBody"/>
        <w:spacing w:before="120" w:after="283"/>
        <w:jc w:val="left"/>
        <w:rPr/>
      </w:pPr>
      <w:r>
        <w:rPr/>
        <w:t>     </w:t>
      </w:r>
      <w:r>
        <w:rPr>
          <w:rFonts w:ascii="Times New Roman;Times;serif" w:hAnsi="Times New Roman;Times;serif"/>
          <w:sz w:val="17"/>
        </w:rPr>
        <w:t xml:space="preserve">Section 3.04. The parties may sign any number of copies of this Supplemental Indenture. Each signed copy shall be an original, but all of such executed copies together shall represent the same agreement.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[NEXT PAGE IS SIGNATURE PAGE]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all as of the date first written above. </w:t>
      </w:r>
    </w:p>
    <w:tbl>
      <w:tblPr>
        <w:tblW w:w="4000" w:type="pct"/>
        <w:jc w:val="center"/>
        <w:tblInd w:w="0" w:type="dxa"/>
        <w:tblCellMar>
          <w:top w:w="0" w:type="dxa"/>
          <w:left w:w="0" w:type="dxa"/>
          <w:bottom w:w="0" w:type="dxa"/>
          <w:right w:w="0" w:type="dxa"/>
        </w:tblCellMar>
      </w:tblPr>
      <w:tblGrid>
        <w:gridCol w:w="2485"/>
        <w:gridCol w:w="177"/>
        <w:gridCol w:w="429"/>
        <w:gridCol w:w="177"/>
        <w:gridCol w:w="4896"/>
      </w:tblGrid>
      <w:tr>
        <w:trPr/>
        <w:tc>
          <w:tcPr>
            <w:tcW w:w="248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vAlign w:val="bottom"/>
          </w:tcPr>
          <w:p>
            <w:pPr>
              <w:pStyle w:val="TableContents"/>
              <w:spacing w:before="0" w:after="283"/>
              <w:rPr/>
            </w:pPr>
            <w:r>
              <w:rPr/>
              <w:t> </w:t>
            </w:r>
          </w:p>
        </w:tc>
      </w:tr>
      <w:tr>
        <w:trPr/>
        <w:tc>
          <w:tcPr>
            <w:tcW w:w="2485" w:type="dxa"/>
            <w:tcBorders/>
            <w:shd w:fill="auto" w:val="clea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502" w:type="dxa"/>
            <w:gridSpan w:val="3"/>
            <w:tcBorders/>
            <w:shd w:fill="auto" w:val="clear"/>
          </w:tcPr>
          <w:p>
            <w:pPr>
              <w:pStyle w:val="TableContents"/>
              <w:spacing w:before="0" w:after="283"/>
              <w:jc w:val="left"/>
              <w:rPr>
                <w:b/>
              </w:rPr>
            </w:pPr>
            <w:r>
              <w:rPr>
                <w:b/>
              </w:rPr>
              <w:t>PACIFIC ENERGY PARTNERS, L.P.</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GP,</w:t>
              <w:br/>
              <w:t>its general partner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Management LLC,</w:t>
              <w:br/>
              <w:t>its general partner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/s/ Gerald A. Tywoniuk</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center"/>
          </w:tcPr>
          <w:p>
            <w:pPr>
              <w:pStyle w:val="TableContents"/>
              <w:spacing w:before="0" w:after="283"/>
              <w:rPr/>
            </w:pPr>
            <w:r>
              <w:rPr/>
              <w:t> </w:t>
            </w:r>
          </w:p>
        </w:tc>
        <w:tc>
          <w:tcPr>
            <w:tcW w:w="4896" w:type="dxa"/>
            <w:tcBorders>
              <w:top w:val="single" w:sz="2" w:space="0" w:color="000000"/>
            </w:tcBorders>
            <w:shd w:fill="auto" w:val="clear"/>
            <w:tcMar>
              <w:top w:w="28" w:type="dxa"/>
            </w:tcM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Gerald A. Tywoniuk, Senior Vice President,</w:t>
              <w:br/>
              <w:t>Chief Financial Officer and Treasurer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502" w:type="dxa"/>
            <w:gridSpan w:val="3"/>
            <w:tcBorders/>
            <w:shd w:fill="auto" w:val="clear"/>
          </w:tcPr>
          <w:p>
            <w:pPr>
              <w:pStyle w:val="TableContents"/>
              <w:spacing w:before="0" w:after="283"/>
              <w:jc w:val="left"/>
              <w:rPr>
                <w:b/>
              </w:rPr>
            </w:pPr>
            <w:r>
              <w:rPr>
                <w:b/>
              </w:rPr>
              <w:t>PACIFIC ENERGY FINANCE CORPORATION</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/s/ Gerald A. Tywoniuk</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center"/>
          </w:tcPr>
          <w:p>
            <w:pPr>
              <w:pStyle w:val="TableContents"/>
              <w:spacing w:before="0" w:after="283"/>
              <w:rPr/>
            </w:pPr>
            <w:r>
              <w:rPr/>
              <w:t> </w:t>
            </w:r>
          </w:p>
        </w:tc>
        <w:tc>
          <w:tcPr>
            <w:tcW w:w="4896" w:type="dxa"/>
            <w:tcBorders>
              <w:top w:val="single" w:sz="2" w:space="0" w:color="000000"/>
            </w:tcBorders>
            <w:shd w:fill="auto" w:val="clear"/>
            <w:tcMar>
              <w:top w:w="28" w:type="dxa"/>
            </w:tcM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Gerald A. Tywoniuk, Senior Vice President,</w:t>
              <w:br/>
              <w:t>Chief Financial Officer and Treasurer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502" w:type="dxa"/>
            <w:gridSpan w:val="3"/>
            <w:tcBorders/>
            <w:shd w:fill="auto" w:val="clear"/>
          </w:tcPr>
          <w:p>
            <w:pPr>
              <w:pStyle w:val="TableContents"/>
              <w:spacing w:before="0" w:after="283"/>
              <w:jc w:val="left"/>
              <w:rPr>
                <w:b/>
              </w:rPr>
            </w:pPr>
            <w:r>
              <w:rPr>
                <w:b/>
              </w:rPr>
              <w:t>GUARANTORS:</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502" w:type="dxa"/>
            <w:gridSpan w:val="3"/>
            <w:tcBorders/>
            <w:shd w:fill="auto" w:val="clear"/>
          </w:tcPr>
          <w:p>
            <w:pPr>
              <w:pStyle w:val="TableContents"/>
              <w:spacing w:before="0" w:after="283"/>
              <w:jc w:val="left"/>
              <w:rPr>
                <w:b/>
              </w:rPr>
            </w:pPr>
            <w:r>
              <w:rPr>
                <w:b/>
              </w:rPr>
              <w:t>PACIFIC ATLANTIC TERMINALS LLC</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Group LLC,</w:t>
              <w:br/>
              <w:t>its sole member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Partners, L.P., its sole member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GP, LP,</w:t>
              <w:br/>
              <w:t>its general partner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Management LLC,</w:t>
              <w:br/>
              <w:t>its general partner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/s/ Gerald A. Tywoniuk</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center"/>
          </w:tcPr>
          <w:p>
            <w:pPr>
              <w:pStyle w:val="TableContents"/>
              <w:spacing w:before="0" w:after="283"/>
              <w:rPr/>
            </w:pPr>
            <w:r>
              <w:rPr/>
              <w:t> </w:t>
            </w:r>
          </w:p>
        </w:tc>
        <w:tc>
          <w:tcPr>
            <w:tcW w:w="4896" w:type="dxa"/>
            <w:tcBorders>
              <w:top w:val="single" w:sz="2" w:space="0" w:color="000000"/>
            </w:tcBorders>
            <w:shd w:fill="auto" w:val="clear"/>
            <w:tcMar>
              <w:top w:w="28" w:type="dxa"/>
            </w:tcM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Gerald A. Tywoniuk, Senior Vice President, Chief Financial Officer and Treasurer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502" w:type="dxa"/>
            <w:gridSpan w:val="3"/>
            <w:tcBorders/>
            <w:shd w:fill="auto" w:val="clear"/>
          </w:tcPr>
          <w:p>
            <w:pPr>
              <w:pStyle w:val="TableContents"/>
              <w:spacing w:before="0" w:after="283"/>
              <w:jc w:val="left"/>
              <w:rPr>
                <w:b/>
              </w:rPr>
            </w:pPr>
            <w:r>
              <w:rPr>
                <w:b/>
              </w:rPr>
              <w:t>PACIFIC ENERGY GROUP LLC</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Partner, L.P., its sole member</w:t>
            </w:r>
          </w:p>
        </w:tc>
      </w:tr>
      <w:tr>
        <w:trPr/>
        <w:tc>
          <w:tcPr>
            <w:tcW w:w="2485" w:type="dxa"/>
            <w:tcBorders/>
            <w:shd w:fill="auto" w:val="clear"/>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 </w:t>
            </w:r>
          </w:p>
        </w:tc>
      </w:tr>
      <w:tr>
        <w:trPr/>
        <w:tc>
          <w:tcPr>
            <w:tcW w:w="2485" w:type="dxa"/>
            <w:tcBorders/>
            <w:shd w:fill="auto" w:val="clear"/>
          </w:tcPr>
          <w:p>
            <w:pPr>
              <w:pStyle w:val="TableContents"/>
              <w:spacing w:before="0" w:after="0"/>
              <w:ind w:left="0" w:right="0" w:hanging="0"/>
              <w:rPr/>
            </w:pPr>
            <w:r>
              <w:rPr/>
              <w:t xml:space="preserve">  </w:t>
            </w:r>
          </w:p>
        </w:tc>
        <w:tc>
          <w:tcPr>
            <w:tcW w:w="177"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77"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left"/>
              <w:rPr/>
            </w:pPr>
            <w:r>
              <w:rPr/>
              <w:t>Pacific Energy GP, LP,</w:t>
              <w:br/>
              <w:t>its general partner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4000" w:type="pct"/>
        <w:jc w:val="center"/>
        <w:tblInd w:w="0" w:type="dxa"/>
        <w:tblCellMar>
          <w:top w:w="0" w:type="dxa"/>
          <w:left w:w="0" w:type="dxa"/>
          <w:bottom w:w="0" w:type="dxa"/>
          <w:right w:w="0" w:type="dxa"/>
        </w:tblCellMar>
      </w:tblPr>
      <w:tblGrid>
        <w:gridCol w:w="2632"/>
        <w:gridCol w:w="176"/>
        <w:gridCol w:w="309"/>
        <w:gridCol w:w="176"/>
        <w:gridCol w:w="4871"/>
      </w:tblGrid>
      <w:tr>
        <w:trPr/>
        <w:tc>
          <w:tcPr>
            <w:tcW w:w="263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vAlign w:val="bottom"/>
          </w:tcPr>
          <w:p>
            <w:pPr>
              <w:pStyle w:val="TableContents"/>
              <w:spacing w:before="0" w:after="283"/>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Management LLC,</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/s/ Gerald A. Tywoniuk</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487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Gerald A. Tywoniuk, Senior Vice President, Chief Financial Officer and Treasurer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356" w:type="dxa"/>
            <w:gridSpan w:val="3"/>
            <w:tcBorders/>
            <w:shd w:fill="auto" w:val="clear"/>
          </w:tcPr>
          <w:p>
            <w:pPr>
              <w:pStyle w:val="TableContents"/>
              <w:spacing w:before="0" w:after="283"/>
              <w:jc w:val="left"/>
              <w:rPr>
                <w:b/>
              </w:rPr>
            </w:pPr>
            <w:r>
              <w:rPr>
                <w:b/>
              </w:rPr>
              <w:t>PEG CANADA GP LLC</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Partners, L.P. its sole member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GP, LP,</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Management LLC,</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/s/ Gerald A. Tywoniuk</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487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Gerald A. Tywoniuk, Senior Vice President, Chief Financial Officer and Treasurer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356" w:type="dxa"/>
            <w:gridSpan w:val="3"/>
            <w:tcBorders/>
            <w:shd w:fill="auto" w:val="clear"/>
          </w:tcPr>
          <w:p>
            <w:pPr>
              <w:pStyle w:val="TableContents"/>
              <w:spacing w:before="0" w:after="283"/>
              <w:jc w:val="left"/>
              <w:rPr>
                <w:b/>
              </w:rPr>
            </w:pPr>
            <w:r>
              <w:rPr>
                <w:b/>
              </w:rPr>
              <w:t>PEG CANADA, L.P.</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PEG Canada GP LLC,</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/s/ Gerald A. Tywoniuk</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487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Gerald A. Tywoniuk, Senior Vice President Chief Financial Officer and Treasurer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356" w:type="dxa"/>
            <w:gridSpan w:val="3"/>
            <w:tcBorders/>
            <w:shd w:fill="auto" w:val="clear"/>
          </w:tcPr>
          <w:p>
            <w:pPr>
              <w:pStyle w:val="TableContents"/>
              <w:spacing w:before="0" w:after="283"/>
              <w:jc w:val="left"/>
              <w:rPr>
                <w:b/>
              </w:rPr>
            </w:pPr>
            <w:r>
              <w:rPr>
                <w:b/>
              </w:rPr>
              <w:t>ROCKY MOUNTAIN PIPELINE SYSTEM LLC</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Group LLC</w:t>
              <w:br/>
              <w:t>its sole member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Partners, L.P., its sole member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GP, LP,</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Pacific Energy Management LLC,</w:t>
              <w:br/>
              <w:t>its general partner</w:t>
            </w:r>
          </w:p>
        </w:tc>
      </w:tr>
      <w:tr>
        <w:trPr/>
        <w:tc>
          <w:tcPr>
            <w:tcW w:w="2632"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/s/ Gerald A. Tywoniuk</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487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632"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4871" w:type="dxa"/>
            <w:tcBorders/>
            <w:shd w:fill="auto" w:val="clear"/>
          </w:tcPr>
          <w:p>
            <w:pPr>
              <w:pStyle w:val="TableContents"/>
              <w:spacing w:before="0" w:after="283"/>
              <w:jc w:val="left"/>
              <w:rPr/>
            </w:pPr>
            <w:r>
              <w:rPr/>
              <w:t>Gerald A. Tywoniuk, Senior Vice President, Chief Financial Officer and Treasurer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4000" w:type="pct"/>
        <w:jc w:val="center"/>
        <w:tblInd w:w="0" w:type="dxa"/>
        <w:tblCellMar>
          <w:top w:w="0" w:type="dxa"/>
          <w:left w:w="0" w:type="dxa"/>
          <w:bottom w:w="0" w:type="dxa"/>
          <w:right w:w="0" w:type="dxa"/>
        </w:tblCellMar>
      </w:tblPr>
      <w:tblGrid>
        <w:gridCol w:w="2353"/>
        <w:gridCol w:w="170"/>
        <w:gridCol w:w="430"/>
        <w:gridCol w:w="170"/>
        <w:gridCol w:w="5041"/>
      </w:tblGrid>
      <w:tr>
        <w:trPr/>
        <w:tc>
          <w:tcPr>
            <w:tcW w:w="235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vAlign w:val="bottom"/>
          </w:tcPr>
          <w:p>
            <w:pPr>
              <w:pStyle w:val="TableContents"/>
              <w:spacing w:before="0" w:after="283"/>
              <w:rPr/>
            </w:pPr>
            <w:r>
              <w:rPr/>
              <w:t> </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41" w:type="dxa"/>
            <w:gridSpan w:val="3"/>
            <w:tcBorders/>
            <w:shd w:fill="auto" w:val="clear"/>
          </w:tcPr>
          <w:p>
            <w:pPr>
              <w:pStyle w:val="TableContents"/>
              <w:spacing w:before="0" w:after="283"/>
              <w:jc w:val="left"/>
              <w:rPr>
                <w:b/>
              </w:rPr>
            </w:pPr>
            <w:r>
              <w:rPr>
                <w:b/>
              </w:rPr>
              <w:t>RANCH PIPELINE LLC</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Group LLC,</w:t>
              <w:br/>
              <w:t>its sole member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Partners, L.P., its sole member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GP, LP,</w:t>
              <w:br/>
              <w:t>its general partner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Management LLC,</w:t>
              <w:br/>
              <w:t>its general partner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/s/ Gerald A. Tywoniuk</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center"/>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center"/>
          </w:tcPr>
          <w:p>
            <w:pPr>
              <w:pStyle w:val="TableContents"/>
              <w:spacing w:before="0" w:after="283"/>
              <w:rPr/>
            </w:pPr>
            <w:r>
              <w:rPr/>
              <w:t> </w:t>
            </w:r>
          </w:p>
        </w:tc>
        <w:tc>
          <w:tcPr>
            <w:tcW w:w="504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Gerald A. Tywoniuk, Senior Vice President, Chief Financial Officer and Treasurer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41" w:type="dxa"/>
            <w:gridSpan w:val="3"/>
            <w:tcBorders/>
            <w:shd w:fill="auto" w:val="clear"/>
          </w:tcPr>
          <w:p>
            <w:pPr>
              <w:pStyle w:val="TableContents"/>
              <w:spacing w:before="0" w:after="283"/>
              <w:jc w:val="left"/>
              <w:rPr>
                <w:b/>
              </w:rPr>
            </w:pPr>
            <w:r>
              <w:rPr>
                <w:b/>
              </w:rPr>
              <w:t>PACIFIC MARKETING AND TRANSPORTATION LLC</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Group LLC,</w:t>
              <w:br/>
              <w:t>its sole member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Partners, L.P., its sole member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GP, LP,</w:t>
              <w:br/>
              <w:t>its general partner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Pacific Energy Management LLC,</w:t>
              <w:br/>
              <w:t>its general partner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/s/ Gerald A. Tywoniuk</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center"/>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center"/>
          </w:tcPr>
          <w:p>
            <w:pPr>
              <w:pStyle w:val="TableContents"/>
              <w:spacing w:before="0" w:after="283"/>
              <w:rPr/>
            </w:pPr>
            <w:r>
              <w:rPr/>
              <w:t> </w:t>
            </w:r>
          </w:p>
        </w:tc>
        <w:tc>
          <w:tcPr>
            <w:tcW w:w="504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Gerald A. Tywoniuk, Senior Vice President,</w:t>
              <w:br/>
              <w:t>Chief Financial Officer and Treasurer</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41" w:type="dxa"/>
            <w:gridSpan w:val="3"/>
            <w:tcBorders/>
            <w:shd w:fill="auto" w:val="clear"/>
          </w:tcPr>
          <w:p>
            <w:pPr>
              <w:pStyle w:val="TableContents"/>
              <w:spacing w:before="0" w:after="283"/>
              <w:jc w:val="left"/>
              <w:rPr/>
            </w:pPr>
            <w:r>
              <w:rPr>
                <w:b/>
              </w:rPr>
              <w:t>WELLS FARGO BANK, NATIONAL ASSOCIATION,</w:t>
            </w:r>
            <w:r>
              <w:rPr/>
              <w:br/>
              <w:t>as Trustee</w:t>
            </w:r>
          </w:p>
        </w:tc>
      </w:tr>
      <w:tr>
        <w:trPr/>
        <w:tc>
          <w:tcPr>
            <w:tcW w:w="2353" w:type="dxa"/>
            <w:tcBorders/>
            <w:shd w:fill="auto" w:val="clear"/>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xml:space="preserve">By: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/s/ Maddy Hall</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center"/>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center"/>
          </w:tcPr>
          <w:p>
            <w:pPr>
              <w:pStyle w:val="TableContents"/>
              <w:spacing w:before="0" w:after="283"/>
              <w:rPr/>
            </w:pPr>
            <w:r>
              <w:rPr/>
              <w:t> </w:t>
            </w:r>
          </w:p>
        </w:tc>
        <w:tc>
          <w:tcPr>
            <w:tcW w:w="5041" w:type="dxa"/>
            <w:tcBorders>
              <w:top w:val="single" w:sz="2" w:space="0" w:color="000000"/>
            </w:tcBorders>
            <w:shd w:fill="auto" w:val="clear"/>
            <w:tcMar>
              <w:top w:w="28" w:type="dxa"/>
            </w:tcMar>
          </w:tcPr>
          <w:p>
            <w:pPr>
              <w:pStyle w:val="TableContents"/>
              <w:spacing w:before="0" w:after="283"/>
              <w:jc w:val="left"/>
              <w:rPr/>
            </w:pPr>
            <w:r>
              <w:rPr/>
              <w:t> </w:t>
            </w:r>
          </w:p>
        </w:tc>
      </w:tr>
      <w:tr>
        <w:trPr/>
        <w:tc>
          <w:tcPr>
            <w:tcW w:w="2353" w:type="dxa"/>
            <w:tcBorders/>
            <w:shd w:fill="auto" w:val="clear"/>
          </w:tcPr>
          <w:p>
            <w:pPr>
              <w:pStyle w:val="TableContents"/>
              <w:spacing w:before="0" w:after="0"/>
              <w:ind w:left="0" w:right="0" w:hanging="0"/>
              <w:rPr/>
            </w:pPr>
            <w:r>
              <w:rPr/>
              <w:t xml:space="preserve">  </w:t>
            </w:r>
          </w:p>
        </w:tc>
        <w:tc>
          <w:tcPr>
            <w:tcW w:w="170"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jc w:val="left"/>
              <w:rPr/>
            </w:pPr>
            <w:r>
              <w:rPr/>
              <w:t> </w:t>
            </w:r>
          </w:p>
        </w:tc>
        <w:tc>
          <w:tcPr>
            <w:tcW w:w="170" w:type="dxa"/>
            <w:tcBorders/>
            <w:shd w:fill="auto" w:val="clear"/>
            <w:vAlign w:val="bottom"/>
          </w:tcPr>
          <w:p>
            <w:pPr>
              <w:pStyle w:val="TableContents"/>
              <w:spacing w:before="0" w:after="283"/>
              <w:rPr/>
            </w:pPr>
            <w:r>
              <w:rPr/>
              <w:t> </w:t>
            </w:r>
          </w:p>
        </w:tc>
        <w:tc>
          <w:tcPr>
            <w:tcW w:w="5041" w:type="dxa"/>
            <w:tcBorders/>
            <w:shd w:fill="auto" w:val="clear"/>
          </w:tcPr>
          <w:p>
            <w:pPr>
              <w:pStyle w:val="TableContents"/>
              <w:spacing w:before="0" w:after="283"/>
              <w:jc w:val="left"/>
              <w:rPr/>
            </w:pPr>
            <w:r>
              <w:rPr/>
              <w:t>Name: Maddy Hall</w:t>
              <w:br/>
              <w:t>Title: Assistant Vice President</w:t>
            </w:r>
          </w:p>
        </w:tc>
      </w:tr>
    </w:tbl>
    <w:p>
      <w:pPr>
        <w:pStyle w:val="TextBody"/>
        <w:jc w:val="center"/>
        <w:rPr/>
      </w:pPr>
      <w:r>
        <w:rPr/>
        <w:t xml:space="preserve">  </w:t>
      </w:r>
      <w:r>
        <w:br w:type="page"/>
      </w:r>
    </w:p>
    <w:p>
      <w:pPr>
        <w:pStyle w:val="Heading5"/>
        <w:jc w:val="left"/>
        <w:rPr/>
      </w:pPr>
      <w:bookmarkStart w:id="41" w:name="h43224exv10w22.htm"/>
      <w:bookmarkStart w:id="42" w:name="ksh43224exv10w22"/>
      <w:bookmarkEnd w:id="41"/>
      <w:bookmarkEnd w:id="4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10.22</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Director Compensation Summary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director of our general partner who is not an employee of our general partner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Mr. Petersen assigns any compensation he receives in his capacity as a director to EnCap Energy Capital Fund III, L.P. (EnCap III), which is controlled by EnCap Investments L.P., of which Mr. Petersen is a Managing Director. Mr. Capobianco assigns any compensation he receives in his capacity as a director to Vulcan Capital. </w:t>
      </w:r>
    </w:p>
    <w:p>
      <w:pPr>
        <w:pStyle w:val="TextBody"/>
        <w:spacing w:before="120" w:after="283"/>
        <w:jc w:val="left"/>
        <w:rPr/>
      </w:pPr>
      <w:r>
        <w:rPr/>
        <w:t>     </w:t>
      </w:r>
      <w:r>
        <w:rPr>
          <w:rFonts w:ascii="Times New Roman;Times;serif" w:hAnsi="Times New Roman;Times;serif"/>
          <w:sz w:val="17"/>
        </w:rPr>
        <w:t xml:space="preserve">Our non-employee directors receive LTIP awards or cash equivalent awards as part of their compensation. The LTIP awards vest annually in 25% increments and have an automatic re-grant feature such that as they vest, an equivalent amount is granted. The three non-employee directors who serve on our audit committee each received a grant of 10,000 units (vesting 2,500 units per year), and Mr. Sinnott received a grant of 5,000 units (vesting 1,250 units per year). For Mr. Petersen and Mr. Capobianco, a cash payment equivalent in value to the annual vesting of Mr. Sinnotts award will be made to EnCap III and Vulcan Capital, respectively. All LTIP awards held by a director will vest in full upon the next vesting date after the death or disability (as determined in good faith by the board) of the director. For any independent directors (as defined in the GP LLC Agreement, and currently including Messrs. Goyanes, Smith and Symonds), the units will also vest in full if such director (i) retires (no longer with full-time employment and no longer serving as an officer or director of any public company) or (ii) is removed from the Board or is not reelected to the Board, unless such removal or failure to reelect is for good cause, as defined in the letter granting the phantom units. </w:t>
      </w:r>
      <w:r>
        <w:br w:type="page"/>
      </w:r>
    </w:p>
    <w:p>
      <w:pPr>
        <w:pStyle w:val="Heading5"/>
        <w:jc w:val="left"/>
        <w:rPr/>
      </w:pPr>
      <w:bookmarkStart w:id="43" w:name="h43224exv10w42.htm"/>
      <w:bookmarkStart w:id="44" w:name="ksh43224exv10w42"/>
      <w:bookmarkEnd w:id="43"/>
      <w:bookmarkEnd w:id="44"/>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10.42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FOURTH AMENDMENT TO RESTATED CREDIT AGREEMENT </w:t>
      </w:r>
    </w:p>
    <w:p>
      <w:pPr>
        <w:pStyle w:val="TextBody"/>
        <w:spacing w:before="120" w:after="283"/>
        <w:jc w:val="left"/>
        <w:rPr/>
      </w:pPr>
      <w:r>
        <w:rPr/>
        <w:t>     </w:t>
      </w:r>
      <w:r>
        <w:rPr>
          <w:rFonts w:ascii="Times New Roman;Times;serif" w:hAnsi="Times New Roman;Times;serif"/>
          <w:sz w:val="17"/>
        </w:rPr>
        <w:t xml:space="preserve">THIS FOURTH AMENDMENT TO RESTATED CREDIT AGREEMENT (this Amendment) dated as of the 16th day of November, 2006, by and among PLAINS MARKETING, L.P. (Borrower), BANK OF AMERICA, N.A., as Administrative Agent, BNP Paribas, as Syndication Agent, Fortis Capital Corp., as Documentation Agent, and the Lenders party hereto.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 xml:space="preserve">WHEREAS, Borrower, Administrative Agent and Lenders named therein entered into that certain Restated Credit Agreement dated as of November 19, 2004, as amended by First Amendment to Restated Credit Agreement dated as of April 20, 2005, Second Amendment to Restated Credit Agreement dated as of May 20, 2005, and Third Amendment to Restated Credit Agreement dated as of November 4, 2005 (as heretofore amended, the Original Agreement) for the purposes and consideration therein expressed; and </w:t>
      </w:r>
    </w:p>
    <w:p>
      <w:pPr>
        <w:pStyle w:val="TextBody"/>
        <w:spacing w:before="120" w:after="283"/>
        <w:jc w:val="left"/>
        <w:rPr/>
      </w:pPr>
      <w:r>
        <w:rPr/>
        <w:t>     </w:t>
      </w:r>
      <w:r>
        <w:rPr>
          <w:rFonts w:ascii="Times New Roman;Times;serif" w:hAnsi="Times New Roman;Times;serif"/>
          <w:sz w:val="17"/>
        </w:rPr>
        <w:t xml:space="preserve">WHEREAS, Borrower, Administrative Agent and Lenders desire to amend the Original Agreement for the purposes described herein; </w:t>
      </w:r>
    </w:p>
    <w:p>
      <w:pPr>
        <w:pStyle w:val="TextBody"/>
        <w:spacing w:before="120" w:after="283"/>
        <w:jc w:val="left"/>
        <w:rPr/>
      </w:pPr>
      <w:r>
        <w:rPr/>
        <w:t>     </w:t>
      </w:r>
      <w:r>
        <w:rPr>
          <w:rFonts w:ascii="Times New Roman;Times;serif" w:hAnsi="Times New Roman;Times;serif"/>
          <w:sz w:val="17"/>
        </w:rPr>
        <w:t xml:space="preserve">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  </w:t>
      </w:r>
      <w:r>
        <w:rPr>
          <w:rFonts w:ascii="Times New Roman;Times;serif" w:hAnsi="Times New Roman;Times;serif"/>
          <w:sz w:val="17"/>
          <w:u w:val="single"/>
        </w:rPr>
        <w:t>Definitions and References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1.1. </w:t>
      </w:r>
      <w:r>
        <w:rPr>
          <w:rFonts w:ascii="Times New Roman;Times;serif" w:hAnsi="Times New Roman;Times;serif"/>
          <w:sz w:val="17"/>
          <w:u w:val="single"/>
        </w:rPr>
        <w:t>Terms Defined in the Original Agreement</w:t>
      </w:r>
      <w:r>
        <w:rPr>
          <w:rFonts w:ascii="Times New Roman;Times;serif" w:hAnsi="Times New Roman;Times;serif"/>
          <w:sz w:val="17"/>
        </w:rPr>
        <w:t xml:space="preserve">. Unless the context otherwise requires or unless otherwise expressly defined herein, the terms defined in the Original Agreement shall have the same meanings whenever used in this Amendment. </w:t>
      </w:r>
    </w:p>
    <w:p>
      <w:pPr>
        <w:pStyle w:val="TextBody"/>
        <w:spacing w:before="120" w:after="283"/>
        <w:jc w:val="left"/>
        <w:rPr/>
      </w:pPr>
      <w:r>
        <w:rPr/>
        <w:t>     </w:t>
      </w:r>
      <w:r>
        <w:rPr>
          <w:rFonts w:ascii="Times New Roman;Times;serif" w:hAnsi="Times New Roman;Times;serif"/>
          <w:sz w:val="17"/>
        </w:rPr>
        <w:t xml:space="preserve">§ 1.2. </w:t>
      </w:r>
      <w:r>
        <w:rPr>
          <w:rFonts w:ascii="Times New Roman;Times;serif" w:hAnsi="Times New Roman;Times;serif"/>
          <w:sz w:val="17"/>
          <w:u w:val="single"/>
        </w:rPr>
        <w:t>Other Defined Terms</w:t>
      </w:r>
      <w:r>
        <w:rPr>
          <w:rFonts w:ascii="Times New Roman;Times;serif" w:hAnsi="Times New Roman;Times;serif"/>
          <w:sz w:val="17"/>
        </w:rPr>
        <w:t xml:space="preserve">. Unless the context otherwise requires, the following terms when used in this Amendment shall have the meanings assigned to them in this § 1.2. </w:t>
      </w:r>
    </w:p>
    <w:p>
      <w:pPr>
        <w:pStyle w:val="TextBody"/>
        <w:spacing w:before="120" w:after="283"/>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Amendment</w:t>
      </w:r>
      <w:r>
        <w:rPr>
          <w:rFonts w:ascii="Times New Roman;Times;serif" w:hAnsi="Times New Roman;Times;serif"/>
          <w:sz w:val="17"/>
        </w:rPr>
        <w:t xml:space="preserve"> means this Fourth Amendment to Credit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Credit Agreement</w:t>
      </w:r>
      <w:r>
        <w:rPr>
          <w:rFonts w:ascii="Times New Roman;Times;serif" w:hAnsi="Times New Roman;Times;serif"/>
          <w:sz w:val="17"/>
        </w:rPr>
        <w:t xml:space="preserve"> means the Original Agreement as amended hereby.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  </w:t>
      </w:r>
      <w:r>
        <w:rPr>
          <w:rFonts w:ascii="Times New Roman;Times;serif" w:hAnsi="Times New Roman;Times;serif"/>
          <w:sz w:val="17"/>
          <w:u w:val="single"/>
        </w:rPr>
        <w:t>Amendments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2.1. </w:t>
      </w:r>
      <w:r>
        <w:rPr>
          <w:rFonts w:ascii="Times New Roman;Times;serif" w:hAnsi="Times New Roman;Times;serif"/>
          <w:sz w:val="17"/>
          <w:u w:val="single"/>
        </w:rPr>
        <w:t>Definitions</w:t>
      </w:r>
      <w:r>
        <w:rPr>
          <w:rFonts w:ascii="Times New Roman;Times;serif" w:hAnsi="Times New Roman;Times;serif"/>
          <w:sz w:val="17"/>
        </w:rPr>
        <w:t xml:space="preserve">. The reference to a NYMEX contract or an over-the counter contract set forth in clause (i) of the definition of Hedged Eligible Inventory set forth in Section 1.1 of the Original Agreement is hereby amended to refer instead to a NYMEX contract, an over-the-counter contract, or an Intercontinental Exchange contract. </w:t>
      </w:r>
    </w:p>
    <w:p>
      <w:pPr>
        <w:pStyle w:val="TextBody"/>
        <w:spacing w:before="120" w:after="283"/>
        <w:jc w:val="left"/>
        <w:rPr/>
      </w:pPr>
      <w:r>
        <w:rPr/>
        <w:t>     </w:t>
      </w:r>
      <w:r>
        <w:rPr>
          <w:rFonts w:ascii="Times New Roman;Times;serif" w:hAnsi="Times New Roman;Times;serif"/>
          <w:sz w:val="17"/>
        </w:rPr>
        <w:t xml:space="preserve">The definition of Maximum Facility Amount set forth in Section 1.1 of the Original Agreement is hereby amended in its entirety to read as follows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Maximum Facility Amount</w:t>
      </w:r>
      <w:r>
        <w:rPr>
          <w:rFonts w:ascii="Times New Roman;Times;serif" w:hAnsi="Times New Roman;Times;serif"/>
          <w:sz w:val="17"/>
        </w:rPr>
        <w:t xml:space="preserve"> means an aggregate amount equal to the sum of each Lenders Percentage Share of Maximum Facility Amount as set forth on the Lender Schedule or in the Assignment and Assumption pursuant to which such Lender becomes a party hereto, as applicable, but in any event such aggregate amount not to exceed $1,200,000,000, as such Maximum Facility Amount may be increased from time to time pursuant to Section 2.1(e). </w:t>
      </w:r>
    </w:p>
    <w:p>
      <w:pPr>
        <w:pStyle w:val="TextBody"/>
        <w:spacing w:before="120" w:after="283"/>
        <w:jc w:val="left"/>
        <w:rPr/>
      </w:pPr>
      <w:r>
        <w:rPr/>
        <w:t>     </w:t>
      </w:r>
      <w:r>
        <w:rPr>
          <w:rFonts w:ascii="Times New Roman;Times;serif" w:hAnsi="Times New Roman;Times;serif"/>
          <w:sz w:val="17"/>
        </w:rPr>
        <w:t xml:space="preserve">The definition of PAA Credit Agreement set forth in Section 1.1 of the Original Agreement is hereby amended in its entirety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PAA Credit Agreement</w:t>
      </w:r>
      <w:r>
        <w:rPr>
          <w:rFonts w:ascii="Times New Roman;Times;serif" w:hAnsi="Times New Roman;Times;serif"/>
          <w:sz w:val="17"/>
        </w:rPr>
        <w:t xml:space="preserve"> means that certain Second Amended and Restated Credit Agreement [US/Canada Facilities] dated July 31, 2006 among PAA, PMC (Nova Scotia) Company, Plains Marketing Canada, L.P., Bank of America, N.A., as administrative agent, Bank of America, N.A., acting through its Canada Branch, as Canadian administrative agent, and the lenders named therein, as from time to time amended, supplemented or restated. </w:t>
      </w:r>
    </w:p>
    <w:p>
      <w:pPr>
        <w:pStyle w:val="TextBody"/>
        <w:spacing w:before="120" w:after="283"/>
        <w:jc w:val="left"/>
        <w:rPr/>
      </w:pPr>
      <w:r>
        <w:rPr/>
        <w:t>     </w:t>
      </w:r>
      <w:r>
        <w:rPr>
          <w:rFonts w:ascii="Times New Roman;Times;serif" w:hAnsi="Times New Roman;Times;serif"/>
          <w:sz w:val="17"/>
        </w:rPr>
        <w:t xml:space="preserve">The definition of Request Period Termination Date set forth in Section 1.1 of the Original Agreement is hereby amended in its entirety, effective as of November 17, 2006,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Request Period Termination Date</w:t>
      </w:r>
      <w:r>
        <w:rPr>
          <w:rFonts w:ascii="Times New Roman;Times;serif" w:hAnsi="Times New Roman;Times;serif"/>
          <w:sz w:val="17"/>
        </w:rPr>
        <w:t xml:space="preserve"> means November 16, 2007, as such date may be extended pursuant to Section 2.9. </w:t>
      </w:r>
    </w:p>
    <w:p>
      <w:pPr>
        <w:pStyle w:val="TextBody"/>
        <w:spacing w:before="120" w:after="283"/>
        <w:jc w:val="left"/>
        <w:rPr/>
      </w:pPr>
      <w:r>
        <w:rPr/>
        <w:t>     </w:t>
      </w:r>
      <w:r>
        <w:rPr>
          <w:rFonts w:ascii="Times New Roman;Times;serif" w:hAnsi="Times New Roman;Times;serif"/>
          <w:sz w:val="17"/>
        </w:rPr>
        <w:t xml:space="preserve">§ 2.2. </w:t>
      </w:r>
      <w:r>
        <w:rPr>
          <w:rFonts w:ascii="Times New Roman;Times;serif" w:hAnsi="Times New Roman;Times;serif"/>
          <w:sz w:val="17"/>
          <w:u w:val="single"/>
        </w:rPr>
        <w:t>Schedules</w:t>
      </w:r>
      <w:r>
        <w:rPr>
          <w:rFonts w:ascii="Times New Roman;Times;serif" w:hAnsi="Times New Roman;Times;serif"/>
          <w:sz w:val="17"/>
        </w:rPr>
        <w:t xml:space="preserve">. The Lender Schedule attached as Schedule II to the Original Agreement is hereby amended in its entirety, effective as of November 20, 2006, to read as set forth on Schedule II attached hereto. Effective as of November 20, 2006, each Lender a party hereto agrees to a portion of the Maximum Facility Amount equal to the amount set forth opposite its name on such Schedule II of the Credit Agreement. </w:t>
      </w:r>
    </w:p>
    <w:p>
      <w:pPr>
        <w:pStyle w:val="TextBody"/>
        <w:spacing w:before="120" w:after="283"/>
        <w:jc w:val="left"/>
        <w:rPr/>
      </w:pPr>
      <w:r>
        <w:rPr/>
        <w:t>     </w:t>
      </w:r>
      <w:r>
        <w:rPr>
          <w:rFonts w:ascii="Times New Roman;Times;serif" w:hAnsi="Times New Roman;Times;serif"/>
          <w:sz w:val="17"/>
        </w:rPr>
        <w:t xml:space="preserve">Schedule V to the Original Agreement is hereby amended as follows: </w:t>
      </w:r>
    </w:p>
    <w:p>
      <w:pPr>
        <w:pStyle w:val="TextBody"/>
        <w:spacing w:before="120" w:after="283"/>
        <w:jc w:val="left"/>
        <w:rPr/>
      </w:pPr>
      <w:r>
        <w:rPr/>
        <w:t>     </w:t>
      </w:r>
      <w:r>
        <w:rPr>
          <w:rFonts w:ascii="Times New Roman;Times;serif" w:hAnsi="Times New Roman;Times;serif"/>
          <w:sz w:val="17"/>
        </w:rPr>
        <w:t xml:space="preserve">(a) The references to Marathon Ashland Petroleum LLC set forth in the first column titled Persons and $150 million set forth in the second column titled Limit in the first section thereof opposite Marathon Ashland Petroleum LLC are hereby amended to refer instead to Marathon Petroleum Company LLC and $200 million, respectively; and </w:t>
      </w:r>
    </w:p>
    <w:p>
      <w:pPr>
        <w:pStyle w:val="TextBody"/>
        <w:spacing w:before="120" w:after="283"/>
        <w:jc w:val="left"/>
        <w:rPr/>
      </w:pPr>
      <w:r>
        <w:rPr/>
        <w:t>     </w:t>
      </w:r>
      <w:r>
        <w:rPr>
          <w:rFonts w:ascii="Times New Roman;Times;serif" w:hAnsi="Times New Roman;Times;serif"/>
          <w:sz w:val="17"/>
        </w:rPr>
        <w:t xml:space="preserve">(b) The list set forth in the second section thereof entitled Facilities is hereby amended by adding at the end thereof the following additional facility: </w:t>
      </w:r>
    </w:p>
    <w:p>
      <w:pPr>
        <w:pStyle w:val="TextBody"/>
        <w:spacing w:before="120" w:after="283"/>
        <w:jc w:val="left"/>
        <w:rPr/>
      </w:pPr>
      <w:r>
        <w:rPr/>
        <w:t>     </w:t>
      </w:r>
      <w:r>
        <w:rPr>
          <w:rFonts w:ascii="Times New Roman;Times;serif" w:hAnsi="Times New Roman;Times;serif"/>
          <w:sz w:val="17"/>
        </w:rPr>
        <w:t xml:space="preserve">10. Kinder Morgans Wink County Texas Terminal </w:t>
      </w:r>
    </w:p>
    <w:p>
      <w:pPr>
        <w:pStyle w:val="TextBody"/>
        <w:spacing w:before="120" w:after="283"/>
        <w:jc w:val="left"/>
        <w:rPr/>
      </w:pPr>
      <w:r>
        <w:rPr/>
        <w:t>     </w:t>
      </w:r>
      <w:r>
        <w:rPr>
          <w:rFonts w:ascii="Times New Roman;Times;serif" w:hAnsi="Times New Roman;Times;serif"/>
          <w:sz w:val="17"/>
        </w:rPr>
        <w:t xml:space="preserve">§ 2.3. </w:t>
      </w:r>
      <w:r>
        <w:rPr>
          <w:rFonts w:ascii="Times New Roman;Times;serif" w:hAnsi="Times New Roman;Times;serif"/>
          <w:sz w:val="17"/>
          <w:u w:val="single"/>
        </w:rPr>
        <w:t>Confirmation of Prior Approved Financing Request</w:t>
      </w:r>
      <w:r>
        <w:rPr>
          <w:rFonts w:ascii="Times New Roman;Times;serif" w:hAnsi="Times New Roman;Times;serif"/>
          <w:sz w:val="17"/>
        </w:rPr>
        <w:t xml:space="preserve"> Each Lender a party hereto hereby confirms that it has previously approved the following Financing Requests, which specify a funding date after the current Request Period Termination Date of November 17, 2006, and acknowledges and agrees that such approvals shall apply (i) with respect to its portion of the Maximum Facility Amount agreed to hereby, and (ii) notwithstanding that the extension of the Request Period Termination Date as provided in Section 2.1 hereof is not yet effective: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25"/>
        <w:gridCol w:w="206"/>
        <w:gridCol w:w="126"/>
        <w:gridCol w:w="9748"/>
      </w:tblGrid>
      <w:tr>
        <w:trPr/>
        <w:tc>
          <w:tcPr>
            <w:tcW w:w="12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rPr/>
            </w:pPr>
            <w:r>
              <w:rPr/>
              <w:t>Financing Request-Initial dated September 29, 2006 with respect to a Delivery Month of October, 2006 and an Initial Financing Request of $668,000,000 and related Financing Request-Final dated November 2, 2006 with Final Financing Request of $630,100,000.</w:t>
            </w:r>
          </w:p>
        </w:tc>
      </w:tr>
      <w:tr>
        <w:trPr/>
        <w:tc>
          <w:tcPr>
            <w:tcW w:w="125" w:type="dxa"/>
            <w:tcBorders/>
            <w:shd w:fill="auto" w:val="clear"/>
            <w:vAlign w:val="center"/>
          </w:tcPr>
          <w:p>
            <w:pPr>
              <w:pStyle w:val="TableContents"/>
              <w:spacing w:before="0" w:after="283"/>
              <w:rPr/>
            </w:pPr>
            <w:r>
              <w:rPr/>
              <w:t> </w:t>
            </w:r>
          </w:p>
        </w:tc>
        <w:tc>
          <w:tcPr>
            <w:tcW w:w="10080" w:type="dxa"/>
            <w:gridSpan w:val="3"/>
            <w:tcBorders/>
            <w:shd w:fill="auto" w:val="clear"/>
          </w:tcPr>
          <w:p>
            <w:pPr>
              <w:pStyle w:val="TableContents"/>
              <w:spacing w:before="0" w:after="283"/>
              <w:rPr>
                <w:sz w:val="4"/>
                <w:szCs w:val="4"/>
              </w:rPr>
            </w:pPr>
            <w:r>
              <w:rPr>
                <w:sz w:val="4"/>
                <w:szCs w:val="4"/>
              </w:rPr>
            </w:r>
          </w:p>
        </w:tc>
      </w:tr>
      <w:tr>
        <w:trPr/>
        <w:tc>
          <w:tcPr>
            <w:tcW w:w="12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2.</w:t>
            </w:r>
          </w:p>
        </w:tc>
        <w:tc>
          <w:tcPr>
            <w:tcW w:w="126"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rPr/>
            </w:pPr>
            <w:r>
              <w:rPr/>
              <w:t>Special Financing Request 2006 #23.1 dated November 2, 2006 totaling $48,500,000.</w:t>
            </w:r>
          </w:p>
        </w:tc>
      </w:tr>
      <w:tr>
        <w:trPr/>
        <w:tc>
          <w:tcPr>
            <w:tcW w:w="125" w:type="dxa"/>
            <w:tcBorders/>
            <w:shd w:fill="auto" w:val="clear"/>
            <w:vAlign w:val="center"/>
          </w:tcPr>
          <w:p>
            <w:pPr>
              <w:pStyle w:val="TableContents"/>
              <w:spacing w:before="0" w:after="283"/>
              <w:rPr/>
            </w:pPr>
            <w:r>
              <w:rPr/>
              <w:t> </w:t>
            </w:r>
          </w:p>
        </w:tc>
        <w:tc>
          <w:tcPr>
            <w:tcW w:w="10080" w:type="dxa"/>
            <w:gridSpan w:val="3"/>
            <w:tcBorders/>
            <w:shd w:fill="auto" w:val="clear"/>
          </w:tcPr>
          <w:p>
            <w:pPr>
              <w:pStyle w:val="TableContents"/>
              <w:spacing w:before="0" w:after="283"/>
              <w:rPr>
                <w:sz w:val="4"/>
                <w:szCs w:val="4"/>
              </w:rPr>
            </w:pPr>
            <w:r>
              <w:rPr>
                <w:sz w:val="4"/>
                <w:szCs w:val="4"/>
              </w:rPr>
            </w:r>
          </w:p>
        </w:tc>
      </w:tr>
      <w:tr>
        <w:trPr/>
        <w:tc>
          <w:tcPr>
            <w:tcW w:w="12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3.</w:t>
            </w:r>
          </w:p>
        </w:tc>
        <w:tc>
          <w:tcPr>
            <w:tcW w:w="126"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rPr/>
            </w:pPr>
            <w:r>
              <w:rPr/>
              <w:t>Special Financing Request 2006 #24.1 dated November 2, 2006 totaling $13,400,000.</w:t>
            </w:r>
          </w:p>
        </w:tc>
      </w:tr>
      <w:tr>
        <w:trPr/>
        <w:tc>
          <w:tcPr>
            <w:tcW w:w="125" w:type="dxa"/>
            <w:tcBorders/>
            <w:shd w:fill="auto" w:val="clear"/>
            <w:vAlign w:val="center"/>
          </w:tcPr>
          <w:p>
            <w:pPr>
              <w:pStyle w:val="TableContents"/>
              <w:spacing w:before="0" w:after="283"/>
              <w:rPr/>
            </w:pPr>
            <w:r>
              <w:rPr/>
              <w:t> </w:t>
            </w:r>
          </w:p>
        </w:tc>
        <w:tc>
          <w:tcPr>
            <w:tcW w:w="10080" w:type="dxa"/>
            <w:gridSpan w:val="3"/>
            <w:tcBorders/>
            <w:shd w:fill="auto" w:val="clear"/>
          </w:tcPr>
          <w:p>
            <w:pPr>
              <w:pStyle w:val="TableContents"/>
              <w:spacing w:before="0" w:after="283"/>
              <w:rPr>
                <w:sz w:val="4"/>
                <w:szCs w:val="4"/>
              </w:rPr>
            </w:pPr>
            <w:r>
              <w:rPr>
                <w:sz w:val="4"/>
                <w:szCs w:val="4"/>
              </w:rPr>
            </w:r>
          </w:p>
        </w:tc>
      </w:tr>
      <w:tr>
        <w:trPr/>
        <w:tc>
          <w:tcPr>
            <w:tcW w:w="12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4.</w:t>
            </w:r>
          </w:p>
        </w:tc>
        <w:tc>
          <w:tcPr>
            <w:tcW w:w="126"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rPr/>
            </w:pPr>
            <w:r>
              <w:rPr/>
              <w:t>Special Financing Request 2006 #25.1 dated November 2, 2006 totaling $24,700,000.</w:t>
            </w:r>
          </w:p>
        </w:tc>
      </w:tr>
      <w:tr>
        <w:trPr/>
        <w:tc>
          <w:tcPr>
            <w:tcW w:w="125" w:type="dxa"/>
            <w:tcBorders/>
            <w:shd w:fill="auto" w:val="clear"/>
            <w:vAlign w:val="center"/>
          </w:tcPr>
          <w:p>
            <w:pPr>
              <w:pStyle w:val="TableContents"/>
              <w:spacing w:before="0" w:after="283"/>
              <w:rPr/>
            </w:pPr>
            <w:r>
              <w:rPr/>
              <w:t> </w:t>
            </w:r>
          </w:p>
        </w:tc>
        <w:tc>
          <w:tcPr>
            <w:tcW w:w="10080" w:type="dxa"/>
            <w:gridSpan w:val="3"/>
            <w:tcBorders/>
            <w:shd w:fill="auto" w:val="clear"/>
          </w:tcPr>
          <w:p>
            <w:pPr>
              <w:pStyle w:val="TableContents"/>
              <w:spacing w:before="0" w:after="283"/>
              <w:rPr>
                <w:sz w:val="4"/>
                <w:szCs w:val="4"/>
              </w:rPr>
            </w:pPr>
            <w:r>
              <w:rPr>
                <w:sz w:val="4"/>
                <w:szCs w:val="4"/>
              </w:rPr>
            </w:r>
          </w:p>
        </w:tc>
      </w:tr>
      <w:tr>
        <w:trPr/>
        <w:tc>
          <w:tcPr>
            <w:tcW w:w="12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pPr>
            <w:r>
              <w:rPr/>
              <w:t>5.</w:t>
            </w:r>
          </w:p>
        </w:tc>
        <w:tc>
          <w:tcPr>
            <w:tcW w:w="126"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rPr/>
            </w:pPr>
            <w:r>
              <w:rPr/>
              <w:t>Financing Request-Initial dated November 2, 2006 with respect to a Delivery Month of November, 2006 and an Initial Financing Request of $647,600,000.</w:t>
            </w:r>
          </w:p>
        </w:tc>
      </w:tr>
    </w:tbl>
    <w:p>
      <w:pPr>
        <w:pStyle w:val="TextBody"/>
        <w:spacing w:before="120" w:after="283"/>
        <w:jc w:val="left"/>
        <w:rPr/>
      </w:pPr>
      <w:r>
        <w:rPr/>
        <w:t>     </w:t>
      </w:r>
      <w:r>
        <w:rPr>
          <w:rFonts w:ascii="Times New Roman;Times;serif" w:hAnsi="Times New Roman;Times;serif"/>
          <w:sz w:val="17"/>
        </w:rPr>
        <w:t xml:space="preserve">§ 2.4. </w:t>
      </w:r>
      <w:r>
        <w:rPr>
          <w:rFonts w:ascii="Times New Roman;Times;serif" w:hAnsi="Times New Roman;Times;serif"/>
          <w:sz w:val="17"/>
          <w:u w:val="single"/>
        </w:rPr>
        <w:t>New Lender</w:t>
      </w:r>
      <w:r>
        <w:rPr>
          <w:rFonts w:ascii="Times New Roman;Times;serif" w:hAnsi="Times New Roman;Times;serif"/>
          <w:sz w:val="17"/>
        </w:rPr>
        <w:t xml:space="preserve">. Upon its execution and as of the effectiveness hereof, DnB NOR Bank ASA shall be a party to the Credit Agreement and shall have the rights and obligations of a Lender thereunder.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III.  </w:t>
      </w:r>
      <w:r>
        <w:rPr>
          <w:rFonts w:ascii="Times New Roman;Times;serif" w:hAnsi="Times New Roman;Times;serif"/>
          <w:sz w:val="17"/>
          <w:u w:val="single"/>
        </w:rPr>
        <w:t>Conditions of Effectiveness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3.1. </w:t>
      </w:r>
      <w:r>
        <w:rPr>
          <w:rFonts w:ascii="Times New Roman;Times;serif" w:hAnsi="Times New Roman;Times;serif"/>
          <w:sz w:val="17"/>
          <w:u w:val="single"/>
        </w:rPr>
        <w:t>Effective Date</w:t>
      </w:r>
      <w:r>
        <w:rPr>
          <w:rFonts w:ascii="Times New Roman;Times;serif" w:hAnsi="Times New Roman;Times;serif"/>
          <w:sz w:val="17"/>
        </w:rPr>
        <w:t xml:space="preserve">. This Amendment shall become effective as of the date first written above, when and only when </w:t>
      </w:r>
    </w:p>
    <w:p>
      <w:pPr>
        <w:pStyle w:val="TextBody"/>
        <w:spacing w:before="120" w:after="283"/>
        <w:jc w:val="left"/>
        <w:rPr/>
      </w:pPr>
      <w:r>
        <w:rPr/>
        <w:t>     </w:t>
      </w:r>
      <w:r>
        <w:rPr>
          <w:rFonts w:ascii="Times New Roman;Times;serif" w:hAnsi="Times New Roman;Times;serif"/>
          <w:sz w:val="17"/>
        </w:rPr>
        <w:t xml:space="preserve">(i) Administrative Agent shall have received, at Administrative Agents office a counterpart of this Amendment executed and delivered by Borrower and Lenders; </w:t>
      </w:r>
    </w:p>
    <w:p>
      <w:pPr>
        <w:pStyle w:val="TextBody"/>
        <w:spacing w:before="120" w:after="283"/>
        <w:jc w:val="left"/>
        <w:rPr/>
      </w:pPr>
      <w:r>
        <w:rPr/>
        <w:t>     </w:t>
      </w:r>
      <w:r>
        <w:rPr>
          <w:rFonts w:ascii="Times New Roman;Times;serif" w:hAnsi="Times New Roman;Times;serif"/>
          <w:sz w:val="17"/>
        </w:rPr>
        <w:t xml:space="preserve">(ii) 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New Notes</w:t>
      </w:r>
      <w:r>
        <w:rPr>
          <w:rFonts w:ascii="Times New Roman;Times;serif" w:hAnsi="Times New Roman;Times;serif"/>
          <w:sz w:val="17"/>
        </w:rPr>
        <w:t xml:space="preserve">. New Notes, payable to each new Lender and each existing Lender that is increasing its Percentage Share of the Maximum Facility Amount, in the amount of such Lenders Percentage Share of the Maximum Facility Amount.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Supporting Documents</w:t>
      </w:r>
      <w:r>
        <w:rPr>
          <w:rFonts w:ascii="Times New Roman;Times;serif" w:hAnsi="Times New Roman;Times;serif"/>
          <w:sz w:val="17"/>
        </w:rPr>
        <w:t xml:space="preserve">. Such supporting documents as Administrative Agent may reasonably request.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IV.  </w:t>
      </w:r>
      <w:r>
        <w:rPr>
          <w:rFonts w:ascii="Times New Roman;Times;serif" w:hAnsi="Times New Roman;Times;serif"/>
          <w:sz w:val="17"/>
          <w:u w:val="single"/>
        </w:rPr>
        <w:t>Representations and Warranties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4.1. </w:t>
      </w:r>
      <w:r>
        <w:rPr>
          <w:rFonts w:ascii="Times New Roman;Times;serif" w:hAnsi="Times New Roman;Times;serif"/>
          <w:sz w:val="17"/>
          <w:u w:val="single"/>
        </w:rPr>
        <w:t>Representations and Warranties of Borrower</w:t>
      </w:r>
      <w:r>
        <w:rPr>
          <w:rFonts w:ascii="Times New Roman;Times;serif" w:hAnsi="Times New Roman;Times;serif"/>
          <w:sz w:val="17"/>
        </w:rPr>
        <w:t xml:space="preserve">. In order to induce Administrative Agent and Lenders to enter into this Amendment, Borrower represents and warrants to Administrative Agent and each Lender that: </w:t>
      </w:r>
    </w:p>
    <w:p>
      <w:pPr>
        <w:pStyle w:val="TextBody"/>
        <w:spacing w:before="120" w:after="283"/>
        <w:jc w:val="left"/>
        <w:rPr/>
      </w:pPr>
      <w:r>
        <w:rPr/>
        <w:t>     </w:t>
      </w:r>
      <w:r>
        <w:rPr>
          <w:rFonts w:ascii="Times New Roman;Times;serif" w:hAnsi="Times New Roman;Times;serif"/>
          <w:sz w:val="17"/>
        </w:rPr>
        <w:t xml:space="preserve">(a) The representations and warranties contained in Article V of the Original Agreement are true and correct at and as of the time of the effectiveness hereof, except to the extent that such representation and warranty was made as of a specific date or updated, modified or supplemented as of a subsequent date with the consent of Majority Lenders, then in each case, such other date. </w:t>
      </w:r>
    </w:p>
    <w:p>
      <w:pPr>
        <w:pStyle w:val="TextBody"/>
        <w:spacing w:before="120" w:after="283"/>
        <w:jc w:val="left"/>
        <w:rPr/>
      </w:pPr>
      <w:r>
        <w:rPr/>
        <w:t>     </w:t>
      </w:r>
      <w:r>
        <w:rPr>
          <w:rFonts w:ascii="Times New Roman;Times;serif" w:hAnsi="Times New Roman;Times;serif"/>
          <w:sz w:val="17"/>
        </w:rPr>
        <w:t xml:space="preserve">(b) Borrower is duly authorized to execute and deliver this Amendment, and Borrower is and will continue to be duly authorized to borrow and perform its obligations under the Credit Agreement. Borrower has duly taken all action necessary to authorize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execution and delivery of this Amendment and to authorize the performance of its obligations hereunder. </w:t>
      </w:r>
    </w:p>
    <w:p>
      <w:pPr>
        <w:pStyle w:val="TextBody"/>
        <w:spacing w:before="120" w:after="283"/>
        <w:jc w:val="left"/>
        <w:rPr/>
      </w:pPr>
      <w:r>
        <w:rPr/>
        <w:t>     </w:t>
      </w:r>
      <w:r>
        <w:rPr>
          <w:rFonts w:ascii="Times New Roman;Times;serif" w:hAnsi="Times New Roman;Times;serif"/>
          <w:sz w:val="17"/>
        </w:rPr>
        <w:t xml:space="preserve">(c) The execution and delivery by Borrower of this Amendment, the performance by it of its obligations hereunder, and the consummation of the transactions contemplated 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of the Credit Agreement, no permit, consent, approval, authorization or order of, and no notice to or filing, registration or qualification with, any Governmental Authority is required on the part of Borrower pursuant to the provisions of any material Law applicable to it as a condition to its execution, delivery or performance of this Amendment, or to consummate the transactions contemplated hereby. </w:t>
      </w:r>
    </w:p>
    <w:p>
      <w:pPr>
        <w:pStyle w:val="TextBody"/>
        <w:spacing w:before="120" w:after="283"/>
        <w:jc w:val="left"/>
        <w:rPr/>
      </w:pPr>
      <w:r>
        <w:rPr/>
        <w:t>     </w:t>
      </w:r>
      <w:r>
        <w:rPr>
          <w:rFonts w:ascii="Times New Roman;Times;serif" w:hAnsi="Times New Roman;Times;serif"/>
          <w:sz w:val="17"/>
        </w:rPr>
        <w:t xml:space="preserve">(d) When duly executed and delivered, this Amendment and each of the Loan Documents, as amended hereby, will be a legal and binding obligation of Borrower, enforceable in accordance with its terms, except as such enforcement may be limited by bankruptcy, insolvency or similar Laws of general application relating to the enforcement of creditors rights and general principles of equity.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V.  </w:t>
      </w: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5.1. </w:t>
      </w:r>
      <w:r>
        <w:rPr>
          <w:rFonts w:ascii="Times New Roman;Times;serif" w:hAnsi="Times New Roman;Times;serif"/>
          <w:sz w:val="17"/>
          <w:u w:val="single"/>
        </w:rPr>
        <w:t>Ratification of Agreements</w:t>
      </w:r>
      <w:r>
        <w:rPr>
          <w:rFonts w:ascii="Times New Roman;Times;serif" w:hAnsi="Times New Roman;Times;serif"/>
          <w:sz w:val="17"/>
        </w:rPr>
        <w:t xml:space="preserve">. The Original Agreement, as hereby amended, is hereby ratified and confirmed in all respects. The Loan Documents, as they may be amended or affected by this Amendment, are hereby ratified and confirmed in all respects by Borrower.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 </w:t>
      </w:r>
    </w:p>
    <w:p>
      <w:pPr>
        <w:pStyle w:val="TextBody"/>
        <w:spacing w:before="120" w:after="283"/>
        <w:jc w:val="left"/>
        <w:rPr/>
      </w:pPr>
      <w:r>
        <w:rPr/>
        <w:t>     </w:t>
      </w:r>
      <w:r>
        <w:rPr>
          <w:rFonts w:ascii="Times New Roman;Times;serif" w:hAnsi="Times New Roman;Times;serif"/>
          <w:sz w:val="17"/>
        </w:rPr>
        <w:t xml:space="preserve">§ 5.2. </w:t>
      </w:r>
      <w:r>
        <w:rPr>
          <w:rFonts w:ascii="Times New Roman;Times;serif" w:hAnsi="Times New Roman;Times;serif"/>
          <w:sz w:val="17"/>
          <w:u w:val="single"/>
        </w:rPr>
        <w:t>Ratification of Security Documents</w:t>
      </w:r>
      <w:r>
        <w:rPr>
          <w:rFonts w:ascii="Times New Roman;Times;serif" w:hAnsi="Times New Roman;Times;serif"/>
          <w:sz w:val="17"/>
        </w:rPr>
        <w:t xml:space="preserve">. Borrower, Administrative Agent, and Lenders each acknowledge and agree that any and all indebtedness, liabilities or obligations, arising under or in connection with the LC Obligations or the Notes, are Obligations and are secured indebtedness under, and are secured by, each and every Security Document. Borrower hereby re-pledges, re-grants and re-assigns a security interest in and lien on every asset of Borrower described as Collateral in any Security Document. </w:t>
      </w:r>
    </w:p>
    <w:p>
      <w:pPr>
        <w:pStyle w:val="TextBody"/>
        <w:spacing w:before="120" w:after="283"/>
        <w:jc w:val="left"/>
        <w:rPr/>
      </w:pPr>
      <w:r>
        <w:rPr/>
        <w:t>     </w:t>
      </w:r>
      <w:r>
        <w:rPr>
          <w:rFonts w:ascii="Times New Roman;Times;serif" w:hAnsi="Times New Roman;Times;serif"/>
          <w:sz w:val="17"/>
        </w:rPr>
        <w:t xml:space="preserve">§ 5.3. </w:t>
      </w:r>
      <w:r>
        <w:rPr>
          <w:rFonts w:ascii="Times New Roman;Times;serif" w:hAnsi="Times New Roman;Times;serif"/>
          <w:sz w:val="17"/>
          <w:u w:val="single"/>
        </w:rPr>
        <w:t>Survival of Agreements</w:t>
      </w:r>
      <w:r>
        <w:rPr>
          <w:rFonts w:ascii="Times New Roman;Times;serif" w:hAnsi="Times New Roman;Times;serif"/>
          <w:sz w:val="17"/>
        </w:rPr>
        <w:t xml:space="preserve">. All representations, warranties, covenants and agreements of Borrower shall survive the execution and delivery of this Amendment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Borrower hereunder or under the Credit Agreement to Administrative Agent or any Lender shall be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deemed to constitute representations and warranties by, or agreements and covenants of, Borrower under this Amendment and under the Credit Agreement. </w:t>
      </w:r>
    </w:p>
    <w:p>
      <w:pPr>
        <w:pStyle w:val="TextBody"/>
        <w:spacing w:before="120" w:after="283"/>
        <w:jc w:val="left"/>
        <w:rPr/>
      </w:pPr>
      <w:r>
        <w:rPr/>
        <w:t>     </w:t>
      </w:r>
      <w:r>
        <w:rPr>
          <w:rFonts w:ascii="Times New Roman;Times;serif" w:hAnsi="Times New Roman;Times;serif"/>
          <w:sz w:val="17"/>
        </w:rPr>
        <w:t xml:space="preserve">§ 5.4. </w:t>
      </w:r>
      <w:r>
        <w:rPr>
          <w:rFonts w:ascii="Times New Roman;Times;serif" w:hAnsi="Times New Roman;Times;serif"/>
          <w:sz w:val="17"/>
          <w:u w:val="single"/>
        </w:rPr>
        <w:t>Loan Documents</w:t>
      </w:r>
      <w:r>
        <w:rPr>
          <w:rFonts w:ascii="Times New Roman;Times;serif" w:hAnsi="Times New Roman;Times;serif"/>
          <w:sz w:val="17"/>
        </w:rPr>
        <w:t xml:space="preserve">. This Amendment is a Loan Document, and all provisions in the Credit Agreement pertaining to Loan Documents apply hereto. </w:t>
      </w:r>
    </w:p>
    <w:p>
      <w:pPr>
        <w:pStyle w:val="TextBody"/>
        <w:spacing w:before="120" w:after="283"/>
        <w:jc w:val="left"/>
        <w:rPr/>
      </w:pPr>
      <w:r>
        <w:rPr/>
        <w:t>     </w:t>
      </w:r>
      <w:r>
        <w:rPr>
          <w:rFonts w:ascii="Times New Roman;Times;serif" w:hAnsi="Times New Roman;Times;serif"/>
          <w:b/>
          <w:sz w:val="17"/>
        </w:rPr>
        <w:t>§</w:t>
      </w:r>
      <w:r>
        <w:rPr>
          <w:rFonts w:ascii="Times New Roman;Times;serif" w:hAnsi="Times New Roman;Times;serif"/>
          <w:sz w:val="17"/>
          <w:u w:val="single"/>
        </w:rPr>
        <w:t xml:space="preserve"> </w:t>
      </w:r>
      <w:r>
        <w:rPr>
          <w:rFonts w:ascii="Times New Roman;Times;serif" w:hAnsi="Times New Roman;Times;serif"/>
          <w:b/>
          <w:sz w:val="17"/>
          <w:u w:val="single"/>
        </w:rPr>
        <w:t>5.5.</w:t>
      </w:r>
      <w:r>
        <w:rPr>
          <w:rFonts w:ascii="Times New Roman;Times;serif" w:hAnsi="Times New Roman;Times;serif"/>
          <w:sz w:val="17"/>
        </w:rPr>
        <w:t xml:space="preserve"> </w:t>
      </w:r>
      <w:r>
        <w:rPr>
          <w:rFonts w:ascii="Times New Roman;Times;serif" w:hAnsi="Times New Roman;Times;serif"/>
          <w:b/>
          <w:sz w:val="17"/>
          <w:u w:val="single"/>
        </w:rPr>
        <w:t>GOVERNING LAW. THIS AMENDMENT SHALL BE GOVERNED BY AND CONSTRUED IN ACCORDANCE WITH THE LAWS OF THE STATE OF NEW YORK AND ANY APPLICABLE LAWS OF THE UNITED STATES OF AMERICA IN ALL RESPECTS, INCLUDING CONSTRUCTION, VALIDITY AND PERFORMANCE.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5.6. </w:t>
      </w:r>
      <w:r>
        <w:rPr>
          <w:rFonts w:ascii="Times New Roman;Times;serif" w:hAnsi="Times New Roman;Times;serif"/>
          <w:sz w:val="17"/>
          <w:u w:val="single"/>
        </w:rPr>
        <w:t>Counterparts</w:t>
      </w:r>
      <w:r>
        <w:rPr>
          <w:rFonts w:ascii="Times New Roman;Times;serif" w:hAnsi="Times New Roman;Times;serif"/>
          <w:sz w:val="17"/>
        </w:rPr>
        <w:t xml:space="preserve">. This Amendment may be separately executed in counterparts and by the different parties hereto in separate counterparts, each of which when so executed shall be deemed to constitute one and the same Amendment. Delivery of an executed signature page by facsimile transmission shall be effective as delivery of a manual executed counterpart.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this Amendment is executed as of the date first above written. </w:t>
      </w:r>
    </w:p>
    <w:tbl>
      <w:tblPr>
        <w:tblW w:w="5000" w:type="pct"/>
        <w:jc w:val="center"/>
        <w:tblInd w:w="0" w:type="dxa"/>
        <w:tblCellMar>
          <w:top w:w="0" w:type="dxa"/>
          <w:left w:w="0" w:type="dxa"/>
          <w:bottom w:w="0" w:type="dxa"/>
          <w:right w:w="0" w:type="dxa"/>
        </w:tblCellMar>
      </w:tblPr>
      <w:tblGrid>
        <w:gridCol w:w="4275"/>
        <w:gridCol w:w="125"/>
        <w:gridCol w:w="372"/>
        <w:gridCol w:w="125"/>
        <w:gridCol w:w="4748"/>
        <w:gridCol w:w="125"/>
        <w:gridCol w:w="435"/>
      </w:tblGrid>
      <w:tr>
        <w:trPr/>
        <w:tc>
          <w:tcPr>
            <w:tcW w:w="42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r>
      <w:tr>
        <w:trPr/>
        <w:tc>
          <w:tcPr>
            <w:tcW w:w="4275" w:type="dxa"/>
            <w:tcBorders/>
            <w:shd w:fill="auto" w:val="clear"/>
          </w:tcPr>
          <w:p>
            <w:pPr>
              <w:pStyle w:val="TableContents"/>
              <w:spacing w:before="0" w:after="283"/>
              <w:rPr/>
            </w:pPr>
            <w:r>
              <w:rPr>
                <w:b/>
              </w:rPr>
              <w:t>BORROWER</w:t>
            </w:r>
            <w:r>
              <w:rPr/>
              <w:t>:</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PLAINS MARKETING, L.P.</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By: Plains Marketing GP Inc., General Partner</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center"/>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748" w:type="dxa"/>
            <w:tcBorders>
              <w:top w:val="single" w:sz="2" w:space="0" w:color="000000"/>
            </w:tcBorders>
            <w:shd w:fill="auto" w:val="clear"/>
            <w:tcMar>
              <w:top w:w="28" w:type="dxa"/>
            </w:tcM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Al Swanson</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Vice President and Treasurer</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b/>
              </w:rPr>
              <w:t>LENDER PARTIES</w:t>
            </w:r>
            <w:r>
              <w:rPr/>
              <w:t>:</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BANK OF AMERICA, N.A.,</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Administrative Agent</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center"/>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748" w:type="dxa"/>
            <w:tcBorders>
              <w:top w:val="single" w:sz="2" w:space="0" w:color="000000"/>
            </w:tcBorders>
            <w:shd w:fill="auto" w:val="clear"/>
            <w:tcMar>
              <w:top w:w="28" w:type="dxa"/>
            </w:tcM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Name:</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Title:</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BANK OF AMERICA, N.A., a Lender and</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5" w:type="dxa"/>
            <w:gridSpan w:val="3"/>
            <w:tcBorders/>
            <w:shd w:fill="auto" w:val="clear"/>
          </w:tcPr>
          <w:p>
            <w:pPr>
              <w:pStyle w:val="TableContents"/>
              <w:spacing w:before="0" w:after="283"/>
              <w:jc w:val="left"/>
              <w:rPr/>
            </w:pPr>
            <w:r>
              <w:rPr/>
              <w:t>LC Issuer</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center"/>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748" w:type="dxa"/>
            <w:tcBorders>
              <w:top w:val="single" w:sz="2" w:space="0" w:color="000000"/>
            </w:tcBorders>
            <w:shd w:fill="auto" w:val="clear"/>
            <w:tcMar>
              <w:top w:w="28" w:type="dxa"/>
            </w:tcM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Name:</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748" w:type="dxa"/>
            <w:tcBorders/>
            <w:shd w:fill="auto" w:val="clear"/>
          </w:tcPr>
          <w:p>
            <w:pPr>
              <w:pStyle w:val="TableContents"/>
              <w:spacing w:before="0" w:after="283"/>
              <w:jc w:val="left"/>
              <w:rPr/>
            </w:pPr>
            <w:r>
              <w:rPr/>
              <w:t>Title:</w:t>
            </w:r>
          </w:p>
        </w:tc>
        <w:tc>
          <w:tcPr>
            <w:tcW w:w="125"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455"/>
        <w:gridCol w:w="139"/>
        <w:gridCol w:w="957"/>
        <w:gridCol w:w="148"/>
        <w:gridCol w:w="4881"/>
        <w:gridCol w:w="139"/>
        <w:gridCol w:w="486"/>
      </w:tblGrid>
      <w:tr>
        <w:trPr/>
        <w:tc>
          <w:tcPr>
            <w:tcW w:w="345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BNP PARIBAS, Syndication Agent and a Lender</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FORTIS CAPITAL CORP.,</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Documentation Agent and a Lender</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SOCIETE GENERALE, Lender</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WACHOVIA BANK, NATIONAL</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ASSOCIATION, Lender</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6" w:type="dxa"/>
            <w:gridSpan w:val="3"/>
            <w:tcBorders/>
            <w:shd w:fill="auto" w:val="clear"/>
          </w:tcPr>
          <w:p>
            <w:pPr>
              <w:pStyle w:val="TableContents"/>
              <w:spacing w:before="0" w:after="283"/>
              <w:jc w:val="left"/>
              <w:rPr/>
            </w:pPr>
            <w:r>
              <w:rPr/>
              <w:t>BANK OF SCOTLAND, Lender</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By:</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881"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r>
        <w:trPr/>
        <w:tc>
          <w:tcPr>
            <w:tcW w:w="3455"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957" w:type="dxa"/>
            <w:tcBorders/>
            <w:shd w:fill="auto" w:val="clear"/>
          </w:tcPr>
          <w:p>
            <w:pPr>
              <w:pStyle w:val="TableContents"/>
              <w:spacing w:before="0" w:after="283"/>
              <w:jc w:val="left"/>
              <w:rPr/>
            </w:pPr>
            <w:r>
              <w:rPr/>
              <w:t> </w:t>
            </w:r>
          </w:p>
        </w:tc>
        <w:tc>
          <w:tcPr>
            <w:tcW w:w="148" w:type="dxa"/>
            <w:tcBorders/>
            <w:shd w:fill="auto" w:val="clear"/>
            <w:vAlign w:val="bottom"/>
          </w:tcPr>
          <w:p>
            <w:pPr>
              <w:pStyle w:val="TableContents"/>
              <w:spacing w:before="0" w:after="283"/>
              <w:rPr/>
            </w:pPr>
            <w:r>
              <w:rPr/>
              <w:t> </w:t>
            </w:r>
          </w:p>
        </w:tc>
        <w:tc>
          <w:tcPr>
            <w:tcW w:w="4881"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86"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326"/>
        <w:gridCol w:w="139"/>
        <w:gridCol w:w="1338"/>
        <w:gridCol w:w="139"/>
        <w:gridCol w:w="4654"/>
        <w:gridCol w:w="139"/>
        <w:gridCol w:w="470"/>
      </w:tblGrid>
      <w:tr>
        <w:trPr/>
        <w:tc>
          <w:tcPr>
            <w:tcW w:w="332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WELLS FARGO BANK, N.A.,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JPMORGAN CHASE BANK, N.A.,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COMMERZBANK AG, NEW YORK AND</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GRAND CAYMAN BRANCHES,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THE BANK OF NOVA SCOTIA,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SUNTRUST BANK,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131" w:type="dxa"/>
            <w:gridSpan w:val="3"/>
            <w:tcBorders/>
            <w:shd w:fill="auto" w:val="clear"/>
          </w:tcPr>
          <w:p>
            <w:pPr>
              <w:pStyle w:val="TableContents"/>
              <w:spacing w:before="0" w:after="283"/>
              <w:jc w:val="left"/>
              <w:rPr/>
            </w:pPr>
            <w:r>
              <w:rPr/>
              <w:t>DNB NOR BANK ASA, Lender</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654" w:type="dxa"/>
            <w:tcBorders>
              <w:top w:val="single" w:sz="2" w:space="0" w:color="000000"/>
            </w:tcBorders>
            <w:shd w:fill="auto" w:val="clear"/>
            <w:tcMar>
              <w:top w:w="28" w:type="dxa"/>
            </w:tcM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Name: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r>
        <w:trPr/>
        <w:tc>
          <w:tcPr>
            <w:tcW w:w="3326" w:type="dxa"/>
            <w:tcBorders/>
            <w:shd w:fill="auto" w:val="clear"/>
          </w:tcPr>
          <w:p>
            <w:pPr>
              <w:pStyle w:val="TableContents"/>
              <w:spacing w:before="0" w:after="0"/>
              <w:ind w:left="0" w:right="0" w:hanging="0"/>
              <w:rPr/>
            </w:pPr>
            <w:r>
              <w:rPr/>
              <w:t xml:space="preserve">  </w:t>
            </w:r>
          </w:p>
        </w:tc>
        <w:tc>
          <w:tcPr>
            <w:tcW w:w="139" w:type="dxa"/>
            <w:tcBorders/>
            <w:shd w:fill="auto" w:val="clear"/>
            <w:vAlign w:val="bottom"/>
          </w:tcPr>
          <w:p>
            <w:pPr>
              <w:pStyle w:val="TableContents"/>
              <w:spacing w:before="0" w:after="283"/>
              <w:rPr/>
            </w:pPr>
            <w:r>
              <w:rPr/>
              <w:t> </w:t>
            </w:r>
          </w:p>
        </w:tc>
        <w:tc>
          <w:tcPr>
            <w:tcW w:w="1338"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4654" w:type="dxa"/>
            <w:tcBorders/>
            <w:shd w:fill="auto" w:val="clear"/>
          </w:tcPr>
          <w:p>
            <w:pPr>
              <w:pStyle w:val="TableContents"/>
              <w:spacing w:before="0" w:after="283"/>
              <w:jc w:val="left"/>
              <w:rPr/>
            </w:pPr>
            <w:r>
              <w:rPr/>
              <w:t>Title:</w:t>
            </w:r>
          </w:p>
        </w:tc>
        <w:tc>
          <w:tcPr>
            <w:tcW w:w="139" w:type="dxa"/>
            <w:tcBorders/>
            <w:shd w:fill="auto" w:val="clear"/>
            <w:vAlign w:val="bottom"/>
          </w:tcPr>
          <w:p>
            <w:pPr>
              <w:pStyle w:val="TableContents"/>
              <w:spacing w:before="0" w:after="283"/>
              <w:rPr/>
            </w:pPr>
            <w:r>
              <w:rPr/>
              <w:t> </w:t>
            </w:r>
          </w:p>
        </w:tc>
        <w:tc>
          <w:tcPr>
            <w:tcW w:w="47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SCHEDULE II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LENDER SCHEDULE </w:t>
      </w:r>
    </w:p>
    <w:tbl>
      <w:tblPr>
        <w:tblW w:w="5000" w:type="pct"/>
        <w:jc w:val="center"/>
        <w:tblInd w:w="0" w:type="dxa"/>
        <w:tblCellMar>
          <w:top w:w="0" w:type="dxa"/>
          <w:left w:w="0" w:type="dxa"/>
          <w:bottom w:w="0" w:type="dxa"/>
          <w:right w:w="0" w:type="dxa"/>
        </w:tblCellMar>
      </w:tblPr>
      <w:tblGrid>
        <w:gridCol w:w="4739"/>
        <w:gridCol w:w="295"/>
        <w:gridCol w:w="226"/>
        <w:gridCol w:w="2410"/>
        <w:gridCol w:w="102"/>
        <w:gridCol w:w="295"/>
        <w:gridCol w:w="126"/>
        <w:gridCol w:w="1765"/>
        <w:gridCol w:w="247"/>
      </w:tblGrid>
      <w:tr>
        <w:trPr/>
        <w:tc>
          <w:tcPr>
            <w:tcW w:w="4739"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636"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Percentage Share of</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91" w:type="dxa"/>
            <w:gridSpan w:val="2"/>
            <w:tcBorders/>
            <w:shd w:fill="auto" w:val="clear"/>
            <w:vAlign w:val="bottom"/>
          </w:tcPr>
          <w:p>
            <w:pPr>
              <w:pStyle w:val="TableContents"/>
              <w:spacing w:before="0" w:after="283"/>
              <w:jc w:val="center"/>
              <w:rPr/>
            </w:pPr>
            <w:r>
              <w:rPr/>
              <w:t> </w:t>
            </w:r>
          </w:p>
        </w:tc>
        <w:tc>
          <w:tcPr>
            <w:tcW w:w="247" w:type="dxa"/>
            <w:tcBorders/>
            <w:shd w:fill="auto" w:val="clear"/>
            <w:vAlign w:val="bottom"/>
          </w:tcPr>
          <w:p>
            <w:pPr>
              <w:pStyle w:val="TableContents"/>
              <w:spacing w:before="0" w:after="283"/>
              <w:rPr/>
            </w:pPr>
            <w:r>
              <w:rPr/>
              <w:t> </w:t>
            </w:r>
          </w:p>
        </w:tc>
      </w:tr>
      <w:tr>
        <w:trPr/>
        <w:tc>
          <w:tcPr>
            <w:tcW w:w="4739" w:type="dxa"/>
            <w:tcBorders>
              <w:bottom w:val="single" w:sz="2" w:space="0" w:color="000000"/>
            </w:tcBorders>
            <w:shd w:fill="auto" w:val="clear"/>
            <w:tcMar>
              <w:bottom w:w="28" w:type="dxa"/>
            </w:tcMar>
            <w:vAlign w:val="bottom"/>
          </w:tcPr>
          <w:p>
            <w:pPr>
              <w:pStyle w:val="TableContents"/>
              <w:spacing w:before="0" w:after="283"/>
              <w:jc w:val="left"/>
              <w:rPr/>
            </w:pPr>
            <w:r>
              <w:rPr/>
              <w:t>Lender</w:t>
            </w:r>
          </w:p>
        </w:tc>
        <w:tc>
          <w:tcPr>
            <w:tcW w:w="295" w:type="dxa"/>
            <w:tcBorders/>
            <w:shd w:fill="auto" w:val="clear"/>
            <w:vAlign w:val="bottom"/>
          </w:tcPr>
          <w:p>
            <w:pPr>
              <w:pStyle w:val="TableContents"/>
              <w:spacing w:before="0" w:after="283"/>
              <w:rPr/>
            </w:pPr>
            <w:r>
              <w:rPr/>
              <w:t> </w:t>
            </w:r>
          </w:p>
        </w:tc>
        <w:tc>
          <w:tcPr>
            <w:tcW w:w="2636" w:type="dxa"/>
            <w:gridSpan w:val="2"/>
            <w:tcBorders>
              <w:bottom w:val="single" w:sz="2" w:space="0" w:color="000000"/>
            </w:tcBorders>
            <w:shd w:fill="auto" w:val="clear"/>
            <w:tcMar>
              <w:bottom w:w="28" w:type="dxa"/>
            </w:tcMar>
            <w:vAlign w:val="bottom"/>
          </w:tcPr>
          <w:p>
            <w:pPr>
              <w:pStyle w:val="TableContents"/>
              <w:spacing w:before="0" w:after="283"/>
              <w:jc w:val="center"/>
              <w:rPr/>
            </w:pPr>
            <w:r>
              <w:rPr/>
              <w:t>Maximum Facility Amount</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891" w:type="dxa"/>
            <w:gridSpan w:val="2"/>
            <w:tcBorders>
              <w:bottom w:val="single" w:sz="2" w:space="0" w:color="000000"/>
            </w:tcBorders>
            <w:shd w:fill="auto" w:val="clear"/>
            <w:tcMar>
              <w:bottom w:w="28" w:type="dxa"/>
            </w:tcMar>
            <w:vAlign w:val="bottom"/>
          </w:tcPr>
          <w:p>
            <w:pPr>
              <w:pStyle w:val="TableContents"/>
              <w:spacing w:before="0" w:after="283"/>
              <w:jc w:val="center"/>
              <w:rPr/>
            </w:pPr>
            <w:r>
              <w:rPr/>
              <w:t>Percentage Share1</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Bank of America, N.A.</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110,000,000.00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11.000000</w:t>
            </w:r>
          </w:p>
        </w:tc>
        <w:tc>
          <w:tcPr>
            <w:tcW w:w="247" w:type="dxa"/>
            <w:tcBorders/>
            <w:shd w:fill="CCEEFF"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BNP Paribas</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175,000,000.00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17.500000</w:t>
            </w:r>
          </w:p>
        </w:tc>
        <w:tc>
          <w:tcPr>
            <w:tcW w:w="247" w:type="dxa"/>
            <w:tcBorders/>
            <w:shd w:fill="auto"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Fortis Capital Corp.</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170,000,000.00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17.000000</w:t>
            </w:r>
          </w:p>
        </w:tc>
        <w:tc>
          <w:tcPr>
            <w:tcW w:w="247" w:type="dxa"/>
            <w:tcBorders/>
            <w:shd w:fill="CCEEFF"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Societe Generale</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100,000,000.00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10.000000</w:t>
            </w:r>
          </w:p>
        </w:tc>
        <w:tc>
          <w:tcPr>
            <w:tcW w:w="247" w:type="dxa"/>
            <w:tcBorders/>
            <w:shd w:fill="auto"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Wachovia Bank, National Association</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75,000,000.00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7.500000</w:t>
            </w:r>
          </w:p>
        </w:tc>
        <w:tc>
          <w:tcPr>
            <w:tcW w:w="247" w:type="dxa"/>
            <w:tcBorders/>
            <w:shd w:fill="CCEEFF"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JPMorgan Chase Bank, N.A.</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75,000,000.00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7.500000</w:t>
            </w:r>
          </w:p>
        </w:tc>
        <w:tc>
          <w:tcPr>
            <w:tcW w:w="247" w:type="dxa"/>
            <w:tcBorders/>
            <w:shd w:fill="auto"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Commerzbank AG,</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55,000,000.00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5.500000</w:t>
            </w:r>
          </w:p>
        </w:tc>
        <w:tc>
          <w:tcPr>
            <w:tcW w:w="247" w:type="dxa"/>
            <w:tcBorders/>
            <w:shd w:fill="CCEEFF" w:val="clear"/>
            <w:vAlign w:val="bottom"/>
          </w:tcPr>
          <w:p>
            <w:pPr>
              <w:pStyle w:val="TableContents"/>
              <w:spacing w:before="0" w:after="283"/>
              <w:rPr/>
            </w:pPr>
            <w:r>
              <w:rPr/>
              <w:t>%</w:t>
            </w:r>
          </w:p>
        </w:tc>
      </w:tr>
      <w:tr>
        <w:trPr/>
        <w:tc>
          <w:tcPr>
            <w:tcW w:w="4739" w:type="dxa"/>
            <w:tcBorders/>
            <w:shd w:fill="CCEEFF" w:val="clear"/>
            <w:vAlign w:val="bottom"/>
          </w:tcPr>
          <w:p>
            <w:pPr>
              <w:pStyle w:val="TableContents"/>
              <w:spacing w:before="0" w:after="0"/>
              <w:ind w:left="225" w:right="0" w:hanging="225"/>
              <w:rPr/>
            </w:pPr>
            <w:r>
              <w:rPr/>
              <w:t>New York and Grand Cayman Branches</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41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6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The Bank of Nova Scotia</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100,000,000.00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10.000000</w:t>
            </w:r>
          </w:p>
        </w:tc>
        <w:tc>
          <w:tcPr>
            <w:tcW w:w="247" w:type="dxa"/>
            <w:tcBorders/>
            <w:shd w:fill="auto"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SunTrust Bank</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55,000,000.00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5.500000</w:t>
            </w:r>
          </w:p>
        </w:tc>
        <w:tc>
          <w:tcPr>
            <w:tcW w:w="247" w:type="dxa"/>
            <w:tcBorders/>
            <w:shd w:fill="CCEEFF"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Bank of Scotland</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15,000,000.00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1.500000</w:t>
            </w:r>
          </w:p>
        </w:tc>
        <w:tc>
          <w:tcPr>
            <w:tcW w:w="247" w:type="dxa"/>
            <w:tcBorders/>
            <w:shd w:fill="auto"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CCEEFF" w:val="clear"/>
            <w:vAlign w:val="bottom"/>
          </w:tcPr>
          <w:p>
            <w:pPr>
              <w:pStyle w:val="TableContents"/>
              <w:spacing w:before="0" w:after="0"/>
              <w:ind w:left="225" w:right="0" w:hanging="225"/>
              <w:rPr/>
            </w:pPr>
            <w:r>
              <w:rPr/>
              <w:t>Wells Fargo Bank, N.A.</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35,000,000.00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3.500000</w:t>
            </w:r>
          </w:p>
        </w:tc>
        <w:tc>
          <w:tcPr>
            <w:tcW w:w="247" w:type="dxa"/>
            <w:tcBorders/>
            <w:shd w:fill="CCEEFF" w:val="clear"/>
            <w:vAlign w:val="bottom"/>
          </w:tcPr>
          <w:p>
            <w:pPr>
              <w:pStyle w:val="TableContents"/>
              <w:spacing w:before="0" w:after="283"/>
              <w:rPr/>
            </w:pPr>
            <w:r>
              <w:rPr/>
              <w:t>%</w:t>
            </w:r>
          </w:p>
        </w:tc>
      </w:tr>
      <w:tr>
        <w:trPr/>
        <w:tc>
          <w:tcPr>
            <w:tcW w:w="4739" w:type="dxa"/>
            <w:tcBorders/>
            <w:shd w:fill="auto" w:val="clear"/>
            <w:vAlign w:val="bottom"/>
          </w:tcPr>
          <w:p>
            <w:pPr>
              <w:pStyle w:val="TableContents"/>
              <w:spacing w:before="0" w:after="0"/>
              <w:ind w:left="225" w:right="0" w:hanging="225"/>
              <w:rPr/>
            </w:pPr>
            <w:r>
              <w:rPr/>
              <w:t> </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4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6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739" w:type="dxa"/>
            <w:tcBorders/>
            <w:shd w:fill="auto" w:val="clear"/>
            <w:vAlign w:val="bottom"/>
          </w:tcPr>
          <w:p>
            <w:pPr>
              <w:pStyle w:val="TableContents"/>
              <w:spacing w:before="0" w:after="0"/>
              <w:ind w:left="225" w:right="0" w:hanging="225"/>
              <w:rPr/>
            </w:pPr>
            <w:r>
              <w:rPr/>
              <w:t>DnB NOR Bank ASA</w:t>
            </w:r>
          </w:p>
        </w:tc>
        <w:tc>
          <w:tcPr>
            <w:tcW w:w="29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2410" w:type="dxa"/>
            <w:tcBorders/>
            <w:shd w:fill="auto" w:val="clear"/>
            <w:vAlign w:val="bottom"/>
          </w:tcPr>
          <w:p>
            <w:pPr>
              <w:pStyle w:val="TableContents"/>
              <w:spacing w:before="0" w:after="283"/>
              <w:jc w:val="right"/>
              <w:rPr/>
            </w:pPr>
            <w:r>
              <w:rPr/>
              <w:t>35,000,000.00</w:t>
            </w:r>
          </w:p>
        </w:tc>
        <w:tc>
          <w:tcPr>
            <w:tcW w:w="102"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765" w:type="dxa"/>
            <w:tcBorders/>
            <w:shd w:fill="auto" w:val="clear"/>
            <w:vAlign w:val="bottom"/>
          </w:tcPr>
          <w:p>
            <w:pPr>
              <w:pStyle w:val="TableContents"/>
              <w:spacing w:before="0" w:after="283"/>
              <w:jc w:val="right"/>
              <w:rPr/>
            </w:pPr>
            <w:r>
              <w:rPr/>
              <w:t>3.500000</w:t>
            </w:r>
          </w:p>
        </w:tc>
        <w:tc>
          <w:tcPr>
            <w:tcW w:w="247" w:type="dxa"/>
            <w:tcBorders/>
            <w:shd w:fill="auto" w:val="clear"/>
            <w:vAlign w:val="bottom"/>
          </w:tcPr>
          <w:p>
            <w:pPr>
              <w:pStyle w:val="TableContents"/>
              <w:spacing w:before="0" w:after="283"/>
              <w:rPr/>
            </w:pPr>
            <w:r>
              <w:rPr/>
              <w:t>%</w:t>
            </w:r>
          </w:p>
        </w:tc>
      </w:tr>
      <w:tr>
        <w:trPr/>
        <w:tc>
          <w:tcPr>
            <w:tcW w:w="10205" w:type="dxa"/>
            <w:gridSpan w:val="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739" w:type="dxa"/>
            <w:tcBorders/>
            <w:shd w:fill="CCEEFF" w:val="clear"/>
            <w:vAlign w:val="bottom"/>
          </w:tcPr>
          <w:p>
            <w:pPr>
              <w:pStyle w:val="TableContents"/>
              <w:spacing w:before="0" w:after="0"/>
              <w:ind w:left="225" w:right="0" w:hanging="225"/>
              <w:rPr/>
            </w:pPr>
            <w:r>
              <w:rPr/>
              <w:t>TOTALS</w:t>
            </w:r>
          </w:p>
        </w:tc>
        <w:tc>
          <w:tcPr>
            <w:tcW w:w="29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2410" w:type="dxa"/>
            <w:tcBorders/>
            <w:shd w:fill="CCEEFF" w:val="clear"/>
            <w:vAlign w:val="bottom"/>
          </w:tcPr>
          <w:p>
            <w:pPr>
              <w:pStyle w:val="TableContents"/>
              <w:spacing w:before="0" w:after="283"/>
              <w:jc w:val="right"/>
              <w:rPr/>
            </w:pPr>
            <w:r>
              <w:rPr/>
              <w:t>1.000,000,000.00</w:t>
            </w:r>
          </w:p>
        </w:tc>
        <w:tc>
          <w:tcPr>
            <w:tcW w:w="102"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765" w:type="dxa"/>
            <w:tcBorders/>
            <w:shd w:fill="CCEEFF" w:val="clear"/>
            <w:vAlign w:val="bottom"/>
          </w:tcPr>
          <w:p>
            <w:pPr>
              <w:pStyle w:val="TableContents"/>
              <w:spacing w:before="0" w:after="283"/>
              <w:jc w:val="right"/>
              <w:rPr/>
            </w:pPr>
            <w:r>
              <w:rPr/>
              <w:t>100.000000</w:t>
            </w:r>
          </w:p>
        </w:tc>
        <w:tc>
          <w:tcPr>
            <w:tcW w:w="247"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1Rounded to six decimal places </w:t>
      </w:r>
      <w:r>
        <w:br w:type="page"/>
      </w:r>
    </w:p>
    <w:p>
      <w:pPr>
        <w:pStyle w:val="Heading5"/>
        <w:jc w:val="left"/>
        <w:rPr/>
      </w:pPr>
      <w:bookmarkStart w:id="45" w:name="h43224exv10w45.htm"/>
      <w:bookmarkStart w:id="46" w:name="ksh43224exv10w45"/>
      <w:bookmarkEnd w:id="45"/>
      <w:bookmarkEnd w:id="46"/>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10.45</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PLAINS ALL AMERICAN</w:t>
        <w:br/>
        <w:t>PPX SUCCESSOR</w:t>
        <w:br/>
        <w:t xml:space="preserve">LONG-TERM INCENTIVE PLAN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1. </w:t>
      </w:r>
      <w:r>
        <w:rPr>
          <w:rFonts w:ascii="Times New Roman;Times;serif" w:hAnsi="Times New Roman;Times;serif"/>
          <w:i/>
          <w:sz w:val="17"/>
        </w:rPr>
        <w:t>Background.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November 15, 2006 (the merger date), Pacific Energy Partners, L.P. (Pacific) was merged with and into Plains All American Pipeline, L.P. (PAA). As of the merger date, Plains All American GP, LLC assumed the Amended and Restated Pacific Energy GP, LP Long-Term Incentive Plan (the Pacific Legacy Plan). On February 22, 2007, the Plains All American PPX Successor Long-Term Incentive Plan (this Successor Plan) was approved by the Board of Directors of Plains All American GP LLC. Capitalized terms used but not defined herein are defined in the Plains All American 2005 Long-Term Incentive Plan (the 2005 LTIP)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2. </w:t>
      </w:r>
      <w:r>
        <w:rPr>
          <w:rFonts w:ascii="Times New Roman;Times;serif" w:hAnsi="Times New Roman;Times;serif"/>
          <w:i/>
          <w:sz w:val="17"/>
        </w:rPr>
        <w:t>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total of 999,809 Units (representing the units previously available under the Pacific Legacy Plan, after conversion at 0.77 Units for each Pacific unit) may be issued under this Successor Plan.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3. </w:t>
      </w:r>
      <w:r>
        <w:rPr>
          <w:rFonts w:ascii="Times New Roman;Times;serif" w:hAnsi="Times New Roman;Times;serif"/>
          <w:i/>
          <w:sz w:val="17"/>
        </w:rPr>
        <w:t>Awards.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purposes of this Successor Plan, Award shall mean Options or Phantom Units (with or without tandem DERs) granted under the Successor Plan.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4. </w:t>
      </w:r>
      <w:r>
        <w:rPr>
          <w:rFonts w:ascii="Times New Roman;Times;serif" w:hAnsi="Times New Roman;Times;serif"/>
          <w:i/>
          <w:sz w:val="17"/>
        </w:rPr>
        <w:t>Eligibility.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Awards under this Successor Plan may only be made to (i) individuals employed by Pacific or its affiliates on the merger date or (ii) individuals hired by PAA or its affiliates at any time after the merger date.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5. </w:t>
      </w:r>
      <w:r>
        <w:rPr>
          <w:rFonts w:ascii="Times New Roman;Times;serif" w:hAnsi="Times New Roman;Times;serif"/>
          <w:i/>
          <w:sz w:val="17"/>
        </w:rPr>
        <w:t>2005 LTIP Governs.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Awards with respect to Units that may be issued under the Successor Plan will be governed by and administered pursuant to terms and conditions set forth in the 2005 LTIP, except as such terms and conditions may be modified by the limitations set forth in the Successor Plan.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Section 6. </w:t>
      </w:r>
      <w:r>
        <w:rPr>
          <w:rFonts w:ascii="Times New Roman;Times;serif" w:hAnsi="Times New Roman;Times;serif"/>
          <w:i/>
          <w:sz w:val="17"/>
        </w:rPr>
        <w:t>Term.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Successor Plan shall be effective on the date of its approval by the Board and shall continue until the date terminated by the Board or Units are no longer available for grants of Awards under this Successor Plan, whichever occurs first. However, unless otherwise expressly provided in this Successor Plan or in an applicable Award, any Award granted prior to such termination, and the authority of the Board or the Committee to amend, alter, adjust, suspend, discontinue, or terminate any such Award or to waive any conditions or rights under such Award, shall extend beyond such termination date. </w:t>
      </w:r>
      <w:r>
        <w:br w:type="page"/>
      </w:r>
    </w:p>
    <w:p>
      <w:pPr>
        <w:pStyle w:val="Heading5"/>
        <w:jc w:val="left"/>
        <w:rPr/>
      </w:pPr>
      <w:bookmarkStart w:id="47" w:name="h43224exv21w1.htm"/>
      <w:bookmarkStart w:id="48" w:name="ksh43224exv21w1"/>
      <w:bookmarkEnd w:id="47"/>
      <w:bookmarkEnd w:id="4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SUBSIDIARIES OF</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PLAINS ALL AMERICAN PIPELINE, L.P.</w:t>
      </w:r>
    </w:p>
    <w:p>
      <w:pPr>
        <w:pStyle w:val="TextBody"/>
        <w:spacing w:before="0" w:after="0"/>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i/>
          <w:sz w:val="17"/>
        </w:rPr>
        <w:t>As of December 31, 2006</w:t>
      </w:r>
      <w:r>
        <w:rPr>
          <w:rFonts w:ascii="Times New Roman;Times;serif" w:hAnsi="Times New Roman;Times;serif"/>
          <w:sz w:val="17"/>
        </w:rPr>
        <w:t>)</w:t>
      </w:r>
    </w:p>
    <w:tbl>
      <w:tblPr>
        <w:tblW w:w="5000" w:type="pct"/>
        <w:jc w:val="center"/>
        <w:tblInd w:w="0" w:type="dxa"/>
        <w:tblCellMar>
          <w:top w:w="0" w:type="dxa"/>
          <w:left w:w="0" w:type="dxa"/>
          <w:bottom w:w="0" w:type="dxa"/>
          <w:right w:w="0" w:type="dxa"/>
        </w:tblCellMar>
      </w:tblPr>
      <w:tblGrid>
        <w:gridCol w:w="6057"/>
        <w:gridCol w:w="373"/>
        <w:gridCol w:w="1405"/>
        <w:gridCol w:w="960"/>
        <w:gridCol w:w="1410"/>
      </w:tblGrid>
      <w:tr>
        <w:trPr/>
        <w:tc>
          <w:tcPr>
            <w:tcW w:w="605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40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410" w:type="dxa"/>
            <w:tcBorders/>
            <w:shd w:fill="auto" w:val="clear"/>
            <w:vAlign w:val="bottom"/>
          </w:tcPr>
          <w:p>
            <w:pPr>
              <w:pStyle w:val="TableContents"/>
              <w:spacing w:before="0" w:after="283"/>
              <w:rPr/>
            </w:pPr>
            <w:r>
              <w:rPr/>
              <w:t> </w:t>
            </w:r>
          </w:p>
        </w:tc>
      </w:tr>
      <w:tr>
        <w:trPr/>
        <w:tc>
          <w:tcPr>
            <w:tcW w:w="6057" w:type="dxa"/>
            <w:tcBorders>
              <w:bottom w:val="single" w:sz="2" w:space="0" w:color="000000"/>
            </w:tcBorders>
            <w:shd w:fill="auto" w:val="clear"/>
            <w:tcMar>
              <w:bottom w:w="28" w:type="dxa"/>
            </w:tcMar>
            <w:vAlign w:val="bottom"/>
          </w:tcPr>
          <w:p>
            <w:pPr>
              <w:pStyle w:val="TableContents"/>
              <w:spacing w:before="0" w:after="283"/>
              <w:jc w:val="center"/>
              <w:rPr>
                <w:b/>
              </w:rPr>
            </w:pPr>
            <w:r>
              <w:rPr>
                <w:b/>
              </w:rPr>
              <w:t>Subsidiary</w:t>
            </w:r>
          </w:p>
        </w:tc>
        <w:tc>
          <w:tcPr>
            <w:tcW w:w="373" w:type="dxa"/>
            <w:tcBorders/>
            <w:shd w:fill="auto" w:val="clear"/>
            <w:vAlign w:val="bottom"/>
          </w:tcPr>
          <w:p>
            <w:pPr>
              <w:pStyle w:val="TableContents"/>
              <w:spacing w:before="0" w:after="283"/>
              <w:rPr/>
            </w:pPr>
            <w:r>
              <w:rPr/>
              <w:t> </w:t>
            </w:r>
          </w:p>
        </w:tc>
        <w:tc>
          <w:tcPr>
            <w:tcW w:w="377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Jurisdiction of Organization</w:t>
            </w:r>
          </w:p>
        </w:tc>
      </w:tr>
      <w:tr>
        <w:trPr/>
        <w:tc>
          <w:tcPr>
            <w:tcW w:w="6057" w:type="dxa"/>
            <w:tcBorders/>
            <w:shd w:fill="CCEEFF" w:val="clear"/>
            <w:vAlign w:val="bottom"/>
          </w:tcPr>
          <w:p>
            <w:pPr>
              <w:pStyle w:val="TableContents"/>
              <w:spacing w:before="0" w:after="0"/>
              <w:ind w:left="225" w:right="0" w:hanging="225"/>
              <w:rPr/>
            </w:pPr>
            <w:r>
              <w:rPr/>
              <w:t>PAA Finance Corp.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Plains Marketing, L.P.</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Texas</w:t>
            </w:r>
          </w:p>
        </w:tc>
      </w:tr>
      <w:tr>
        <w:trPr/>
        <w:tc>
          <w:tcPr>
            <w:tcW w:w="6057" w:type="dxa"/>
            <w:tcBorders/>
            <w:shd w:fill="CCEEFF" w:val="clear"/>
            <w:vAlign w:val="bottom"/>
          </w:tcPr>
          <w:p>
            <w:pPr>
              <w:pStyle w:val="TableContents"/>
              <w:spacing w:before="0" w:after="0"/>
              <w:ind w:left="225" w:right="0" w:hanging="225"/>
              <w:rPr/>
            </w:pPr>
            <w:r>
              <w:rPr/>
              <w:t>Plains Pipeline,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Texas</w:t>
            </w:r>
          </w:p>
        </w:tc>
      </w:tr>
      <w:tr>
        <w:trPr/>
        <w:tc>
          <w:tcPr>
            <w:tcW w:w="6057" w:type="dxa"/>
            <w:tcBorders/>
            <w:shd w:fill="auto" w:val="clear"/>
            <w:vAlign w:val="bottom"/>
          </w:tcPr>
          <w:p>
            <w:pPr>
              <w:pStyle w:val="TableContents"/>
              <w:spacing w:before="0" w:after="0"/>
              <w:ind w:left="225" w:right="0" w:hanging="225"/>
              <w:rPr/>
            </w:pPr>
            <w:r>
              <w:rPr/>
              <w:t>Plains Marketing GP Inc.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Plains Marketing Canada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Plains Marketing Canada, L.P.</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Canada</w:t>
            </w:r>
          </w:p>
        </w:tc>
      </w:tr>
      <w:tr>
        <w:trPr/>
        <w:tc>
          <w:tcPr>
            <w:tcW w:w="6057" w:type="dxa"/>
            <w:tcBorders/>
            <w:shd w:fill="CCEEFF" w:val="clear"/>
            <w:vAlign w:val="bottom"/>
          </w:tcPr>
          <w:p>
            <w:pPr>
              <w:pStyle w:val="TableContents"/>
              <w:spacing w:before="0" w:after="0"/>
              <w:ind w:left="225" w:right="0" w:hanging="225"/>
              <w:rPr/>
            </w:pPr>
            <w:r>
              <w:rPr/>
              <w:t>PMC (Nova Scotia) Company</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Nova Scotia</w:t>
            </w:r>
          </w:p>
        </w:tc>
      </w:tr>
      <w:tr>
        <w:trPr/>
        <w:tc>
          <w:tcPr>
            <w:tcW w:w="6057" w:type="dxa"/>
            <w:tcBorders/>
            <w:shd w:fill="auto" w:val="clear"/>
            <w:vAlign w:val="bottom"/>
          </w:tcPr>
          <w:p>
            <w:pPr>
              <w:pStyle w:val="TableContents"/>
              <w:spacing w:before="0" w:after="0"/>
              <w:ind w:left="225" w:right="0" w:hanging="225"/>
              <w:rPr/>
            </w:pPr>
            <w:r>
              <w:rPr/>
              <w:t>Basin Holdings GP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Basin Pipeline Holdings,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Rancho Holdings GP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Rancho Pipeline Holdings,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Plains LPG Services GP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Plains LPG Services,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Atchafalaya Pipeline,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Plains LPG Marketing,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Texas</w:t>
            </w:r>
          </w:p>
        </w:tc>
      </w:tr>
      <w:tr>
        <w:trPr/>
        <w:tc>
          <w:tcPr>
            <w:tcW w:w="6057" w:type="dxa"/>
            <w:tcBorders/>
            <w:shd w:fill="auto" w:val="clear"/>
            <w:vAlign w:val="bottom"/>
          </w:tcPr>
          <w:p>
            <w:pPr>
              <w:pStyle w:val="TableContents"/>
              <w:spacing w:before="0" w:after="0"/>
              <w:ind w:left="225" w:right="0" w:hanging="225"/>
              <w:rPr/>
            </w:pPr>
            <w:r>
              <w:rPr/>
              <w:t>Plains Marketing International GP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Plains Marketing International, L.P.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Texas</w:t>
            </w:r>
          </w:p>
        </w:tc>
      </w:tr>
      <w:tr>
        <w:trPr/>
        <w:tc>
          <w:tcPr>
            <w:tcW w:w="6057" w:type="dxa"/>
            <w:tcBorders/>
            <w:shd w:fill="auto" w:val="clear"/>
            <w:vAlign w:val="bottom"/>
          </w:tcPr>
          <w:p>
            <w:pPr>
              <w:pStyle w:val="TableContents"/>
              <w:spacing w:before="0" w:after="0"/>
              <w:ind w:left="225" w:right="0" w:hanging="225"/>
              <w:rPr/>
            </w:pPr>
            <w:r>
              <w:rPr/>
              <w:t>Lone Star Trucking,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California</w:t>
            </w:r>
          </w:p>
        </w:tc>
      </w:tr>
      <w:tr>
        <w:trPr/>
        <w:tc>
          <w:tcPr>
            <w:tcW w:w="6057" w:type="dxa"/>
            <w:tcBorders/>
            <w:shd w:fill="CCEEFF" w:val="clear"/>
            <w:vAlign w:val="bottom"/>
          </w:tcPr>
          <w:p>
            <w:pPr>
              <w:pStyle w:val="TableContents"/>
              <w:spacing w:before="0" w:after="0"/>
              <w:ind w:left="225" w:right="0" w:hanging="225"/>
              <w:rPr/>
            </w:pPr>
            <w:r>
              <w:rPr/>
              <w:t>Andrews Partners,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California</w:t>
            </w:r>
          </w:p>
        </w:tc>
      </w:tr>
      <w:tr>
        <w:trPr/>
        <w:tc>
          <w:tcPr>
            <w:tcW w:w="6057" w:type="dxa"/>
            <w:tcBorders/>
            <w:shd w:fill="auto" w:val="clear"/>
            <w:vAlign w:val="bottom"/>
          </w:tcPr>
          <w:p>
            <w:pPr>
              <w:pStyle w:val="TableContents"/>
              <w:spacing w:before="0" w:after="0"/>
              <w:ind w:left="225" w:right="0" w:hanging="225"/>
              <w:rPr/>
            </w:pPr>
            <w:r>
              <w:rPr/>
              <w:t>Pacific Energy GP, LP</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Pacific Energy Management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Pacific Energy Finance Corporation</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Pacific Energy Group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Pacific Pipeline System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Pacific Terminals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Pacific LA Marine Terminal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Pacific Marketing and Transportation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Rocky Mountain Pipeline System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Pacific Atlantic Terminals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Ranch Pipeline LLC</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PEG Canada GP LLC</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Delaware</w:t>
            </w:r>
          </w:p>
        </w:tc>
      </w:tr>
      <w:tr>
        <w:trPr/>
        <w:tc>
          <w:tcPr>
            <w:tcW w:w="6057" w:type="dxa"/>
            <w:tcBorders/>
            <w:shd w:fill="auto" w:val="clear"/>
            <w:vAlign w:val="bottom"/>
          </w:tcPr>
          <w:p>
            <w:pPr>
              <w:pStyle w:val="TableContents"/>
              <w:spacing w:before="0" w:after="0"/>
              <w:ind w:left="225" w:right="0" w:hanging="225"/>
              <w:rPr/>
            </w:pPr>
            <w:r>
              <w:rPr/>
              <w:t>PEG Canada LP</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Delaware</w:t>
            </w:r>
          </w:p>
        </w:tc>
      </w:tr>
      <w:tr>
        <w:trPr/>
        <w:tc>
          <w:tcPr>
            <w:tcW w:w="6057" w:type="dxa"/>
            <w:tcBorders/>
            <w:shd w:fill="CCEEFF" w:val="clear"/>
            <w:vAlign w:val="bottom"/>
          </w:tcPr>
          <w:p>
            <w:pPr>
              <w:pStyle w:val="TableContents"/>
              <w:spacing w:before="0" w:after="0"/>
              <w:ind w:left="225" w:right="0" w:hanging="225"/>
              <w:rPr/>
            </w:pPr>
            <w:r>
              <w:rPr/>
              <w:t>Rangeland Marketing Company</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Nova Scotia</w:t>
            </w:r>
          </w:p>
        </w:tc>
      </w:tr>
      <w:tr>
        <w:trPr/>
        <w:tc>
          <w:tcPr>
            <w:tcW w:w="6057" w:type="dxa"/>
            <w:tcBorders/>
            <w:shd w:fill="auto" w:val="clear"/>
            <w:vAlign w:val="bottom"/>
          </w:tcPr>
          <w:p>
            <w:pPr>
              <w:pStyle w:val="TableContents"/>
              <w:spacing w:before="0" w:after="0"/>
              <w:ind w:left="225" w:right="0" w:hanging="225"/>
              <w:rPr/>
            </w:pPr>
            <w:r>
              <w:rPr/>
              <w:t>Rangeland Pipeline Company</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Nova Scotia</w:t>
            </w:r>
          </w:p>
        </w:tc>
      </w:tr>
      <w:tr>
        <w:trPr/>
        <w:tc>
          <w:tcPr>
            <w:tcW w:w="6057" w:type="dxa"/>
            <w:tcBorders/>
            <w:shd w:fill="CCEEFF" w:val="clear"/>
            <w:vAlign w:val="bottom"/>
          </w:tcPr>
          <w:p>
            <w:pPr>
              <w:pStyle w:val="TableContents"/>
              <w:spacing w:before="0" w:after="0"/>
              <w:ind w:left="225" w:right="0" w:hanging="225"/>
              <w:rPr/>
            </w:pPr>
            <w:r>
              <w:rPr/>
              <w:t>Aurora Pipeline Company, Ltd.</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Canada</w:t>
            </w:r>
          </w:p>
        </w:tc>
      </w:tr>
      <w:tr>
        <w:trPr/>
        <w:tc>
          <w:tcPr>
            <w:tcW w:w="6057" w:type="dxa"/>
            <w:tcBorders/>
            <w:shd w:fill="auto" w:val="clear"/>
            <w:vAlign w:val="bottom"/>
          </w:tcPr>
          <w:p>
            <w:pPr>
              <w:pStyle w:val="TableContents"/>
              <w:spacing w:before="0" w:after="0"/>
              <w:ind w:left="225" w:right="0" w:hanging="225"/>
              <w:rPr/>
            </w:pPr>
            <w:r>
              <w:rPr/>
              <w:t>Rangeland Northern Pipeline Company</w:t>
            </w:r>
          </w:p>
        </w:tc>
        <w:tc>
          <w:tcPr>
            <w:tcW w:w="373" w:type="dxa"/>
            <w:tcBorders/>
            <w:shd w:fill="auto" w:val="clear"/>
            <w:vAlign w:val="bottom"/>
          </w:tcPr>
          <w:p>
            <w:pPr>
              <w:pStyle w:val="TableContents"/>
              <w:spacing w:before="0" w:after="283"/>
              <w:rPr/>
            </w:pPr>
            <w:r>
              <w:rPr/>
              <w:t> </w:t>
            </w:r>
          </w:p>
        </w:tc>
        <w:tc>
          <w:tcPr>
            <w:tcW w:w="3775" w:type="dxa"/>
            <w:gridSpan w:val="3"/>
            <w:tcBorders/>
            <w:shd w:fill="auto" w:val="clear"/>
            <w:vAlign w:val="bottom"/>
          </w:tcPr>
          <w:p>
            <w:pPr>
              <w:pStyle w:val="TableContents"/>
              <w:spacing w:before="0" w:after="283"/>
              <w:jc w:val="center"/>
              <w:rPr/>
            </w:pPr>
            <w:r>
              <w:rPr/>
              <w:t>Nova Scotia</w:t>
            </w:r>
          </w:p>
        </w:tc>
      </w:tr>
      <w:tr>
        <w:trPr/>
        <w:tc>
          <w:tcPr>
            <w:tcW w:w="6057" w:type="dxa"/>
            <w:tcBorders/>
            <w:shd w:fill="CCEEFF" w:val="clear"/>
            <w:vAlign w:val="bottom"/>
          </w:tcPr>
          <w:p>
            <w:pPr>
              <w:pStyle w:val="TableContents"/>
              <w:spacing w:before="0" w:after="0"/>
              <w:ind w:left="225" w:right="0" w:hanging="225"/>
              <w:rPr/>
            </w:pPr>
            <w:r>
              <w:rPr/>
              <w:t>Rangeland Pipeline Partnership</w:t>
            </w:r>
          </w:p>
        </w:tc>
        <w:tc>
          <w:tcPr>
            <w:tcW w:w="373" w:type="dxa"/>
            <w:tcBorders/>
            <w:shd w:fill="CCEEFF" w:val="clear"/>
            <w:vAlign w:val="bottom"/>
          </w:tcPr>
          <w:p>
            <w:pPr>
              <w:pStyle w:val="TableContents"/>
              <w:spacing w:before="0" w:after="283"/>
              <w:rPr/>
            </w:pPr>
            <w:r>
              <w:rPr/>
              <w:t> </w:t>
            </w:r>
          </w:p>
        </w:tc>
        <w:tc>
          <w:tcPr>
            <w:tcW w:w="3775" w:type="dxa"/>
            <w:gridSpan w:val="3"/>
            <w:tcBorders/>
            <w:shd w:fill="CCEEFF" w:val="clear"/>
            <w:vAlign w:val="bottom"/>
          </w:tcPr>
          <w:p>
            <w:pPr>
              <w:pStyle w:val="TableContents"/>
              <w:spacing w:before="0" w:after="283"/>
              <w:jc w:val="center"/>
              <w:rPr/>
            </w:pPr>
            <w:r>
              <w:rPr/>
              <w:t>Alberta</w:t>
            </w:r>
          </w:p>
        </w:tc>
      </w:tr>
    </w:tbl>
    <w:p>
      <w:pPr>
        <w:pStyle w:val="Heading5"/>
        <w:jc w:val="left"/>
        <w:rPr/>
      </w:pPr>
      <w:r>
        <w:br w:type="page"/>
      </w:r>
      <w:bookmarkStart w:id="49" w:name="h43224exv23w1.htm"/>
      <w:bookmarkStart w:id="50" w:name="ksh43224exv23w1"/>
      <w:bookmarkEnd w:id="49"/>
      <w:bookmarkEnd w:id="5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the Registration Statements on Form S-3 (No. 333-126447 and 333-138888) and on Form S-8 (No. 333-91141, 333-54118, 333-74920 and 333-122806) of Plains All American Pipeline, L.P. of our report dated March 1, 2007 relating to the consolidated financial statements, managements assessment of the effectiveness of internal control over financial reporting and the effectiveness of internal control over financial reporting, which appears in this Form 10-K.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PricewaterhouseCoopers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Houston, Texas</w:t>
        <w:br/>
        <w:t xml:space="preserve">March 1, 2007 </w:t>
      </w:r>
    </w:p>
    <w:p>
      <w:pPr>
        <w:pStyle w:val="TextBody"/>
        <w:jc w:val="center"/>
        <w:rPr/>
      </w:pPr>
      <w:r>
        <w:rPr/>
        <w:t xml:space="preserve">  </w:t>
      </w:r>
      <w:r>
        <w:br w:type="page"/>
      </w:r>
    </w:p>
    <w:p>
      <w:pPr>
        <w:pStyle w:val="Heading5"/>
        <w:jc w:val="left"/>
        <w:rPr/>
      </w:pPr>
      <w:bookmarkStart w:id="51" w:name="h43224exv31w1.htm"/>
      <w:bookmarkStart w:id="52" w:name="ksh43224exv31w1"/>
      <w:bookmarkEnd w:id="51"/>
      <w:bookmarkEnd w:id="5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EXECUTIVE OFFICER</w:t>
        <w:br/>
        <w:t>PLAINS ALL AMERICAN PIPELINE, L.P.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Greg L. Armstrong, certify that: </w:t>
      </w:r>
    </w:p>
    <w:p>
      <w:pPr>
        <w:pStyle w:val="TextBody"/>
        <w:spacing w:before="120" w:after="283"/>
        <w:jc w:val="left"/>
        <w:rPr/>
      </w:pPr>
      <w:r>
        <w:rPr/>
        <w:t>     </w:t>
      </w:r>
      <w:r>
        <w:rPr>
          <w:rFonts w:ascii="Times New Roman;Times;serif" w:hAnsi="Times New Roman;Times;serif"/>
          <w:sz w:val="17"/>
        </w:rPr>
        <w:t xml:space="preserve">1. I have reviewed this annual report on Form 10-K of Plains All American Pipeline, L.P.; </w:t>
      </w:r>
    </w:p>
    <w:p>
      <w:pPr>
        <w:pStyle w:val="TextBody"/>
        <w:spacing w:before="120" w:after="283"/>
        <w:jc w:val="left"/>
        <w:rPr/>
      </w:pPr>
      <w:r>
        <w:rPr/>
        <w:t>     </w:t>
      </w:r>
      <w:r>
        <w:rPr>
          <w:rFonts w:ascii="Times New Roman;Times;serif" w:hAnsi="Times New Roman;Times;serif"/>
          <w:sz w:val="17"/>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283"/>
        <w:jc w:val="left"/>
        <w:rPr/>
      </w:pPr>
      <w:r>
        <w:rPr/>
        <w:t>     </w:t>
      </w:r>
      <w:r>
        <w:rPr>
          <w:rFonts w:ascii="Times New Roman;Times;serif" w:hAnsi="Times New Roman;Times;serif"/>
          <w:sz w:val="17"/>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283"/>
        <w:jc w:val="left"/>
        <w:rPr/>
      </w:pPr>
      <w:r>
        <w:rPr/>
        <w:t>     </w:t>
      </w:r>
      <w:r>
        <w:rPr>
          <w:rFonts w:ascii="Times New Roman;Times;serif" w:hAnsi="Times New Roman;Times;serif"/>
          <w:sz w:val="17"/>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283"/>
        <w:jc w:val="left"/>
        <w:rPr/>
      </w:pPr>
      <w:r>
        <w:rPr/>
        <w:t>     </w:t>
      </w:r>
      <w:r>
        <w:rPr>
          <w:rFonts w:ascii="Times New Roman;Times;serif" w:hAnsi="Times New Roman;Times;serif"/>
          <w:sz w:val="17"/>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283"/>
        <w:jc w:val="left"/>
        <w:rPr/>
      </w:pPr>
      <w:r>
        <w:rPr/>
        <w:t>     </w:t>
      </w:r>
      <w:r>
        <w:rPr>
          <w:rFonts w:ascii="Times New Roman;Times;serif" w:hAnsi="Times New Roman;Times;serif"/>
          <w:sz w:val="17"/>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283"/>
        <w:jc w:val="left"/>
        <w:rPr/>
      </w:pPr>
      <w:r>
        <w:rPr/>
        <w:t>     </w:t>
      </w:r>
      <w:r>
        <w:rPr>
          <w:rFonts w:ascii="Times New Roman;Times;serif" w:hAnsi="Times New Roman;Times;serif"/>
          <w:sz w:val="17"/>
        </w:rPr>
        <w:t xml:space="preserve">(c) Evaluated the effectiveness of the registrants disclosure controls and procedures and presented in this report our conclusions about the effectiveness of the disclosure controls and procedures, as of the end the period covered by this report based on such evaluation; and </w:t>
      </w:r>
    </w:p>
    <w:p>
      <w:pPr>
        <w:pStyle w:val="TextBody"/>
        <w:spacing w:before="120" w:after="283"/>
        <w:jc w:val="left"/>
        <w:rPr/>
      </w:pPr>
      <w:r>
        <w:rPr/>
        <w:t>     </w:t>
      </w:r>
      <w:r>
        <w:rPr>
          <w:rFonts w:ascii="Times New Roman;Times;serif" w:hAnsi="Times New Roman;Times;serif"/>
          <w:sz w:val="17"/>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283"/>
        <w:jc w:val="left"/>
        <w:rPr/>
      </w:pPr>
      <w:r>
        <w:rPr/>
        <w:t>     </w:t>
      </w:r>
      <w:r>
        <w:rPr>
          <w:rFonts w:ascii="Times New Roman;Times;serif" w:hAnsi="Times New Roman;Times;serif"/>
          <w:sz w:val="17"/>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283"/>
        <w:jc w:val="left"/>
        <w:rPr/>
      </w:pPr>
      <w:r>
        <w:rPr/>
        <w:t>     </w:t>
      </w:r>
      <w:r>
        <w:rPr>
          <w:rFonts w:ascii="Times New Roman;Times;serif" w:hAnsi="Times New Roman;Times;serif"/>
          <w:sz w:val="17"/>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283"/>
        <w:jc w:val="left"/>
        <w:rPr/>
      </w:pPr>
      <w:r>
        <w:rPr/>
        <w:t>     </w:t>
      </w:r>
      <w:r>
        <w:rPr>
          <w:rFonts w:ascii="Times New Roman;Times;serif" w:hAnsi="Times New Roman;Times;serif"/>
          <w:sz w:val="17"/>
        </w:rPr>
        <w:t xml:space="preserve">(b) Any fraud, whether or not material, that involves management or other employees who have a significant role in the registrants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March 1, 2007 </w:t>
      </w:r>
    </w:p>
    <w:p>
      <w:pPr>
        <w:pStyle w:val="TextBody"/>
        <w:spacing w:before="520" w:after="283"/>
        <w:jc w:val="left"/>
        <w:rPr>
          <w:rFonts w:ascii="Times New Roman;Times;serif" w:hAnsi="Times New Roman;Times;serif"/>
          <w:sz w:val="17"/>
        </w:rPr>
      </w:pPr>
      <w:r>
        <w:rPr>
          <w:rFonts w:ascii="Times New Roman;Times;serif" w:hAnsi="Times New Roman;Times;serif"/>
          <w:sz w:val="17"/>
        </w:rPr>
        <w:t>/s/ Greg. L. Armstrong</w:t>
        <w:br/>
        <w:t>Greg L. Armstrong</w:t>
        <w:br/>
        <w:t xml:space="preserve">Chief Executive Officer </w:t>
      </w:r>
    </w:p>
    <w:p>
      <w:pPr>
        <w:pStyle w:val="TextBody"/>
        <w:jc w:val="center"/>
        <w:rPr/>
      </w:pPr>
      <w:r>
        <w:rPr/>
        <w:t xml:space="preserve">  </w:t>
      </w:r>
      <w:r>
        <w:br w:type="page"/>
      </w:r>
    </w:p>
    <w:p>
      <w:pPr>
        <w:pStyle w:val="Heading5"/>
        <w:jc w:val="left"/>
        <w:rPr/>
      </w:pPr>
      <w:bookmarkStart w:id="53" w:name="h43224exv31w2.htm"/>
      <w:bookmarkStart w:id="54" w:name="ksh43224exv31w2"/>
      <w:bookmarkEnd w:id="53"/>
      <w:bookmarkEnd w:id="54"/>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FINANCIAL OFFICER</w:t>
        <w:br/>
        <w:t>PLAINS ALL AMERICAN PIPELINE, L.P.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Phil Kramer, certify that: </w:t>
      </w:r>
    </w:p>
    <w:p>
      <w:pPr>
        <w:pStyle w:val="TextBody"/>
        <w:spacing w:before="120" w:after="283"/>
        <w:jc w:val="left"/>
        <w:rPr/>
      </w:pPr>
      <w:r>
        <w:rPr/>
        <w:t>     </w:t>
      </w:r>
      <w:r>
        <w:rPr>
          <w:rFonts w:ascii="Times New Roman;Times;serif" w:hAnsi="Times New Roman;Times;serif"/>
          <w:sz w:val="17"/>
        </w:rPr>
        <w:t xml:space="preserve">1. I have reviewed this annual report on Form 10-K of Plains All American Pipeline, L.P.; </w:t>
      </w:r>
    </w:p>
    <w:p>
      <w:pPr>
        <w:pStyle w:val="TextBody"/>
        <w:spacing w:before="120" w:after="283"/>
        <w:jc w:val="left"/>
        <w:rPr/>
      </w:pPr>
      <w:r>
        <w:rPr/>
        <w:t>     </w:t>
      </w:r>
      <w:r>
        <w:rPr>
          <w:rFonts w:ascii="Times New Roman;Times;serif" w:hAnsi="Times New Roman;Times;serif"/>
          <w:sz w:val="17"/>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283"/>
        <w:jc w:val="left"/>
        <w:rPr/>
      </w:pPr>
      <w:r>
        <w:rPr/>
        <w:t>     </w:t>
      </w:r>
      <w:r>
        <w:rPr>
          <w:rFonts w:ascii="Times New Roman;Times;serif" w:hAnsi="Times New Roman;Times;serif"/>
          <w:sz w:val="17"/>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283"/>
        <w:jc w:val="left"/>
        <w:rPr/>
      </w:pPr>
      <w:r>
        <w:rPr/>
        <w:t>     </w:t>
      </w:r>
      <w:r>
        <w:rPr>
          <w:rFonts w:ascii="Times New Roman;Times;serif" w:hAnsi="Times New Roman;Times;serif"/>
          <w:sz w:val="17"/>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283"/>
        <w:jc w:val="left"/>
        <w:rPr/>
      </w:pPr>
      <w:r>
        <w:rPr/>
        <w:t>     </w:t>
      </w:r>
      <w:r>
        <w:rPr>
          <w:rFonts w:ascii="Times New Roman;Times;serif" w:hAnsi="Times New Roman;Times;serif"/>
          <w:sz w:val="17"/>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283"/>
        <w:jc w:val="left"/>
        <w:rPr/>
      </w:pPr>
      <w:r>
        <w:rPr/>
        <w:t>     </w:t>
      </w:r>
      <w:r>
        <w:rPr>
          <w:rFonts w:ascii="Times New Roman;Times;serif" w:hAnsi="Times New Roman;Times;serif"/>
          <w:sz w:val="17"/>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283"/>
        <w:jc w:val="left"/>
        <w:rPr/>
      </w:pPr>
      <w:r>
        <w:rPr/>
        <w:t>     </w:t>
      </w:r>
      <w:r>
        <w:rPr>
          <w:rFonts w:ascii="Times New Roman;Times;serif" w:hAnsi="Times New Roman;Times;serif"/>
          <w:sz w:val="17"/>
        </w:rPr>
        <w:t xml:space="preserve">(c) Evaluated the effectiveness of the registrants disclosure controls and procedures and presented in this report our conclusions about the effectiveness of the disclosure controls and procedures, as of the end the period covered by this report based on such evaluation; and </w:t>
      </w:r>
    </w:p>
    <w:p>
      <w:pPr>
        <w:pStyle w:val="TextBody"/>
        <w:spacing w:before="120" w:after="283"/>
        <w:jc w:val="left"/>
        <w:rPr/>
      </w:pPr>
      <w:r>
        <w:rPr/>
        <w:t>     </w:t>
      </w:r>
      <w:r>
        <w:rPr>
          <w:rFonts w:ascii="Times New Roman;Times;serif" w:hAnsi="Times New Roman;Times;serif"/>
          <w:sz w:val="17"/>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283"/>
        <w:jc w:val="left"/>
        <w:rPr/>
      </w:pPr>
      <w:r>
        <w:rPr/>
        <w:t>     </w:t>
      </w:r>
      <w:r>
        <w:rPr>
          <w:rFonts w:ascii="Times New Roman;Times;serif" w:hAnsi="Times New Roman;Times;serif"/>
          <w:sz w:val="17"/>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283"/>
        <w:jc w:val="left"/>
        <w:rPr/>
      </w:pPr>
      <w:r>
        <w:rPr/>
        <w:t>     </w:t>
      </w:r>
      <w:r>
        <w:rPr>
          <w:rFonts w:ascii="Times New Roman;Times;serif" w:hAnsi="Times New Roman;Times;serif"/>
          <w:sz w:val="17"/>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283"/>
        <w:jc w:val="left"/>
        <w:rPr/>
      </w:pPr>
      <w:r>
        <w:rPr/>
        <w:t>     </w:t>
      </w:r>
      <w:r>
        <w:rPr>
          <w:rFonts w:ascii="Times New Roman;Times;serif" w:hAnsi="Times New Roman;Times;serif"/>
          <w:sz w:val="17"/>
        </w:rPr>
        <w:t xml:space="preserve">(b) Any fraud, whether or not material, that involves management or other employees who have a significant role in the registrants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March 1, 2007 </w:t>
      </w:r>
    </w:p>
    <w:p>
      <w:pPr>
        <w:pStyle w:val="TextBody"/>
        <w:spacing w:before="720" w:after="283"/>
        <w:jc w:val="left"/>
        <w:rPr>
          <w:rFonts w:ascii="Times New Roman;Times;serif" w:hAnsi="Times New Roman;Times;serif"/>
          <w:sz w:val="17"/>
        </w:rPr>
      </w:pPr>
      <w:r>
        <w:rPr>
          <w:rFonts w:ascii="Times New Roman;Times;serif" w:hAnsi="Times New Roman;Times;serif"/>
          <w:sz w:val="17"/>
        </w:rPr>
        <w:t>/s/ Phil Kramer</w:t>
        <w:br/>
        <w:t>Phil Kramer</w:t>
        <w:br/>
        <w:t xml:space="preserve">Chief Financial Officer </w:t>
      </w:r>
    </w:p>
    <w:p>
      <w:pPr>
        <w:pStyle w:val="TextBody"/>
        <w:jc w:val="center"/>
        <w:rPr/>
      </w:pPr>
      <w:r>
        <w:rPr/>
        <w:t xml:space="preserve">  </w:t>
      </w:r>
      <w:r>
        <w:br w:type="page"/>
      </w:r>
    </w:p>
    <w:p>
      <w:pPr>
        <w:pStyle w:val="Heading5"/>
        <w:jc w:val="left"/>
        <w:rPr/>
      </w:pPr>
      <w:bookmarkStart w:id="55" w:name="h43224exv32w1.htm"/>
      <w:bookmarkStart w:id="56" w:name="ksh43224exv32w1"/>
      <w:bookmarkEnd w:id="55"/>
      <w:bookmarkEnd w:id="56"/>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CHIEF EXECUTIVE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Chief Executive Officer of Plains All American Pipeline, L.P. (the Company), hereby certify that: </w:t>
      </w:r>
    </w:p>
    <w:p>
      <w:pPr>
        <w:pStyle w:val="TextBody"/>
        <w:spacing w:before="120" w:after="283"/>
        <w:jc w:val="left"/>
        <w:rPr/>
      </w:pPr>
      <w:r>
        <w:rPr/>
        <w:t>     </w:t>
      </w:r>
      <w:r>
        <w:rPr>
          <w:rFonts w:ascii="Times New Roman;Times;serif" w:hAnsi="Times New Roman;Times;serif"/>
          <w:sz w:val="17"/>
        </w:rPr>
        <w:t xml:space="preserve">(i) the accompanying report on Form 10-K for the period ended December 31, 2006 and filed with the Securities and Exchange Commission on the date hereof (the Report) by the Company fully complies with the requirements of Section 13(a) or 15(d) of the Securities Exchange Act of 1934 (15 U.S.C. 78m(a) or 78o(d)); and </w:t>
      </w:r>
    </w:p>
    <w:p>
      <w:pPr>
        <w:pStyle w:val="TextBody"/>
        <w:spacing w:before="120" w:after="283"/>
        <w:jc w:val="left"/>
        <w:rPr/>
      </w:pPr>
      <w:r>
        <w:rPr/>
        <w:t>     </w:t>
      </w:r>
      <w:r>
        <w:rPr>
          <w:rFonts w:ascii="Times New Roman;Times;serif" w:hAnsi="Times New Roman;Times;serif"/>
          <w:sz w:val="17"/>
        </w:rPr>
        <w:t xml:space="preserve">(ii) the information contained in the Report fairly presents, in all material respects, the financial condition and results of operations of the Company. </w:t>
      </w:r>
    </w:p>
    <w:p>
      <w:pPr>
        <w:pStyle w:val="TextBody"/>
        <w:spacing w:before="720" w:after="283"/>
        <w:jc w:val="left"/>
        <w:rPr>
          <w:rFonts w:ascii="Times New Roman;Times;serif" w:hAnsi="Times New Roman;Times;serif"/>
          <w:sz w:val="17"/>
        </w:rPr>
      </w:pPr>
      <w:r>
        <w:rPr>
          <w:rFonts w:ascii="Times New Roman;Times;serif" w:hAnsi="Times New Roman;Times;serif"/>
          <w:sz w:val="17"/>
        </w:rPr>
        <w:t>/s/ Greg L. Armstrong</w:t>
        <w:br/>
        <w:t>Name: Greg L. Armstrong</w:t>
        <w:br/>
        <w:t xml:space="preserve">Date: March 1, 2007 </w:t>
      </w:r>
    </w:p>
    <w:p>
      <w:pPr>
        <w:pStyle w:val="TextBody"/>
        <w:jc w:val="center"/>
        <w:rPr/>
      </w:pPr>
      <w:r>
        <w:rPr/>
        <w:t xml:space="preserve">  </w:t>
      </w:r>
      <w:r>
        <w:br w:type="page"/>
      </w:r>
    </w:p>
    <w:p>
      <w:pPr>
        <w:pStyle w:val="Heading5"/>
        <w:jc w:val="left"/>
        <w:rPr/>
      </w:pPr>
      <w:bookmarkStart w:id="57" w:name="h43224exv32w2.htm"/>
      <w:bookmarkStart w:id="58" w:name="ksh43224exv32w2"/>
      <w:bookmarkEnd w:id="57"/>
      <w:bookmarkEnd w:id="5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CHIEF FINANCIAL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Chief Financial Officer of Plains All American Pipeline, L.P. (the Company), hereby certify that: </w:t>
      </w:r>
    </w:p>
    <w:p>
      <w:pPr>
        <w:pStyle w:val="TextBody"/>
        <w:spacing w:before="120" w:after="283"/>
        <w:jc w:val="left"/>
        <w:rPr/>
      </w:pPr>
      <w:r>
        <w:rPr/>
        <w:t>     </w:t>
      </w:r>
      <w:r>
        <w:rPr>
          <w:rFonts w:ascii="Times New Roman;Times;serif" w:hAnsi="Times New Roman;Times;serif"/>
          <w:sz w:val="17"/>
        </w:rPr>
        <w:t xml:space="preserve">(i) the accompanying report on Form 10-K for the period ended December 31, 2006 and filed with the Securities and Exchange Commission on the date hereof (the Report) by the Company fully complies with the requirements of Section 13(a) or 15(d) of the Securities Exchange Act of 1934 (15 U.S.C. 78m(a) or 78o(d)); and </w:t>
      </w:r>
    </w:p>
    <w:p>
      <w:pPr>
        <w:pStyle w:val="TextBody"/>
        <w:spacing w:before="120" w:after="283"/>
        <w:jc w:val="left"/>
        <w:rPr/>
      </w:pPr>
      <w:r>
        <w:rPr/>
        <w:t>     </w:t>
      </w:r>
      <w:r>
        <w:rPr>
          <w:rFonts w:ascii="Times New Roman;Times;serif" w:hAnsi="Times New Roman;Times;serif"/>
          <w:sz w:val="17"/>
        </w:rPr>
        <w:t xml:space="preserve">(ii) the information contained in the Report fairly presents, in all material respects, the financial condition and results of operations of the Company. </w:t>
      </w:r>
    </w:p>
    <w:p>
      <w:pPr>
        <w:pStyle w:val="TextBody"/>
        <w:spacing w:before="720" w:after="283"/>
        <w:jc w:val="left"/>
        <w:rPr>
          <w:rFonts w:ascii="Times New Roman;Times;serif" w:hAnsi="Times New Roman;Times;serif"/>
          <w:sz w:val="17"/>
        </w:rPr>
      </w:pPr>
      <w:r>
        <w:rPr>
          <w:rFonts w:ascii="Times New Roman;Times;serif" w:hAnsi="Times New Roman;Times;serif"/>
          <w:sz w:val="17"/>
        </w:rPr>
        <w:t>/s/ Phil Kramer</w:t>
        <w:br/>
        <w:t>Name: Phil Kramer</w:t>
        <w:br/>
        <w:t xml:space="preserve">Date: March 1, 2007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243</Pages>
  <Words>133847</Words>
  <CharactersWithSpaces>881959</CharactersWithSpaces>
  <Paragraphs>31012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