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December 13, 2019</w:t>
      </w:r>
    </w:p>
    <w:p>
      <w:pPr>
        <w:spacing w:after="0" w:line="225"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S-3</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PLAINS GP HOLDINGS, L.P.</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90-1005472</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Richard McGee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Copies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David P. Oelman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Alan Beck</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1001 Fannin Street, Suite 2500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758-2222</w:t>
      </w:r>
    </w:p>
    <w:p>
      <w:pPr>
        <w:spacing w:after="0" w:line="213"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231" w:lineRule="exact"/>
        <w:rPr>
          <w:sz w:val="24"/>
          <w:szCs w:val="24"/>
          <w:color w:val="auto"/>
        </w:rPr>
      </w:pPr>
    </w:p>
    <w:p>
      <w:pPr>
        <w:ind w:right="560" w:firstLine="439"/>
        <w:spacing w:after="0" w:line="268"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o</w:t>
      </w:r>
    </w:p>
    <w:p>
      <w:pPr>
        <w:spacing w:after="0" w:line="186" w:lineRule="exact"/>
        <w:rPr>
          <w:sz w:val="24"/>
          <w:szCs w:val="24"/>
          <w:color w:val="auto"/>
        </w:rPr>
      </w:pPr>
    </w:p>
    <w:p>
      <w:pPr>
        <w:ind w:right="260" w:firstLine="439"/>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90" w:lineRule="exact"/>
        <w:rPr>
          <w:sz w:val="24"/>
          <w:szCs w:val="24"/>
          <w:color w:val="auto"/>
        </w:rPr>
      </w:pPr>
    </w:p>
    <w:p>
      <w:pPr>
        <w:ind w:firstLine="439"/>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480" w:firstLine="439"/>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220" w:firstLine="439"/>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900" w:orient="portrait"/>
          <w:cols w:equalWidth="0" w:num="1">
            <w:col w:w="11360"/>
          </w:cols>
          <w:pgMar w:left="240" w:top="685" w:right="299" w:bottom="0" w:gutter="0" w:footer="0" w:header="0"/>
        </w:sectPr>
      </w:pPr>
    </w:p>
    <w:bookmarkStart w:id="1" w:name="page2"/>
    <w:bookmarkEnd w:id="1"/>
    <w:p>
      <w:pPr>
        <w:ind w:right="440" w:firstLine="439"/>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86"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5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720" w:type="dxa"/>
            <w:vAlign w:val="bottom"/>
          </w:tcPr>
          <w:p>
            <w:pPr>
              <w:ind w:left="760"/>
              <w:spacing w:after="0"/>
              <w:rPr>
                <w:sz w:val="20"/>
                <w:szCs w:val="20"/>
                <w:color w:val="auto"/>
              </w:rPr>
            </w:pPr>
            <w:r>
              <w:rPr>
                <w:rFonts w:ascii="Arial" w:cs="Arial" w:eastAsia="Arial" w:hAnsi="Arial"/>
                <w:sz w:val="18"/>
                <w:szCs w:val="18"/>
                <w:color w:val="auto"/>
              </w:rPr>
              <w:t>Accelerated filer o</w:t>
            </w:r>
          </w:p>
        </w:tc>
        <w:tc>
          <w:tcPr>
            <w:tcW w:w="2620" w:type="dxa"/>
            <w:vAlign w:val="bottom"/>
          </w:tcPr>
          <w:p>
            <w:pPr>
              <w:ind w:left="640"/>
              <w:spacing w:after="0"/>
              <w:rPr>
                <w:sz w:val="20"/>
                <w:szCs w:val="20"/>
                <w:color w:val="auto"/>
              </w:rPr>
            </w:pPr>
            <w:r>
              <w:rPr>
                <w:rFonts w:ascii="Arial" w:cs="Arial" w:eastAsia="Arial" w:hAnsi="Arial"/>
                <w:sz w:val="14"/>
                <w:szCs w:val="14"/>
                <w:color w:val="auto"/>
              </w:rPr>
              <w:t>Non-accelerated filer o</w:t>
            </w:r>
          </w:p>
        </w:tc>
        <w:tc>
          <w:tcPr>
            <w:tcW w:w="2760" w:type="dxa"/>
            <w:vAlign w:val="bottom"/>
          </w:tcPr>
          <w:p>
            <w:pPr>
              <w:jc w:val="center"/>
              <w:ind w:left="662"/>
              <w:spacing w:after="0"/>
              <w:rPr>
                <w:sz w:val="20"/>
                <w:szCs w:val="20"/>
                <w:color w:val="auto"/>
              </w:rPr>
            </w:pPr>
            <w:r>
              <w:rPr>
                <w:rFonts w:ascii="Arial" w:cs="Arial" w:eastAsia="Arial" w:hAnsi="Arial"/>
                <w:sz w:val="14"/>
                <w:szCs w:val="14"/>
                <w:color w:val="auto"/>
                <w:w w:val="88"/>
              </w:rPr>
              <w:t>Smaller reporting company o</w:t>
            </w:r>
          </w:p>
        </w:tc>
      </w:tr>
      <w:tr>
        <w:trPr>
          <w:trHeight w:val="222"/>
        </w:trPr>
        <w:tc>
          <w:tcPr>
            <w:tcW w:w="25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760" w:type="dxa"/>
            <w:vAlign w:val="bottom"/>
          </w:tcPr>
          <w:p>
            <w:pPr>
              <w:jc w:val="center"/>
              <w:ind w:left="642"/>
              <w:spacing w:after="0"/>
              <w:rPr>
                <w:sz w:val="20"/>
                <w:szCs w:val="20"/>
                <w:color w:val="auto"/>
              </w:rPr>
            </w:pPr>
            <w:r>
              <w:rPr>
                <w:rFonts w:ascii="Arial" w:cs="Arial" w:eastAsia="Arial" w:hAnsi="Arial"/>
                <w:sz w:val="18"/>
                <w:szCs w:val="18"/>
                <w:color w:val="auto"/>
                <w:w w:val="89"/>
              </w:rPr>
              <w:t>Emerging growth company o</w:t>
            </w:r>
          </w:p>
        </w:tc>
      </w:tr>
    </w:tbl>
    <w:p>
      <w:pPr>
        <w:spacing w:after="0" w:line="188"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80" w:type="dxa"/>
            <w:vAlign w:val="bottom"/>
            <w:tcBorders>
              <w:top w:val="single" w:sz="8" w:color="auto"/>
              <w:bottom w:val="single" w:sz="8" w:color="auto"/>
            </w:tcBorders>
          </w:tcPr>
          <w:p>
            <w:pPr>
              <w:spacing w:after="0"/>
              <w:rPr>
                <w:sz w:val="3"/>
                <w:szCs w:val="3"/>
                <w:color w:val="auto"/>
              </w:rPr>
            </w:pPr>
          </w:p>
        </w:tc>
        <w:tc>
          <w:tcPr>
            <w:tcW w:w="4940" w:type="dxa"/>
            <w:vAlign w:val="bottom"/>
            <w:tcBorders>
              <w:top w:val="single" w:sz="8" w:color="auto"/>
              <w:bottom w:val="single" w:sz="8" w:color="auto"/>
            </w:tcBorders>
          </w:tcPr>
          <w:p>
            <w:pPr>
              <w:spacing w:after="0"/>
              <w:rPr>
                <w:sz w:val="3"/>
                <w:szCs w:val="3"/>
                <w:color w:val="auto"/>
              </w:rPr>
            </w:pPr>
          </w:p>
        </w:tc>
        <w:tc>
          <w:tcPr>
            <w:tcW w:w="21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940" w:type="dxa"/>
            <w:vAlign w:val="bottom"/>
          </w:tcPr>
          <w:p>
            <w:pPr>
              <w:jc w:val="center"/>
              <w:ind w:left="48"/>
              <w:spacing w:after="0" w:line="117" w:lineRule="exact"/>
              <w:rPr>
                <w:sz w:val="20"/>
                <w:szCs w:val="20"/>
                <w:color w:val="auto"/>
              </w:rPr>
            </w:pPr>
            <w:r>
              <w:rPr>
                <w:rFonts w:ascii="Arial" w:cs="Arial" w:eastAsia="Arial" w:hAnsi="Arial"/>
                <w:sz w:val="12"/>
                <w:szCs w:val="12"/>
                <w:b w:val="1"/>
                <w:bCs w:val="1"/>
                <w:color w:val="auto"/>
              </w:rPr>
              <w:t>Amount to be Registered/Proposed Maximum Offering Price Per</w:t>
            </w:r>
          </w:p>
        </w:tc>
        <w:tc>
          <w:tcPr>
            <w:tcW w:w="2180" w:type="dxa"/>
            <w:vAlign w:val="bottom"/>
          </w:tcPr>
          <w:p>
            <w:pPr>
              <w:jc w:val="center"/>
              <w:ind w:right="88"/>
              <w:spacing w:after="0" w:line="117" w:lineRule="exact"/>
              <w:rPr>
                <w:sz w:val="20"/>
                <w:szCs w:val="20"/>
                <w:color w:val="auto"/>
              </w:rPr>
            </w:pPr>
            <w:r>
              <w:rPr>
                <w:rFonts w:ascii="Arial" w:cs="Arial" w:eastAsia="Arial" w:hAnsi="Arial"/>
                <w:sz w:val="12"/>
                <w:szCs w:val="12"/>
                <w:b w:val="1"/>
                <w:bCs w:val="1"/>
                <w:color w:val="auto"/>
              </w:rPr>
              <w:t>Amount of</w:t>
            </w:r>
          </w:p>
        </w:tc>
      </w:tr>
      <w:tr>
        <w:trPr>
          <w:trHeight w:val="182"/>
        </w:trPr>
        <w:tc>
          <w:tcPr>
            <w:tcW w:w="20" w:type="dxa"/>
            <w:vAlign w:val="bottom"/>
          </w:tcPr>
          <w:p>
            <w:pPr>
              <w:spacing w:after="0"/>
              <w:rPr>
                <w:sz w:val="15"/>
                <w:szCs w:val="15"/>
                <w:color w:val="auto"/>
              </w:rPr>
            </w:pPr>
          </w:p>
        </w:tc>
        <w:tc>
          <w:tcPr>
            <w:tcW w:w="42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 of Securities to be Registered</w:t>
            </w:r>
          </w:p>
        </w:tc>
        <w:tc>
          <w:tcPr>
            <w:tcW w:w="49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8"/>
              </w:rPr>
              <w:t>Unit/Proposed Maximum Aggregate Offering Price</w:t>
            </w:r>
          </w:p>
        </w:tc>
        <w:tc>
          <w:tcPr>
            <w:tcW w:w="2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7"/>
              </w:rPr>
              <w:t>Registration Fee</w:t>
            </w: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Class A shares representing limited partner interests</w:t>
            </w:r>
          </w:p>
        </w:tc>
        <w:tc>
          <w:tcPr>
            <w:tcW w:w="4940" w:type="dxa"/>
            <w:vAlign w:val="bottom"/>
          </w:tcPr>
          <w:p>
            <w:pPr>
              <w:jc w:val="center"/>
              <w:ind w:left="68"/>
              <w:spacing w:after="0"/>
              <w:rPr>
                <w:sz w:val="20"/>
                <w:szCs w:val="20"/>
                <w:color w:val="auto"/>
              </w:rPr>
            </w:pPr>
            <w:r>
              <w:rPr>
                <w:rFonts w:ascii="Arial" w:cs="Arial" w:eastAsia="Arial" w:hAnsi="Arial"/>
                <w:sz w:val="18"/>
                <w:szCs w:val="18"/>
                <w:color w:val="auto"/>
                <w:w w:val="90"/>
              </w:rPr>
              <w:t>(1)</w:t>
            </w:r>
          </w:p>
        </w:tc>
        <w:tc>
          <w:tcPr>
            <w:tcW w:w="2180" w:type="dxa"/>
            <w:vAlign w:val="bottom"/>
          </w:tcPr>
          <w:p>
            <w:pPr>
              <w:jc w:val="center"/>
              <w:ind w:right="68"/>
              <w:spacing w:after="0"/>
              <w:rPr>
                <w:sz w:val="20"/>
                <w:szCs w:val="20"/>
                <w:color w:val="auto"/>
              </w:rPr>
            </w:pPr>
            <w:r>
              <w:rPr>
                <w:rFonts w:ascii="Arial" w:cs="Arial" w:eastAsia="Arial" w:hAnsi="Arial"/>
                <w:sz w:val="18"/>
                <w:szCs w:val="18"/>
                <w:color w:val="auto"/>
                <w:w w:val="87"/>
              </w:rPr>
              <w:t>$(1)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right="100" w:hanging="532"/>
        <w:spacing w:after="0" w:line="306"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aggregate initial offering price and number of Class A shares representing limited partner interests is being registered as may from time to time be offered hereunder at indeterminate prices. In accordance with Rule 456(b) and 457(r) under the Securities Act of 1933, as amended, the registrant is deferring payment of all of the registration fee and will pay such registration fee subsequently in advance or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473710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Class A Shares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1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may offer and sell Class A shares representing limited partner interests in Plains GP Holdings, L.P. from time to time in one or more offerings and in amounts, at prices and on terms to be determined by market conditions and other factors at the time of our offerings.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w:t>
      </w:r>
    </w:p>
    <w:p>
      <w:pPr>
        <w:spacing w:after="0" w:line="194" w:lineRule="exact"/>
        <w:rPr>
          <w:sz w:val="20"/>
          <w:szCs w:val="20"/>
          <w:color w:val="auto"/>
        </w:rPr>
      </w:pPr>
    </w:p>
    <w:p>
      <w:pPr>
        <w:jc w:val="both"/>
        <w:ind w:right="12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2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3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December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4"/>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line="170"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7">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About Plains GP Holdings, L.P.</w:t>
              </w:r>
            </w:hyperlink>
          </w:p>
        </w:tc>
        <w:tc>
          <w:tcPr>
            <w:tcW w:w="3780" w:type="dxa"/>
            <w:vAlign w:val="bottom"/>
            <w:gridSpan w:val="5"/>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5160" w:type="dxa"/>
            <w:vAlign w:val="bottom"/>
            <w:gridSpan w:val="12"/>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4900" w:type="dxa"/>
            <w:vAlign w:val="bottom"/>
            <w:gridSpan w:val="10"/>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Our Shares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6060" w:type="dxa"/>
            <w:vAlign w:val="bottom"/>
            <w:gridSpan w:val="1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Plan of Distribution</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4660" w:type="dxa"/>
            <w:vAlign w:val="bottom"/>
            <w:gridSpan w:val="9"/>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14</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5080" w:type="dxa"/>
            <w:vAlign w:val="bottom"/>
            <w:gridSpan w:val="11"/>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14</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w:t>
      </w:r>
    </w:p>
    <w:p>
      <w:pPr>
        <w:spacing w:after="0" w:line="193"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we may, over time, offer and sell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The prospectus supplement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in each case, any information furnished rather than filed), until all offerings under this registration statement are completed:</w:t>
      </w:r>
    </w:p>
    <w:p>
      <w:pPr>
        <w:spacing w:after="0" w:line="208" w:lineRule="exact"/>
        <w:rPr>
          <w:sz w:val="20"/>
          <w:szCs w:val="20"/>
          <w:color w:val="auto"/>
        </w:rPr>
      </w:pPr>
    </w:p>
    <w:p>
      <w:pPr>
        <w:ind w:left="1080" w:right="240" w:hanging="532"/>
        <w:spacing w:after="0" w:line="268" w:lineRule="auto"/>
        <w:tabs>
          <w:tab w:leader="none" w:pos="1080" w:val="left"/>
        </w:tabs>
        <w:numPr>
          <w:ilvl w:val="0"/>
          <w:numId w:val="2"/>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our Annual Report on Form 10-K for the year ended December 31, 2018, including information specifically incorporated by reference from our</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Proxy Statement for our 2019 Annual Meeting;</w:t>
        </w:r>
      </w:hyperlink>
    </w:p>
    <w:p>
      <w:pPr>
        <w:spacing w:after="0" w:line="21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w:t>
      </w:r>
      <w:hyperlink r:id="rId18">
        <w:r>
          <w:rPr>
            <w:rFonts w:ascii="Arial" w:cs="Arial" w:eastAsia="Arial" w:hAnsi="Arial"/>
            <w:sz w:val="18"/>
            <w:szCs w:val="18"/>
            <w:u w:val="single" w:color="auto"/>
            <w:color w:val="0000EE"/>
          </w:rPr>
          <w:t>March 31, 2019</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September 30, 2019</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
        </w:numPr>
        <w:rPr>
          <w:rFonts w:ascii="Arial" w:cs="Arial" w:eastAsia="Arial" w:hAnsi="Arial"/>
          <w:sz w:val="18"/>
          <w:szCs w:val="18"/>
          <w:color w:val="0000EE"/>
        </w:rPr>
      </w:pPr>
      <w:hyperlink r:id="rId21">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January 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17,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30,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21,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September 11,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September 17, 2019</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 xml:space="preserve">September 23, 2019 </w:t>
        </w:r>
      </w:hyperlink>
      <w:hyperlink r:id="rId2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 xml:space="preserve">November 27, 2019; </w:t>
        </w:r>
      </w:hyperlink>
      <w:hyperlink r:id="rId21">
        <w:r>
          <w:rPr>
            <w:rFonts w:ascii="Arial" w:cs="Arial" w:eastAsia="Arial" w:hAnsi="Arial"/>
            <w:sz w:val="18"/>
            <w:szCs w:val="18"/>
            <w:color w:val="000000"/>
          </w:rPr>
          <w:t>and</w:t>
        </w:r>
      </w:hyperlink>
    </w:p>
    <w:p>
      <w:pPr>
        <w:spacing w:after="0" w:line="199" w:lineRule="exact"/>
        <w:rPr>
          <w:rFonts w:ascii="Arial" w:cs="Arial" w:eastAsia="Arial" w:hAnsi="Arial"/>
          <w:sz w:val="18"/>
          <w:szCs w:val="18"/>
          <w:color w:val="0000EE"/>
        </w:rPr>
      </w:pPr>
    </w:p>
    <w:p>
      <w:pPr>
        <w:ind w:left="1080" w:right="260" w:hanging="532"/>
        <w:spacing w:after="0" w:line="268" w:lineRule="auto"/>
        <w:tabs>
          <w:tab w:leader="none" w:pos="1080" w:val="left"/>
        </w:tabs>
        <w:numPr>
          <w:ilvl w:val="0"/>
          <w:numId w:val="2"/>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the description of our Class A shares contained in our Registration Statement on Form 8-A/A, filed on November 16, 2016, and any subsequent</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amendment or report filed for the purpose of updating such description.</w:t>
        </w:r>
      </w:hyperlink>
    </w:p>
    <w:p>
      <w:pPr>
        <w:spacing w:after="0" w:line="186" w:lineRule="exact"/>
        <w:rPr>
          <w:rFonts w:ascii="Arial" w:cs="Arial" w:eastAsia="Arial" w:hAnsi="Arial"/>
          <w:sz w:val="18"/>
          <w:szCs w:val="18"/>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rFonts w:ascii="Arial" w:cs="Arial" w:eastAsia="Arial" w:hAnsi="Arial"/>
          <w:sz w:val="18"/>
          <w:szCs w:val="18"/>
          <w:color w:val="auto"/>
        </w:rPr>
      </w:pPr>
    </w:p>
    <w:p>
      <w:pPr>
        <w:ind w:right="400" w:firstLine="348"/>
        <w:spacing w:after="0" w:line="268"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4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ir.pagp.com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 ("AAP");</w:t>
      </w:r>
    </w:p>
    <w:p>
      <w:pPr>
        <w:spacing w:after="0" w:line="238" w:lineRule="exact"/>
        <w:rPr>
          <w:rFonts w:ascii="Arial" w:cs="Arial" w:eastAsia="Arial" w:hAnsi="Arial"/>
          <w:sz w:val="18"/>
          <w:szCs w:val="18"/>
          <w:color w:val="auto"/>
        </w:rPr>
      </w:pPr>
    </w:p>
    <w:p>
      <w:pPr>
        <w:ind w:left="1080" w:right="16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right="10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Plains All American Pipeline, L.P.'s ("PAA") credit rating and ability to receive open credit from suppliers and trade counterparties;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75" w:lineRule="exact"/>
        <w:rPr>
          <w:rFonts w:ascii="Arial" w:cs="Arial" w:eastAsia="Arial" w:hAnsi="Arial"/>
          <w:sz w:val="16"/>
          <w:szCs w:val="16"/>
          <w:color w:val="auto"/>
        </w:rPr>
      </w:pPr>
    </w:p>
    <w:p>
      <w:pPr>
        <w:ind w:left="1080" w:right="40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Other factors described or incorporated by reference herein, as well as factors that are unknown or unpredictable, could also have a material adverse effect </w:t>
      </w:r>
      <w:hyperlink r:id="rId17">
        <w:r>
          <w:rPr>
            <w:rFonts w:ascii="Arial" w:cs="Arial" w:eastAsia="Arial" w:hAnsi="Arial"/>
            <w:sz w:val="16"/>
            <w:szCs w:val="16"/>
            <w:color w:val="auto"/>
          </w:rPr>
          <w:t xml:space="preserve">on future results. Please read "Risk Factors" beginning on page 2 of this prospectus and as discussed in Item 1A of our </w:t>
        </w:r>
        <w:r>
          <w:rPr>
            <w:rFonts w:ascii="Arial" w:cs="Arial" w:eastAsia="Arial" w:hAnsi="Arial"/>
            <w:sz w:val="16"/>
            <w:szCs w:val="16"/>
            <w:u w:val="single" w:color="auto"/>
            <w:color w:val="0000EE"/>
          </w:rPr>
          <w:t>Annual Report on Form 10-K for the fiscal</w:t>
        </w:r>
      </w:hyperlink>
      <w:r>
        <w:rPr>
          <w:rFonts w:ascii="Arial" w:cs="Arial" w:eastAsia="Arial" w:hAnsi="Arial"/>
          <w:sz w:val="16"/>
          <w:szCs w:val="16"/>
          <w:color w:val="auto"/>
        </w:rPr>
        <w:t xml:space="preserve"> </w:t>
      </w:r>
      <w:hyperlink r:id="rId17">
        <w:r>
          <w:rPr>
            <w:rFonts w:ascii="Arial" w:cs="Arial" w:eastAsia="Arial" w:hAnsi="Arial"/>
            <w:sz w:val="16"/>
            <w:szCs w:val="16"/>
            <w:u w:val="single" w:color="auto"/>
            <w:color w:val="0000EE"/>
          </w:rPr>
          <w:t>year ended December 31, 2018 (File No. 001-36132)</w:t>
        </w:r>
        <w:r>
          <w:rPr>
            <w:rFonts w:ascii="Arial" w:cs="Arial" w:eastAsia="Arial" w:hAnsi="Arial"/>
            <w:sz w:val="16"/>
            <w:szCs w:val="16"/>
            <w:color w:val="0000EE"/>
          </w:rPr>
          <w:t xml:space="preserve"> </w:t>
        </w:r>
        <w:r>
          <w:rPr>
            <w:rFonts w:ascii="Arial" w:cs="Arial" w:eastAsia="Arial" w:hAnsi="Arial"/>
            <w:sz w:val="16"/>
            <w:szCs w:val="16"/>
            <w:color w:val="000000"/>
          </w:rPr>
          <w:t>and in any subsequent Quarterly Report on Form 10-Q, which are incorporated in this prospectus by</w:t>
        </w:r>
      </w:hyperlink>
      <w:r>
        <w:rPr>
          <w:rFonts w:ascii="Arial" w:cs="Arial" w:eastAsia="Arial" w:hAnsi="Arial"/>
          <w:sz w:val="16"/>
          <w:szCs w:val="16"/>
          <w:color w:val="0000EE"/>
        </w:rPr>
        <w:t xml:space="preserve"> </w:t>
      </w:r>
      <w:r>
        <w:rPr>
          <w:rFonts w:ascii="Arial" w:cs="Arial" w:eastAsia="Arial" w:hAnsi="Arial"/>
          <w:sz w:val="16"/>
          <w:szCs w:val="16"/>
          <w:color w:val="000000"/>
        </w:rPr>
        <w:t>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 Delaware limited partnership formed in July 2013 that has elected to be taxed as a corporation for U.S. federal income tax purposes. We do not directly own any operating assets; as of September 30, 2019, our principal sources of cash flow are derived from an indirect investment in PAA, a publicly traded Delaware limited partnership. As of September 30, 2019, our sole cash-generating assets consisted of (i) a 100% managing member interest in Plains All American GP LLC ("GP LLC"), an entity that has also elected to be taxed as a corporation for U.S. federal income tax purposes, and (ii) an approximate 73% limited partner interest in AAP through our direct ownership of approximately 181.0 million Class A units of AAP ("AAP Units") and indirect ownership of approximately 1.0 million AAP units through GP LLC. GP LLC is a Delaware limited liability company that also holds the non-economic general partner interest in AAP. AAP is a Delaware limited partnership that, as of September 30, 2019, directly owned a limited partner interest in PAA through its ownership of approximately 252.2 million PAA common units (approximately 32% of PAA's total outstanding common units and Series A preferred units combined). AAP is the sole member of PAA GP LLC ("PAA GP"), a Delaware limited liability company that directly holds the non-economic general partner interest in PAA.</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67"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color w:val="auto"/>
        </w:rPr>
        <w:t>For purposes of this prospectus, unless the context clearly indicates otherwise, "our,"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An investment in our Class A shares involves a high degree of risk. Before you invest in our Class A shares, you should carefully consider those risks described in our </w:t>
      </w:r>
      <w:hyperlink r:id="rId17">
        <w:r>
          <w:rPr>
            <w:rFonts w:ascii="Arial" w:cs="Arial" w:eastAsia="Arial" w:hAnsi="Arial"/>
            <w:sz w:val="16"/>
            <w:szCs w:val="16"/>
            <w:u w:val="single" w:color="auto"/>
            <w:color w:val="0000EE"/>
          </w:rPr>
          <w:t>Annual Report on Form 10-K for the year ended December 31, 2018 (File No. 001-36132)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in any subsequent Quarterly Report on Form 10-Q, which are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investment in the equity of PAA (acting through AAP as provided in the Omnibus Agreement entered into on November 15, 2016 with our general partner, GP LLC, AAP, PAA GP and PAA (the "Omnibus Agreement")), repayment of indebtedness, acquisitions, capital expenditures and additions to working capital.</w:t>
      </w:r>
    </w:p>
    <w:p>
      <w:pPr>
        <w:spacing w:after="0" w:line="197"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Pursuant to the Omnibus Agreement, we have agreed to use the net proceeds from any sale of Class A shares to purchase from AAP a number of AAP Units equal to the number of Class A shares sold at a price equal to the net proceeds from such sale. The Omnibus Agreement also provides that immediately following such purchase and sale, AAP will use the net proceeds it receives from such sale of AAP Units to PAGP to purchase from PAA an equivalent number of common units of PAA.</w:t>
      </w:r>
    </w:p>
    <w:p>
      <w:pPr>
        <w:spacing w:after="0" w:line="197"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SHARES</w:t>
      </w:r>
    </w:p>
    <w:p>
      <w:pPr>
        <w:spacing w:after="0" w:line="231" w:lineRule="exact"/>
        <w:rPr>
          <w:sz w:val="20"/>
          <w:szCs w:val="20"/>
          <w:color w:val="auto"/>
        </w:rPr>
      </w:pPr>
    </w:p>
    <w:p>
      <w:pPr>
        <w:ind w:firstLine="351"/>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Please see our registration statement on </w:t>
      </w:r>
      <w:hyperlink r:id="rId25">
        <w:r>
          <w:rPr>
            <w:rFonts w:ascii="Arial" w:cs="Arial" w:eastAsia="Arial" w:hAnsi="Arial"/>
            <w:sz w:val="18"/>
            <w:szCs w:val="18"/>
            <w:u w:val="single" w:color="auto"/>
            <w:color w:val="0000EE"/>
          </w:rPr>
          <w:t>Form 8-A/A filed on November 16,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(together with any amendments thereto and the other documents incorporated by reference therein), which is incorporated by reference herein, for a description of our shares, our cash distribution policy and the Second Amended and Restated Agreement of Limited Partnership of Plains GP Holdings, L.P., dated as of November 15, 2016, as it may be amended or restated from time to time (our "partnership agreement").</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jc w:val="both"/>
        <w:ind w:right="2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to avoid U.S. federal income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compensation or through a tax-qualified retirement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1"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initial public offering (our "IPO") and in connection with exchanges since the IPO by the owners of AAP immediately prior to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74"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9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78"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Subject to the discussion below under "—Backup Withholding and Information Reporting," a non-U.S. holder generally will not be subject to U.S. federal income or withholding tax on any gain realized upon the sale or other disposition of our Class A shares unless:</w:t>
      </w:r>
    </w:p>
    <w:p>
      <w:pPr>
        <w:spacing w:after="0" w:line="199" w:lineRule="exact"/>
        <w:rPr>
          <w:sz w:val="20"/>
          <w:szCs w:val="20"/>
          <w:color w:val="auto"/>
        </w:rPr>
      </w:pPr>
    </w:p>
    <w:p>
      <w:pPr>
        <w:ind w:left="1080" w:right="1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52"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39"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70"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7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Any dividends paid to a non-U.S. holder must be reported annually to the IRS and to each non-U.S. holder. Copies of these information returns may be made available to the tax authorities in the country in which the non-U.S. holder resides or is established. Payments of dividends to a non-U.S.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holder generally will not be subject to backup withholding if the non-U.S. holder establishes an exemption by properly certifying its non-U.S. status on an IRS Form W-8BEN or IRS Form W-8BEN-E (or other applicable or successor form).</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9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172"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b w:val="1"/>
          <w:bCs w:val="1"/>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considering an investment in our Class A shares, the fiduciaries of an ERISA Plan should determine whether such investment is authorized by the documents and instruments governing the ERISA Plan, the applicable provisions of ERISA, the Code or any Similar Laws relating to the fiduciary's duties to the ERISA Plan.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consideration should be given to:</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applicable Similar Laws;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248"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Therefore, a fiduciary of an employee benefit plan or an IRA accountholder that is considering an investment in our Class A shares should consider whether the entity's purchase or ownership of such Class A shares would or could result in the occurrence of such a non-exempt prohibited transaction.</w:t>
      </w:r>
    </w:p>
    <w:p>
      <w:pPr>
        <w:spacing w:after="0" w:line="201"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13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 assets" under certain circumstances. Under these rules, an entity's assets generally would not be considered to be "plan assets" if, among other things:</w:t>
      </w:r>
    </w:p>
    <w:p>
      <w:pPr>
        <w:spacing w:after="0" w:line="208" w:lineRule="exact"/>
        <w:rPr>
          <w:sz w:val="20"/>
          <w:szCs w:val="20"/>
          <w:color w:val="auto"/>
        </w:rPr>
      </w:pPr>
    </w:p>
    <w:p>
      <w:pPr>
        <w:ind w:left="1080" w:right="30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registered under some provision of the federal securities laws;</w:t>
      </w:r>
    </w:p>
    <w:p>
      <w:pPr>
        <w:spacing w:after="0" w:line="22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60" w:hanging="532"/>
        <w:spacing w:after="0" w:line="25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less than 25% of the value of each class of equity interest, disregarding some interests held by our general partner, its affiliates (which do not include the Legacy Owners),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sell the Class A shares offered hereby through one or more underwriters on a firm commitment basis.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prospectus supplement with respect to any offering of Class A shares will set forth the terms of the offering, including: (i) the name or names of any underwriters; (ii) the purchase price of the Class A shares and the proceeds to us from the sale; (iii) any underwriting discounts and commissions and other items constituting underwriters' compensation; and (iv) any delayed delivery arrangements.</w:t>
      </w:r>
    </w:p>
    <w:p>
      <w:pPr>
        <w:spacing w:after="0" w:line="194"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will enter into an underwriting agreement with the underwriters at the time of sale to them. We will set forth the names of these underwriters and the terms of the transaction in the prospectus supplement, which will be used by the underwriters to make resales of the Class A shares in respect of which this prospectus is delivered to the public. We may indemnify the underwriters under the relevant underwriting agreement against specific liabilities, including liabilities under the Securities Act. The underwriters may also be our customers or may engage in transactions with or perform services for us in the ordinary course of business.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the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7">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December 31,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w:t>
      </w:r>
      <w:r>
        <w:rPr>
          <w:rFonts w:ascii="Arial" w:cs="Arial" w:eastAsia="Arial" w:hAnsi="Arial"/>
          <w:sz w:val="18"/>
          <w:szCs w:val="18"/>
          <w:color w:val="0000EE"/>
        </w:rPr>
        <w:t xml:space="preserve"> </w:t>
      </w:r>
      <w:r>
        <w:rPr>
          <w:rFonts w:ascii="Arial" w:cs="Arial" w:eastAsia="Arial" w:hAnsi="Arial"/>
          <w:sz w:val="18"/>
          <w:szCs w:val="18"/>
          <w:color w:val="000000"/>
        </w:rPr>
        <w:t>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0"/>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 is deferring payment of the registration fee in reliance on Rule 456(b) and Rule 457(r) of the Securities Act.</w:t>
      </w:r>
    </w:p>
    <w:p>
      <w:pPr>
        <w:spacing w:after="0" w:line="275" w:lineRule="exact"/>
        <w:rPr>
          <w:sz w:val="20"/>
          <w:szCs w:val="20"/>
          <w:color w:val="auto"/>
        </w:rPr>
      </w:pPr>
    </w:p>
    <w:p>
      <w:pPr>
        <w:ind w:left="2260" w:hanging="540"/>
        <w:spacing w:after="0" w:line="268" w:lineRule="auto"/>
        <w:tabs>
          <w:tab w:leader="none" w:pos="2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estimated at this time.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174"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Qualifying Interest Holders (as defined in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person who is or was an affiliate of its general partner, any departing general partner, the Legacy Owners or any Qualifying Interest Holder;</w:t>
      </w:r>
    </w:p>
    <w:p>
      <w:pPr>
        <w:spacing w:after="0" w:line="275"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152"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person designated by its general partner</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 the power to indemnify the person against liabilities under Plains GP Holdings, L.P.'s partnership agreement.</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ectPr>
          <w:pgSz w:w="11900" w:h="16838" w:orient="portrait"/>
          <w:cols w:equalWidth="0" w:num="1">
            <w:col w:w="11040"/>
          </w:cols>
          <w:pgMar w:left="240" w:top="131" w:right="619"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440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-2299335</wp:posOffset>
            </wp:positionH>
            <wp:positionV relativeFrom="paragraph">
              <wp:posOffset>22225</wp:posOffset>
            </wp:positionV>
            <wp:extent cx="50342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260" w:space="720"/>
            <w:col w:w="5060"/>
          </w:cols>
          <w:pgMar w:left="240" w:top="131" w:right="619" w:bottom="1440" w:gutter="0" w:footer="0" w:header="0"/>
          <w:type w:val="continuous"/>
        </w:sectPr>
      </w:pPr>
    </w:p>
    <w:p>
      <w:pPr>
        <w:ind w:left="1560"/>
        <w:spacing w:after="0"/>
        <w:tabs>
          <w:tab w:leader="none" w:pos="2340" w:val="left"/>
        </w:tabs>
        <w:rPr>
          <w:sz w:val="20"/>
          <w:szCs w:val="20"/>
          <w:color w:val="auto"/>
        </w:rPr>
      </w:pPr>
      <w:r>
        <w:rPr>
          <w:rFonts w:ascii="Arial" w:cs="Arial" w:eastAsia="Arial" w:hAnsi="Arial"/>
          <w:sz w:val="18"/>
          <w:szCs w:val="18"/>
          <w:color w:val="auto"/>
        </w:rPr>
        <w:t>1.1** —</w:t>
      </w:r>
      <w:r>
        <w:rPr>
          <w:sz w:val="20"/>
          <w:szCs w:val="20"/>
          <w:color w:val="auto"/>
        </w:rPr>
        <w:tab/>
      </w:r>
      <w:r>
        <w:rPr>
          <w:rFonts w:ascii="Arial" w:cs="Arial" w:eastAsia="Arial" w:hAnsi="Arial"/>
          <w:sz w:val="16"/>
          <w:szCs w:val="16"/>
          <w:color w:val="auto"/>
        </w:rPr>
        <w:t>Form of Underwriting Agreement.</w:t>
      </w:r>
    </w:p>
    <w:p>
      <w:pPr>
        <w:spacing w:after="0" w:line="244" w:lineRule="exact"/>
        <w:rPr>
          <w:sz w:val="20"/>
          <w:szCs w:val="20"/>
          <w:color w:val="auto"/>
        </w:rPr>
      </w:pPr>
    </w:p>
    <w:p>
      <w:pPr>
        <w:ind w:left="1980" w:right="1400" w:hanging="786"/>
        <w:spacing w:after="0" w:line="259" w:lineRule="auto"/>
        <w:tabs>
          <w:tab w:leader="none" w:pos="1960" w:val="left"/>
        </w:tabs>
        <w:rPr>
          <w:rFonts w:ascii="Arial" w:cs="Arial" w:eastAsia="Arial" w:hAnsi="Arial"/>
          <w:sz w:val="18"/>
          <w:szCs w:val="18"/>
          <w:u w:val="single" w:color="auto"/>
          <w:color w:val="0000EE"/>
        </w:rPr>
      </w:pPr>
      <w:r>
        <w:rPr>
          <w:rFonts w:ascii="Arial" w:cs="Arial" w:eastAsia="Arial" w:hAnsi="Arial"/>
          <w:sz w:val="18"/>
          <w:szCs w:val="18"/>
          <w:color w:val="auto"/>
        </w:rPr>
        <w:t>3.1</w:t>
        <w:tab/>
        <w:t xml:space="preserve">— </w:t>
      </w:r>
      <w:hyperlink r:id="rId46">
        <w:r>
          <w:rPr>
            <w:rFonts w:ascii="Arial" w:cs="Arial" w:eastAsia="Arial" w:hAnsi="Arial"/>
            <w:sz w:val="18"/>
            <w:szCs w:val="18"/>
            <w:u w:val="single" w:color="auto"/>
            <w:color w:val="0000EE"/>
          </w:rPr>
          <w:t>Second Amended and Restated Limited Partnership Agreement of Plains GP Holdings, L.P., dated as of</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November 15, 2016 (incorporated by reference to Exhibit 3.2 to the Current Report on Form 8-K filed</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November 21, 2016).</w:t>
        </w:r>
      </w:hyperlink>
    </w:p>
    <w:p>
      <w:pPr>
        <w:spacing w:after="0" w:line="221" w:lineRule="exact"/>
        <w:rPr>
          <w:rFonts w:ascii="Arial" w:cs="Arial" w:eastAsia="Arial" w:hAnsi="Arial"/>
          <w:sz w:val="18"/>
          <w:szCs w:val="18"/>
          <w:color w:val="auto"/>
        </w:rPr>
      </w:pPr>
    </w:p>
    <w:p>
      <w:pPr>
        <w:ind w:left="1980" w:right="1080" w:hanging="786"/>
        <w:spacing w:after="0" w:line="259" w:lineRule="auto"/>
        <w:tabs>
          <w:tab w:leader="none" w:pos="1960" w:val="left"/>
        </w:tabs>
        <w:rPr>
          <w:rFonts w:ascii="Arial" w:cs="Arial" w:eastAsia="Arial" w:hAnsi="Arial"/>
          <w:sz w:val="18"/>
          <w:szCs w:val="18"/>
          <w:u w:val="single" w:color="auto"/>
          <w:color w:val="0000EE"/>
        </w:rPr>
      </w:pPr>
      <w:r>
        <w:rPr>
          <w:rFonts w:ascii="Arial" w:cs="Arial" w:eastAsia="Arial" w:hAnsi="Arial"/>
          <w:sz w:val="18"/>
          <w:szCs w:val="18"/>
          <w:color w:val="auto"/>
        </w:rPr>
        <w:t>3.2</w:t>
        <w:tab/>
        <w:t xml:space="preserve">— </w:t>
      </w:r>
      <w:hyperlink r:id="rId47">
        <w:r>
          <w:rPr>
            <w:rFonts w:ascii="Arial" w:cs="Arial" w:eastAsia="Arial" w:hAnsi="Arial"/>
            <w:sz w:val="18"/>
            <w:szCs w:val="18"/>
            <w:u w:val="single" w:color="auto"/>
            <w:color w:val="0000EE"/>
          </w:rPr>
          <w:t>Third Amended and Restated Limited Liability Company Agreement of PAA GP Holdings LLC, dated as of</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February 16, 2017 (incorporated by reference to Exhibit 3.1 to the Current Report on Form 8-K filed</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February 21, 2017).</w:t>
        </w:r>
      </w:hyperlink>
    </w:p>
    <w:p>
      <w:pPr>
        <w:spacing w:after="0" w:line="221" w:lineRule="exact"/>
        <w:rPr>
          <w:rFonts w:ascii="Arial" w:cs="Arial" w:eastAsia="Arial" w:hAnsi="Arial"/>
          <w:sz w:val="18"/>
          <w:szCs w:val="18"/>
          <w:color w:val="auto"/>
        </w:rPr>
      </w:pPr>
    </w:p>
    <w:p>
      <w:pPr>
        <w:ind w:left="1980" w:right="960" w:hanging="786"/>
        <w:spacing w:after="0" w:line="259" w:lineRule="auto"/>
        <w:tabs>
          <w:tab w:leader="none" w:pos="1960" w:val="left"/>
        </w:tabs>
        <w:rPr>
          <w:rFonts w:ascii="Arial" w:cs="Arial" w:eastAsia="Arial" w:hAnsi="Arial"/>
          <w:sz w:val="18"/>
          <w:szCs w:val="18"/>
          <w:u w:val="single" w:color="auto"/>
          <w:color w:val="0000EE"/>
        </w:rPr>
      </w:pPr>
      <w:r>
        <w:rPr>
          <w:rFonts w:ascii="Arial" w:cs="Arial" w:eastAsia="Arial" w:hAnsi="Arial"/>
          <w:sz w:val="18"/>
          <w:szCs w:val="18"/>
          <w:color w:val="auto"/>
        </w:rPr>
        <w:t>3.3</w:t>
        <w:tab/>
        <w:t xml:space="preserve">— </w:t>
      </w:r>
      <w:hyperlink r:id="rId48">
        <w:r>
          <w:rPr>
            <w:rFonts w:ascii="Arial" w:cs="Arial" w:eastAsia="Arial" w:hAnsi="Arial"/>
            <w:sz w:val="18"/>
            <w:szCs w:val="18"/>
            <w:u w:val="single" w:color="auto"/>
            <w:color w:val="0000EE"/>
          </w:rPr>
          <w:t>Amendment No. 1 to the Third Amended and Restated Limited Liability Company Agreement of PAA GP</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Holdings LLC, dated as of October 1, 2018 (incorporated by reference to Exhibit 3.1 to the Current Report on</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Form 8-K filed August 20, 2018).</w:t>
        </w:r>
      </w:hyperlink>
    </w:p>
    <w:p>
      <w:pPr>
        <w:spacing w:after="0" w:line="221" w:lineRule="exact"/>
        <w:rPr>
          <w:rFonts w:ascii="Arial" w:cs="Arial" w:eastAsia="Arial" w:hAnsi="Arial"/>
          <w:sz w:val="18"/>
          <w:szCs w:val="18"/>
          <w:color w:val="auto"/>
        </w:rPr>
      </w:pPr>
    </w:p>
    <w:p>
      <w:pPr>
        <w:ind w:left="1980" w:right="940" w:hanging="786"/>
        <w:spacing w:after="0" w:line="259" w:lineRule="auto"/>
        <w:tabs>
          <w:tab w:leader="none" w:pos="1960" w:val="left"/>
        </w:tabs>
        <w:rPr>
          <w:rFonts w:ascii="Arial" w:cs="Arial" w:eastAsia="Arial" w:hAnsi="Arial"/>
          <w:sz w:val="18"/>
          <w:szCs w:val="18"/>
          <w:u w:val="single" w:color="auto"/>
          <w:color w:val="0000EE"/>
        </w:rPr>
      </w:pPr>
      <w:r>
        <w:rPr>
          <w:rFonts w:ascii="Arial" w:cs="Arial" w:eastAsia="Arial" w:hAnsi="Arial"/>
          <w:sz w:val="18"/>
          <w:szCs w:val="18"/>
          <w:color w:val="auto"/>
        </w:rPr>
        <w:t>3.4</w:t>
        <w:tab/>
        <w:t xml:space="preserve">— </w:t>
      </w:r>
      <w:hyperlink r:id="rId49">
        <w:r>
          <w:rPr>
            <w:rFonts w:ascii="Arial" w:cs="Arial" w:eastAsia="Arial" w:hAnsi="Arial"/>
            <w:sz w:val="18"/>
            <w:szCs w:val="18"/>
            <w:u w:val="single" w:color="auto"/>
            <w:color w:val="0000EE"/>
          </w:rPr>
          <w:t>Amendment No. 2 to the Third Amended and Restated Limited Liability Company Agreement of PAA GP</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Holdings LLC, dated as of December 10, 2018 (incorporated by reference to Exhibit 3.1 to the Current Report</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on Form 8-K filed December 11, 2018).</w:t>
        </w:r>
      </w:hyperlink>
    </w:p>
    <w:p>
      <w:pPr>
        <w:spacing w:after="0" w:line="221" w:lineRule="exact"/>
        <w:rPr>
          <w:rFonts w:ascii="Arial" w:cs="Arial" w:eastAsia="Arial" w:hAnsi="Arial"/>
          <w:sz w:val="18"/>
          <w:szCs w:val="18"/>
          <w:color w:val="auto"/>
        </w:rPr>
      </w:pPr>
    </w:p>
    <w:p>
      <w:pPr>
        <w:ind w:left="1980" w:right="920" w:hanging="786"/>
        <w:spacing w:after="0" w:line="259" w:lineRule="auto"/>
        <w:tabs>
          <w:tab w:leader="none" w:pos="1960" w:val="left"/>
        </w:tabs>
        <w:rPr>
          <w:rFonts w:ascii="Arial" w:cs="Arial" w:eastAsia="Arial" w:hAnsi="Arial"/>
          <w:sz w:val="18"/>
          <w:szCs w:val="18"/>
          <w:u w:val="single" w:color="auto"/>
          <w:color w:val="0000EE"/>
        </w:rPr>
      </w:pPr>
      <w:r>
        <w:rPr>
          <w:rFonts w:ascii="Arial" w:cs="Arial" w:eastAsia="Arial" w:hAnsi="Arial"/>
          <w:sz w:val="18"/>
          <w:szCs w:val="18"/>
          <w:color w:val="auto"/>
        </w:rPr>
        <w:t>3.5</w:t>
        <w:tab/>
        <w:t xml:space="preserve">— </w:t>
      </w:r>
      <w:hyperlink r:id="rId50">
        <w:r>
          <w:rPr>
            <w:rFonts w:ascii="Arial" w:cs="Arial" w:eastAsia="Arial" w:hAnsi="Arial"/>
            <w:sz w:val="18"/>
            <w:szCs w:val="18"/>
            <w:u w:val="single" w:color="auto"/>
            <w:color w:val="0000EE"/>
          </w:rPr>
          <w:t>Amendment No. 3 to the Third Amended and Restated Limited Liability Company Agreement of PAA GP</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Holdings LLC, dated as of November 21, 2019 (incorporated by reference to Exhibit 3.1 to the Current Report</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on Form 8-K filed November 27, 2019).</w:t>
        </w:r>
      </w:hyperlink>
    </w:p>
    <w:p>
      <w:pPr>
        <w:spacing w:after="0" w:line="221" w:lineRule="exact"/>
        <w:rPr>
          <w:rFonts w:ascii="Arial" w:cs="Arial" w:eastAsia="Arial" w:hAnsi="Arial"/>
          <w:sz w:val="18"/>
          <w:szCs w:val="18"/>
          <w:color w:val="auto"/>
        </w:rPr>
      </w:pPr>
    </w:p>
    <w:p>
      <w:pPr>
        <w:ind w:left="1980" w:right="1000" w:hanging="786"/>
        <w:spacing w:after="0" w:line="268" w:lineRule="auto"/>
        <w:tabs>
          <w:tab w:leader="none" w:pos="1960" w:val="left"/>
        </w:tabs>
        <w:rPr>
          <w:rFonts w:ascii="Arial" w:cs="Arial" w:eastAsia="Arial" w:hAnsi="Arial"/>
          <w:sz w:val="18"/>
          <w:szCs w:val="18"/>
          <w:u w:val="single" w:color="auto"/>
          <w:color w:val="0000EE"/>
        </w:rPr>
      </w:pPr>
      <w:r>
        <w:rPr>
          <w:rFonts w:ascii="Arial" w:cs="Arial" w:eastAsia="Arial" w:hAnsi="Arial"/>
          <w:sz w:val="18"/>
          <w:szCs w:val="18"/>
          <w:color w:val="auto"/>
        </w:rPr>
        <w:t>4.1</w:t>
        <w:tab/>
        <w:t xml:space="preserve">— </w:t>
      </w:r>
      <w:hyperlink r:id="rId51">
        <w:r>
          <w:rPr>
            <w:rFonts w:ascii="Arial" w:cs="Arial" w:eastAsia="Arial" w:hAnsi="Arial"/>
            <w:sz w:val="18"/>
            <w:szCs w:val="18"/>
            <w:u w:val="single" w:color="auto"/>
            <w:color w:val="0000EE"/>
          </w:rPr>
          <w:t>Specimen certificate representing Class A shares (incorporated by reference to Exhibit 4.1 of the Registration</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Statement on Form S-3 filed December 8, 2016).</w:t>
        </w:r>
      </w:hyperlink>
    </w:p>
    <w:p>
      <w:pPr>
        <w:spacing w:after="0" w:line="186" w:lineRule="exact"/>
        <w:rPr>
          <w:sz w:val="20"/>
          <w:szCs w:val="20"/>
          <w:color w:val="auto"/>
        </w:rPr>
      </w:pPr>
    </w:p>
    <w:p>
      <w:pPr>
        <w:ind w:left="1560"/>
        <w:spacing w:after="0"/>
        <w:tabs>
          <w:tab w:leader="none" w:pos="2340" w:val="left"/>
        </w:tabs>
        <w:rPr>
          <w:sz w:val="20"/>
          <w:szCs w:val="20"/>
          <w:color w:val="auto"/>
        </w:rPr>
      </w:pPr>
      <w:r>
        <w:rPr>
          <w:rFonts w:ascii="Arial" w:cs="Arial" w:eastAsia="Arial" w:hAnsi="Arial"/>
          <w:sz w:val="18"/>
          <w:szCs w:val="18"/>
          <w:color w:val="auto"/>
        </w:rPr>
        <w:t>5.1*  —</w:t>
      </w:r>
      <w:r>
        <w:rPr>
          <w:sz w:val="20"/>
          <w:szCs w:val="20"/>
          <w:color w:val="auto"/>
        </w:rPr>
        <w:tab/>
      </w:r>
      <w:r>
        <w:rPr>
          <w:rFonts w:ascii="Arial" w:cs="Arial" w:eastAsia="Arial" w:hAnsi="Arial"/>
          <w:sz w:val="16"/>
          <w:szCs w:val="16"/>
          <w:u w:val="single" w:color="auto"/>
          <w:color w:val="0000EE"/>
        </w:rPr>
        <w:t>Opinion of Vinson &amp; Elkins L.L.P. as to the legality of the securities being registered.</w:t>
      </w:r>
    </w:p>
    <w:p>
      <w:pPr>
        <w:spacing w:after="0" w:line="252" w:lineRule="exact"/>
        <w:rPr>
          <w:sz w:val="20"/>
          <w:szCs w:val="20"/>
          <w:color w:val="auto"/>
        </w:rPr>
      </w:pPr>
    </w:p>
    <w:p>
      <w:pPr>
        <w:ind w:left="1560"/>
        <w:spacing w:after="0"/>
        <w:tabs>
          <w:tab w:leader="none" w:pos="2340" w:val="left"/>
        </w:tabs>
        <w:rPr>
          <w:sz w:val="20"/>
          <w:szCs w:val="20"/>
          <w:color w:val="auto"/>
        </w:rPr>
      </w:pPr>
      <w:r>
        <w:rPr>
          <w:rFonts w:ascii="Arial" w:cs="Arial" w:eastAsia="Arial" w:hAnsi="Arial"/>
          <w:sz w:val="18"/>
          <w:szCs w:val="18"/>
          <w:color w:val="auto"/>
        </w:rPr>
        <w:t>8.1*  —</w:t>
      </w:r>
      <w:r>
        <w:rPr>
          <w:sz w:val="20"/>
          <w:szCs w:val="20"/>
          <w:color w:val="auto"/>
        </w:rPr>
        <w:tab/>
      </w:r>
      <w:r>
        <w:rPr>
          <w:rFonts w:ascii="Arial" w:cs="Arial" w:eastAsia="Arial" w:hAnsi="Arial"/>
          <w:sz w:val="16"/>
          <w:szCs w:val="16"/>
          <w:u w:val="single" w:color="auto"/>
          <w:color w:val="0000EE"/>
        </w:rPr>
        <w:t>Opinion of Vinson &amp; Elkins L.L.P. relating to tax matters.</w:t>
      </w:r>
    </w:p>
    <w:p>
      <w:pPr>
        <w:spacing w:after="0" w:line="252" w:lineRule="exact"/>
        <w:rPr>
          <w:sz w:val="20"/>
          <w:szCs w:val="20"/>
          <w:color w:val="auto"/>
        </w:rPr>
      </w:pPr>
    </w:p>
    <w:p>
      <w:pPr>
        <w:ind w:left="1480"/>
        <w:spacing w:after="0"/>
        <w:tabs>
          <w:tab w:leader="none" w:pos="2340" w:val="left"/>
        </w:tabs>
        <w:rPr>
          <w:sz w:val="20"/>
          <w:szCs w:val="20"/>
          <w:color w:val="auto"/>
        </w:rPr>
      </w:pPr>
      <w:r>
        <w:rPr>
          <w:rFonts w:ascii="Arial" w:cs="Arial" w:eastAsia="Arial" w:hAnsi="Arial"/>
          <w:sz w:val="18"/>
          <w:szCs w:val="18"/>
          <w:color w:val="auto"/>
        </w:rPr>
        <w:t>23.1*  —</w:t>
      </w:r>
      <w:r>
        <w:rPr>
          <w:sz w:val="20"/>
          <w:szCs w:val="20"/>
          <w:color w:val="auto"/>
        </w:rPr>
        <w:tab/>
      </w:r>
      <w:r>
        <w:rPr>
          <w:rFonts w:ascii="Arial" w:cs="Arial" w:eastAsia="Arial" w:hAnsi="Arial"/>
          <w:sz w:val="15"/>
          <w:szCs w:val="15"/>
          <w:u w:val="single" w:color="auto"/>
          <w:color w:val="0000EE"/>
        </w:rPr>
        <w:t>Consent of PricewaterhouseCoopers LLP.</w:t>
      </w:r>
    </w:p>
    <w:p>
      <w:pPr>
        <w:spacing w:after="0" w:line="252" w:lineRule="exact"/>
        <w:rPr>
          <w:sz w:val="20"/>
          <w:szCs w:val="20"/>
          <w:color w:val="auto"/>
        </w:rPr>
      </w:pPr>
    </w:p>
    <w:p>
      <w:pPr>
        <w:ind w:left="1480"/>
        <w:spacing w:after="0"/>
        <w:tabs>
          <w:tab w:leader="none" w:pos="2340" w:val="left"/>
        </w:tabs>
        <w:rPr>
          <w:sz w:val="20"/>
          <w:szCs w:val="20"/>
          <w:color w:val="auto"/>
        </w:rPr>
      </w:pPr>
      <w:r>
        <w:rPr>
          <w:rFonts w:ascii="Arial" w:cs="Arial" w:eastAsia="Arial" w:hAnsi="Arial"/>
          <w:sz w:val="18"/>
          <w:szCs w:val="18"/>
          <w:color w:val="auto"/>
        </w:rPr>
        <w:t>23.2*  —</w:t>
      </w:r>
      <w:r>
        <w:rPr>
          <w:sz w:val="20"/>
          <w:szCs w:val="20"/>
          <w:color w:val="auto"/>
        </w:rPr>
        <w:tab/>
      </w:r>
      <w:r>
        <w:rPr>
          <w:rFonts w:ascii="Arial" w:cs="Arial" w:eastAsia="Arial" w:hAnsi="Arial"/>
          <w:sz w:val="16"/>
          <w:szCs w:val="16"/>
          <w:color w:val="auto"/>
        </w:rPr>
        <w:t xml:space="preserve">Consent of Vinson &amp; Elkins L.L.P. (contained in </w:t>
      </w:r>
      <w:r>
        <w:rPr>
          <w:rFonts w:ascii="Arial" w:cs="Arial" w:eastAsia="Arial" w:hAnsi="Arial"/>
          <w:sz w:val="16"/>
          <w:szCs w:val="16"/>
          <w:u w:val="single" w:color="auto"/>
          <w:color w:val="0000EE"/>
        </w:rPr>
        <w:t>Exhibits 5.1</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8.1</w:t>
      </w:r>
      <w:r>
        <w:rPr>
          <w:rFonts w:ascii="Arial" w:cs="Arial" w:eastAsia="Arial" w:hAnsi="Arial"/>
          <w:sz w:val="16"/>
          <w:szCs w:val="16"/>
          <w:color w:val="auto"/>
        </w:rPr>
        <w:t>).</w:t>
      </w:r>
    </w:p>
    <w:p>
      <w:pPr>
        <w:spacing w:after="0" w:line="252" w:lineRule="exact"/>
        <w:rPr>
          <w:sz w:val="20"/>
          <w:szCs w:val="20"/>
          <w:color w:val="auto"/>
        </w:rPr>
      </w:pPr>
    </w:p>
    <w:p>
      <w:pPr>
        <w:ind w:left="1480"/>
        <w:spacing w:after="0"/>
        <w:tabs>
          <w:tab w:leader="none" w:pos="2340" w:val="left"/>
        </w:tabs>
        <w:rPr>
          <w:rFonts w:ascii="Arial" w:cs="Arial" w:eastAsia="Arial" w:hAnsi="Arial"/>
          <w:sz w:val="15"/>
          <w:szCs w:val="15"/>
          <w:u w:val="single" w:color="auto"/>
          <w:color w:val="0000EE"/>
        </w:rPr>
      </w:pPr>
      <w:r>
        <w:rPr>
          <w:rFonts w:ascii="Arial" w:cs="Arial" w:eastAsia="Arial" w:hAnsi="Arial"/>
          <w:sz w:val="18"/>
          <w:szCs w:val="18"/>
          <w:color w:val="auto"/>
        </w:rPr>
        <w:t>24.1*  —</w:t>
      </w:r>
      <w:r>
        <w:rPr>
          <w:sz w:val="20"/>
          <w:szCs w:val="20"/>
          <w:color w:val="auto"/>
        </w:rPr>
        <w:tab/>
      </w:r>
      <w:hyperlink w:anchor="page27">
        <w:r>
          <w:rPr>
            <w:rFonts w:ascii="Arial" w:cs="Arial" w:eastAsia="Arial" w:hAnsi="Arial"/>
            <w:sz w:val="15"/>
            <w:szCs w:val="15"/>
            <w:u w:val="single" w:color="auto"/>
            <w:color w:val="0000EE"/>
          </w:rPr>
          <w:t>Power of Attorney (included on signature pages of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97155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7"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be filed as an Exhibit to a Current Report on Form 8-K or a post-effective amendment to this registration statement.</w:t>
      </w:r>
    </w:p>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620" w:hanging="532"/>
        <w:spacing w:after="0"/>
        <w:tabs>
          <w:tab w:leader="none" w:pos="16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20" w:hanging="532"/>
        <w:spacing w:after="0" w:line="290" w:lineRule="auto"/>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1620" w:right="300" w:hanging="532"/>
        <w:spacing w:after="0" w:line="268"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1080" w:right="60"/>
        <w:spacing w:after="0" w:line="256" w:lineRule="auto"/>
        <w:rPr>
          <w:sz w:val="20"/>
          <w:szCs w:val="20"/>
          <w:color w:val="auto"/>
        </w:rPr>
      </w:pPr>
      <w:r>
        <w:rPr>
          <w:rFonts w:ascii="Arial" w:cs="Arial" w:eastAsia="Arial" w:hAnsi="Arial"/>
          <w:sz w:val="18"/>
          <w:szCs w:val="18"/>
          <w:color w:val="auto"/>
        </w:rPr>
        <w:t>provided, however, that paragraphs (i), (ii) and (iii) above do not apply if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11" w:lineRule="exact"/>
        <w:rPr>
          <w:sz w:val="20"/>
          <w:szCs w:val="20"/>
          <w:color w:val="auto"/>
        </w:rPr>
      </w:pPr>
    </w:p>
    <w:p>
      <w:pPr>
        <w:ind w:left="1080" w:right="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9" w:lineRule="exact"/>
        <w:rPr>
          <w:rFonts w:ascii="Arial" w:cs="Arial" w:eastAsia="Arial" w:hAnsi="Arial"/>
          <w:sz w:val="18"/>
          <w:szCs w:val="18"/>
          <w:color w:val="auto"/>
        </w:rPr>
      </w:pPr>
    </w:p>
    <w:p>
      <w:pPr>
        <w:ind w:left="1620" w:right="20" w:hanging="532"/>
        <w:spacing w:after="0" w:line="286"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1620"/>
        <w:spacing w:after="0" w:line="287" w:lineRule="auto"/>
        <w:rPr>
          <w:rFonts w:ascii="Arial" w:cs="Arial" w:eastAsia="Arial" w:hAnsi="Arial"/>
          <w:sz w:val="16"/>
          <w:szCs w:val="16"/>
          <w:color w:val="auto"/>
        </w:rPr>
      </w:pPr>
      <w:r>
        <w:rPr>
          <w:rFonts w:ascii="Arial" w:cs="Arial" w:eastAsia="Arial" w:hAnsi="Arial"/>
          <w:sz w:val="16"/>
          <w:szCs w:val="16"/>
          <w:color w:val="auto"/>
        </w:rPr>
        <w:t>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280"/>
        <w:spacing w:after="0" w:line="268" w:lineRule="auto"/>
        <w:rPr>
          <w:sz w:val="20"/>
          <w:szCs w:val="20"/>
          <w:color w:val="auto"/>
        </w:rPr>
      </w:pPr>
      <w:r>
        <w:rPr>
          <w:rFonts w:ascii="Arial" w:cs="Arial" w:eastAsia="Arial" w:hAnsi="Arial"/>
          <w:sz w:val="18"/>
          <w:szCs w:val="18"/>
          <w:color w:val="auto"/>
        </w:rPr>
        <w:t>registration statement or prospectus that was part of the registration statement or made in any such document immediately prior to such effective date.</w:t>
      </w:r>
    </w:p>
    <w:p>
      <w:pPr>
        <w:spacing w:after="0" w:line="199" w:lineRule="exact"/>
        <w:rPr>
          <w:sz w:val="20"/>
          <w:szCs w:val="20"/>
          <w:color w:val="auto"/>
        </w:rPr>
      </w:pPr>
    </w:p>
    <w:p>
      <w:pPr>
        <w:ind w:left="1080" w:hanging="532"/>
        <w:spacing w:after="0" w:line="255"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620" w:hanging="532"/>
        <w:spacing w:after="0"/>
        <w:tabs>
          <w:tab w:leader="none" w:pos="162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61" w:lineRule="exact"/>
        <w:rPr>
          <w:rFonts w:ascii="Arial" w:cs="Arial" w:eastAsia="Arial" w:hAnsi="Arial"/>
          <w:sz w:val="16"/>
          <w:szCs w:val="16"/>
          <w:color w:val="auto"/>
        </w:rPr>
      </w:pPr>
    </w:p>
    <w:p>
      <w:pPr>
        <w:ind w:left="1620" w:right="360" w:hanging="532"/>
        <w:spacing w:after="0" w:line="268" w:lineRule="auto"/>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540" w:right="60" w:hanging="532"/>
        <w:spacing w:after="0" w:line="256"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540" w:right="80" w:hanging="532"/>
        <w:spacing w:after="0" w:line="290"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December 12, 2019.</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GP HOLDINGS, L.P.</w:t>
      </w:r>
    </w:p>
    <w:p>
      <w:pPr>
        <w:spacing w:after="0" w:line="258"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Willie Chiang</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ectPr>
          <w:pgSz w:w="11900" w:h="16838" w:orient="portrait"/>
          <w:cols w:equalWidth="0" w:num="1">
            <w:col w:w="11380"/>
          </w:cols>
          <w:pgMar w:left="240" w:top="131" w:right="279" w:bottom="1440" w:gutter="0" w:footer="0" w:header="0"/>
        </w:sectPr>
      </w:pP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PAA GP HOLDINGS LLC, for itself and as the general partner of PLAINS GP HOLDINGS, L.P.</w:t>
      </w:r>
    </w:p>
    <w:p>
      <w:pPr>
        <w:spacing w:after="0" w:line="221" w:lineRule="exact"/>
        <w:rPr>
          <w:sz w:val="20"/>
          <w:szCs w:val="20"/>
          <w:color w:val="auto"/>
        </w:rPr>
      </w:pPr>
    </w:p>
    <w:p>
      <w:pPr>
        <w:ind w:left="2660"/>
        <w:spacing w:after="0"/>
        <w:tabs>
          <w:tab w:leader="none" w:pos="62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400" w:type="dxa"/>
            <w:vAlign w:val="bottom"/>
          </w:tcPr>
          <w:p>
            <w:pPr>
              <w:jc w:val="center"/>
              <w:spacing w:after="0"/>
              <w:rPr>
                <w:sz w:val="20"/>
                <w:szCs w:val="20"/>
                <w:color w:val="auto"/>
              </w:rPr>
            </w:pPr>
            <w:r>
              <w:rPr>
                <w:rFonts w:ascii="Arial" w:cs="Arial" w:eastAsia="Arial" w:hAnsi="Arial"/>
                <w:sz w:val="18"/>
                <w:szCs w:val="18"/>
                <w:color w:val="auto"/>
                <w:w w:val="97"/>
              </w:rPr>
              <w:t>/s/ WILLIE CHIANG</w:t>
            </w:r>
          </w:p>
        </w:tc>
        <w:tc>
          <w:tcPr>
            <w:tcW w:w="3520" w:type="dxa"/>
            <w:vAlign w:val="bottom"/>
            <w:vMerge w:val="restart"/>
          </w:tcPr>
          <w:p>
            <w:pPr>
              <w:ind w:left="160"/>
              <w:spacing w:after="0"/>
              <w:rPr>
                <w:sz w:val="20"/>
                <w:szCs w:val="20"/>
                <w:color w:val="auto"/>
              </w:rPr>
            </w:pPr>
            <w:r>
              <w:rPr>
                <w:rFonts w:ascii="Arial" w:cs="Arial" w:eastAsia="Arial" w:hAnsi="Arial"/>
                <w:sz w:val="18"/>
                <w:szCs w:val="18"/>
                <w:color w:val="auto"/>
                <w:w w:val="91"/>
              </w:rPr>
              <w:t>Chief Executive Officer and Director (Principal</w:t>
            </w:r>
          </w:p>
        </w:tc>
        <w:tc>
          <w:tcPr>
            <w:tcW w:w="0" w:type="dxa"/>
            <w:vAlign w:val="bottom"/>
          </w:tcPr>
          <w:p>
            <w:pPr>
              <w:spacing w:after="0"/>
              <w:rPr>
                <w:sz w:val="1"/>
                <w:szCs w:val="1"/>
                <w:color w:val="auto"/>
              </w:rPr>
            </w:pPr>
          </w:p>
        </w:tc>
      </w:tr>
      <w:tr>
        <w:trPr>
          <w:trHeight w:val="95"/>
        </w:trPr>
        <w:tc>
          <w:tcPr>
            <w:tcW w:w="3400" w:type="dxa"/>
            <w:vAlign w:val="bottom"/>
            <w:tcBorders>
              <w:bottom w:val="single" w:sz="8" w:color="auto"/>
            </w:tcBorders>
          </w:tcPr>
          <w:p>
            <w:pPr>
              <w:spacing w:after="0"/>
              <w:rPr>
                <w:sz w:val="8"/>
                <w:szCs w:val="8"/>
                <w:color w:val="auto"/>
              </w:rPr>
            </w:pPr>
          </w:p>
        </w:tc>
        <w:tc>
          <w:tcPr>
            <w:tcW w:w="3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3"/>
              </w:rPr>
              <w:t>Willie Chiang</w:t>
            </w:r>
          </w:p>
        </w:tc>
        <w:tc>
          <w:tcPr>
            <w:tcW w:w="3520" w:type="dxa"/>
            <w:vAlign w:val="bottom"/>
          </w:tcPr>
          <w:p>
            <w:pPr>
              <w:ind w:left="160"/>
              <w:spacing w:after="0" w:line="202" w:lineRule="exact"/>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8"/>
        </w:trPr>
        <w:tc>
          <w:tcPr>
            <w:tcW w:w="340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340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520" w:type="dxa"/>
            <w:vAlign w:val="bottom"/>
            <w:vMerge w:val="restart"/>
          </w:tcPr>
          <w:p>
            <w:pPr>
              <w:ind w:left="160"/>
              <w:spacing w:after="0"/>
              <w:rPr>
                <w:sz w:val="20"/>
                <w:szCs w:val="20"/>
                <w:color w:val="auto"/>
              </w:rPr>
            </w:pPr>
            <w:r>
              <w:rPr>
                <w:rFonts w:ascii="Arial" w:cs="Arial" w:eastAsia="Arial" w:hAnsi="Arial"/>
                <w:sz w:val="18"/>
                <w:szCs w:val="18"/>
                <w:color w:val="auto"/>
              </w:rPr>
              <w:t>President, Chief Commercial Officer and</w:t>
            </w:r>
          </w:p>
        </w:tc>
        <w:tc>
          <w:tcPr>
            <w:tcW w:w="0" w:type="dxa"/>
            <w:vAlign w:val="bottom"/>
          </w:tcPr>
          <w:p>
            <w:pPr>
              <w:spacing w:after="0"/>
              <w:rPr>
                <w:sz w:val="1"/>
                <w:szCs w:val="1"/>
                <w:color w:val="auto"/>
              </w:rPr>
            </w:pPr>
          </w:p>
        </w:tc>
      </w:tr>
      <w:tr>
        <w:trPr>
          <w:trHeight w:val="95"/>
        </w:trPr>
        <w:tc>
          <w:tcPr>
            <w:tcW w:w="3400" w:type="dxa"/>
            <w:vAlign w:val="bottom"/>
            <w:tcBorders>
              <w:bottom w:val="single" w:sz="8" w:color="auto"/>
            </w:tcBorders>
          </w:tcPr>
          <w:p>
            <w:pPr>
              <w:spacing w:after="0"/>
              <w:rPr>
                <w:sz w:val="8"/>
                <w:szCs w:val="8"/>
                <w:color w:val="auto"/>
              </w:rPr>
            </w:pPr>
          </w:p>
        </w:tc>
        <w:tc>
          <w:tcPr>
            <w:tcW w:w="3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9"/>
              </w:rPr>
              <w:t>Harry N. Pefanis</w:t>
            </w:r>
          </w:p>
        </w:tc>
        <w:tc>
          <w:tcPr>
            <w:tcW w:w="3520" w:type="dxa"/>
            <w:vAlign w:val="bottom"/>
          </w:tcPr>
          <w:p>
            <w:pPr>
              <w:ind w:left="1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340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340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520" w:type="dxa"/>
            <w:vAlign w:val="bottom"/>
            <w:vMerge w:val="restart"/>
          </w:tcPr>
          <w:p>
            <w:pPr>
              <w:ind w:left="160"/>
              <w:spacing w:after="0"/>
              <w:rPr>
                <w:sz w:val="20"/>
                <w:szCs w:val="20"/>
                <w:color w:val="auto"/>
              </w:rPr>
            </w:pPr>
            <w:r>
              <w:rPr>
                <w:rFonts w:ascii="Arial" w:cs="Arial" w:eastAsia="Arial" w:hAnsi="Arial"/>
                <w:sz w:val="18"/>
                <w:szCs w:val="18"/>
                <w:color w:val="auto"/>
                <w:w w:val="93"/>
              </w:rPr>
              <w:t>Executive Vice President and Chief Financial</w:t>
            </w:r>
          </w:p>
        </w:tc>
        <w:tc>
          <w:tcPr>
            <w:tcW w:w="0" w:type="dxa"/>
            <w:vAlign w:val="bottom"/>
          </w:tcPr>
          <w:p>
            <w:pPr>
              <w:spacing w:after="0"/>
              <w:rPr>
                <w:sz w:val="1"/>
                <w:szCs w:val="1"/>
                <w:color w:val="auto"/>
              </w:rPr>
            </w:pPr>
          </w:p>
        </w:tc>
      </w:tr>
      <w:tr>
        <w:trPr>
          <w:trHeight w:val="95"/>
        </w:trPr>
        <w:tc>
          <w:tcPr>
            <w:tcW w:w="3400" w:type="dxa"/>
            <w:vAlign w:val="bottom"/>
            <w:tcBorders>
              <w:bottom w:val="single" w:sz="8" w:color="auto"/>
            </w:tcBorders>
          </w:tcPr>
          <w:p>
            <w:pPr>
              <w:spacing w:after="0"/>
              <w:rPr>
                <w:sz w:val="8"/>
                <w:szCs w:val="8"/>
                <w:color w:val="auto"/>
              </w:rPr>
            </w:pPr>
          </w:p>
        </w:tc>
        <w:tc>
          <w:tcPr>
            <w:tcW w:w="3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520" w:type="dxa"/>
            <w:vAlign w:val="bottom"/>
          </w:tcPr>
          <w:p>
            <w:pPr>
              <w:ind w:left="160"/>
              <w:spacing w:after="0" w:line="202" w:lineRule="exact"/>
              <w:rPr>
                <w:sz w:val="20"/>
                <w:szCs w:val="20"/>
                <w:color w:val="auto"/>
              </w:rPr>
            </w:pPr>
            <w:r>
              <w:rPr>
                <w:rFonts w:ascii="Arial" w:cs="Arial" w:eastAsia="Arial" w:hAnsi="Arial"/>
                <w:sz w:val="18"/>
                <w:szCs w:val="18"/>
                <w:color w:val="auto"/>
              </w:rPr>
              <w:t>Officer (Principal Financial Officer)</w:t>
            </w:r>
          </w:p>
        </w:tc>
        <w:tc>
          <w:tcPr>
            <w:tcW w:w="0" w:type="dxa"/>
            <w:vAlign w:val="bottom"/>
          </w:tcPr>
          <w:p>
            <w:pPr>
              <w:spacing w:after="0"/>
              <w:rPr>
                <w:sz w:val="1"/>
                <w:szCs w:val="1"/>
                <w:color w:val="auto"/>
              </w:rPr>
            </w:pPr>
          </w:p>
        </w:tc>
      </w:tr>
      <w:tr>
        <w:trPr>
          <w:trHeight w:val="88"/>
        </w:trPr>
        <w:tc>
          <w:tcPr>
            <w:tcW w:w="340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56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ectPr>
          <w:pgSz w:w="11900" w:h="16838" w:orient="portrait"/>
          <w:cols w:equalWidth="0" w:num="2">
            <w:col w:w="8080" w:space="520"/>
            <w:col w:w="2780"/>
          </w:cols>
          <w:pgMar w:left="240" w:top="131" w:right="27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60"/>
        <w:spacing w:after="0"/>
        <w:rPr>
          <w:sz w:val="20"/>
          <w:szCs w:val="20"/>
          <w:color w:val="auto"/>
        </w:rPr>
      </w:pPr>
      <w:r>
        <w:rPr>
          <w:rFonts w:ascii="Arial" w:cs="Arial" w:eastAsia="Arial" w:hAnsi="Arial"/>
          <w:sz w:val="14"/>
          <w:szCs w:val="14"/>
          <w:b w:val="1"/>
          <w:bCs w:val="1"/>
          <w:u w:val="single" w:color="auto"/>
          <w:color w:val="auto"/>
        </w:rPr>
        <w:t>Name</w:t>
      </w:r>
    </w:p>
    <w:p>
      <w:pPr>
        <w:spacing w:after="0" w:line="200" w:lineRule="exact"/>
        <w:rPr>
          <w:sz w:val="20"/>
          <w:szCs w:val="20"/>
          <w:color w:val="auto"/>
        </w:rPr>
      </w:pPr>
    </w:p>
    <w:p>
      <w:pPr>
        <w:spacing w:after="0" w:line="265"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Chris Herbold</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Greg L. Armstrong</w:t>
      </w:r>
    </w:p>
    <w:p>
      <w:pPr>
        <w:spacing w:after="0" w:line="25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Victor Burk</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EVERARDO GOYANES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Everardo Goyanes</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Gary R. Petersen</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Alexandra D. Pruner</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John T. Raymond</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Bobby S. Shackouls</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Robert V. Sinnott</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J. TAFT SYMONDS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J. Taft Symonds</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160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Christopher M. Temple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76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3500" w:type="dxa"/>
            <w:vAlign w:val="bottom"/>
            <w:gridSpan w:val="3"/>
          </w:tcPr>
          <w:p>
            <w:pPr>
              <w:spacing w:after="0"/>
              <w:rPr>
                <w:sz w:val="20"/>
                <w:szCs w:val="20"/>
                <w:color w:val="auto"/>
              </w:rPr>
            </w:pPr>
            <w:r>
              <w:rPr>
                <w:rFonts w:ascii="Arial" w:cs="Arial" w:eastAsia="Arial" w:hAnsi="Arial"/>
                <w:sz w:val="18"/>
                <w:szCs w:val="18"/>
                <w:color w:val="auto"/>
                <w:w w:val="99"/>
              </w:rPr>
              <w:t>Senior Vice President and Chief Accounting</w:t>
            </w:r>
          </w:p>
        </w:tc>
        <w:tc>
          <w:tcPr>
            <w:tcW w:w="1760" w:type="dxa"/>
            <w:vAlign w:val="bottom"/>
            <w:gridSpan w:val="3"/>
            <w:vMerge w:val="restart"/>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114"/>
        </w:trPr>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Officer (Principal Accounting Officer)</w:t>
            </w:r>
          </w:p>
        </w:tc>
        <w:tc>
          <w:tcPr>
            <w:tcW w:w="17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0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350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864"/>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864"/>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864"/>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864"/>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864"/>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864"/>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864"/>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864"/>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864"/>
        </w:trPr>
        <w:tc>
          <w:tcPr>
            <w:tcW w:w="3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294"/>
              <w:spacing w:after="0"/>
              <w:rPr>
                <w:sz w:val="20"/>
                <w:szCs w:val="20"/>
                <w:color w:val="auto"/>
              </w:rPr>
            </w:pPr>
            <w:r>
              <w:rPr>
                <w:rFonts w:ascii="Arial" w:cs="Arial" w:eastAsia="Arial" w:hAnsi="Arial"/>
                <w:sz w:val="18"/>
                <w:szCs w:val="18"/>
                <w:color w:val="auto"/>
                <w:w w:val="87"/>
              </w:rPr>
              <w:t>December 12, 2019</w:t>
            </w:r>
          </w:p>
        </w:tc>
        <w:tc>
          <w:tcPr>
            <w:tcW w:w="0" w:type="dxa"/>
            <w:vAlign w:val="bottom"/>
          </w:tcPr>
          <w:p>
            <w:pPr>
              <w:spacing w:after="0"/>
              <w:rPr>
                <w:sz w:val="1"/>
                <w:szCs w:val="1"/>
                <w:color w:val="auto"/>
              </w:rPr>
            </w:pPr>
          </w:p>
        </w:tc>
      </w:tr>
      <w:tr>
        <w:trPr>
          <w:trHeight w:val="635"/>
        </w:trPr>
        <w:tc>
          <w:tcPr>
            <w:tcW w:w="3500" w:type="dxa"/>
            <w:vAlign w:val="bottom"/>
            <w:gridSpan w:val="3"/>
          </w:tcPr>
          <w:p>
            <w:pPr>
              <w:ind w:left="860"/>
              <w:spacing w:after="0"/>
              <w:rPr>
                <w:sz w:val="20"/>
                <w:szCs w:val="20"/>
                <w:color w:val="auto"/>
              </w:rPr>
            </w:pPr>
            <w:r>
              <w:rPr>
                <w:rFonts w:ascii="Arial" w:cs="Arial" w:eastAsia="Arial" w:hAnsi="Arial"/>
                <w:sz w:val="18"/>
                <w:szCs w:val="18"/>
                <w:color w:val="auto"/>
              </w:rPr>
              <w:t>II-6</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136525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20" w:space="700"/>
            <w:col w:w="5499"/>
          </w:cols>
          <w:pgMar w:left="240" w:top="131" w:right="1440"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rFonts w:ascii="Arial" w:cs="Arial" w:eastAsia="Arial" w:hAnsi="Arial"/>
          <w:sz w:val="22"/>
          <w:szCs w:val="22"/>
          <w:color w:val="0000EE"/>
        </w:rPr>
      </w:pPr>
      <w:hyperlink w:anchor="page3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acted as counsel to Plains GP Holdings,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in connection with the preparation and filing of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or about the date hereof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in connection with the registration by the Partnership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the offer and sale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from time to time, pursuant to Rule 415 under the Securities Act, of Class A shares representing limited partner interests in the Partnership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260"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the basis for the opinion hereinafter expressed, we examined the Delaware Revised Uniform Limited Partnership Act (the "</w:t>
      </w:r>
      <w:r>
        <w:rPr>
          <w:rFonts w:ascii="Arial" w:cs="Arial" w:eastAsia="Arial" w:hAnsi="Arial"/>
          <w:sz w:val="16"/>
          <w:szCs w:val="16"/>
          <w:b w:val="1"/>
          <w:bCs w:val="1"/>
          <w:i w:val="1"/>
          <w:iCs w:val="1"/>
          <w:color w:val="auto"/>
        </w:rPr>
        <w:t>Delaware LP Act</w:t>
      </w:r>
      <w:r>
        <w:rPr>
          <w:rFonts w:ascii="Arial" w:cs="Arial" w:eastAsia="Arial" w:hAnsi="Arial"/>
          <w:sz w:val="16"/>
          <w:szCs w:val="16"/>
          <w:color w:val="auto"/>
        </w:rPr>
        <w:t>"), the Second Amended and Restated Agreement of Limited Partnership of the Partnership, the Certificate of Limited Partnership filed with the Secretary of State of the State of Delaware, resolutions of PAA GP Holdings LLC, a Delaware limited liability company and the general partner of the Partnership, the Partnership's records and documents, certificates of the Partnership and public officials and such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and by individuals with legal capacity to execute such document; (iv) each certificate from governmental officials reviewed by us is accurate, complete and authentic, and all official public records are accurate and complete; (v) the Registration Statement, and any amendments thereto (including post-effective amendments), will have become effective; (vi) a prospectus supplement will have been prepared and filed with the Commission describing the Shares offered thereby; (vii) a definitive purchase, underwriting or similar agreement with respect to any Shares offered will have been duly authorized and validly executed and delivered by the Partnership and the other parties thereto; and (viii) all Shares will be issued and sold in compliance with applicable federal and state securities laws and in the manner stated in the Registration Statement and the appropriate prospectus supplement.</w:t>
      </w:r>
    </w:p>
    <w:p>
      <w:pPr>
        <w:spacing w:after="0" w:line="175"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Based upon and subject to the foregoing, we are of the opinion that the Shares, when (i) the Partnership has taken all necessary action to approve the issuance of such Shares, the terms of the offering thereof and related matters; and (ii) the Shares have been issued and delivered in accordance with the terms of the applicable definitive purchase, underwriting or similar agreement approved by the Partnership upon payment of the consideration thereof or provided for therein, will be duly authorized, validly issued, fully paid (to the extent required under the Second Amended and Restated Agreement of Limited Partnership of the Partnership) and non-assessable (except as such nonassessability may be affected by Sections 17-303, 17-607 or 17-804 of the Delaware LP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915670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283210</wp:posOffset>
            </wp:positionV>
            <wp:extent cx="5634355" cy="497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5634355" cy="49720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0" w:name="page31"/>
    <w:bookmarkEnd w:id="30"/>
    <w:p>
      <w:pPr>
        <w:ind w:firstLine="341"/>
        <w:spacing w:after="0" w:line="332" w:lineRule="auto"/>
        <w:rPr>
          <w:sz w:val="20"/>
          <w:szCs w:val="20"/>
          <w:color w:val="auto"/>
        </w:rPr>
      </w:pPr>
      <w:r>
        <w:rPr>
          <w:rFonts w:ascii="Arial" w:cs="Arial" w:eastAsia="Arial" w:hAnsi="Arial"/>
          <w:sz w:val="16"/>
          <w:szCs w:val="16"/>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39"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139"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32" w:name="page33"/>
    <w:bookmarkEnd w:id="32"/>
    <w:p>
      <w:pPr>
        <w:spacing w:after="0"/>
        <w:rPr>
          <w:rFonts w:ascii="Arial" w:cs="Arial" w:eastAsia="Arial" w:hAnsi="Arial"/>
          <w:sz w:val="22"/>
          <w:szCs w:val="22"/>
          <w:color w:val="0000EE"/>
        </w:rPr>
      </w:pPr>
      <w:hyperlink w:anchor="page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firstLine="348"/>
        <w:spacing w:after="0" w:line="323" w:lineRule="auto"/>
        <w:rPr>
          <w:sz w:val="20"/>
          <w:szCs w:val="20"/>
          <w:color w:val="auto"/>
        </w:rPr>
      </w:pPr>
      <w:r>
        <w:rPr>
          <w:rFonts w:ascii="Arial" w:cs="Arial" w:eastAsia="Arial" w:hAnsi="Arial"/>
          <w:sz w:val="15"/>
          <w:szCs w:val="15"/>
          <w:color w:val="auto"/>
        </w:rPr>
        <w:t>We have acted as counsel for Plains GP Holdings, L.P. ("</w:t>
      </w:r>
      <w:r>
        <w:rPr>
          <w:rFonts w:ascii="Arial" w:cs="Arial" w:eastAsia="Arial" w:hAnsi="Arial"/>
          <w:sz w:val="15"/>
          <w:szCs w:val="15"/>
          <w:b w:val="1"/>
          <w:bCs w:val="1"/>
          <w:i w:val="1"/>
          <w:iCs w:val="1"/>
          <w:color w:val="auto"/>
        </w:rPr>
        <w:t>PAGP</w:t>
      </w:r>
      <w:r>
        <w:rPr>
          <w:rFonts w:ascii="Arial" w:cs="Arial" w:eastAsia="Arial" w:hAnsi="Arial"/>
          <w:sz w:val="15"/>
          <w:szCs w:val="15"/>
          <w:color w:val="auto"/>
        </w:rPr>
        <w:t xml:space="preserve">"), a Delaware limited partnership that has elected to be treated as a corporation for U.S. federal income tax purposes, with respect to certain legal matters in connection with the preparation of a Prospectus dated on or about the date hereof, forming part of the Registration Statement on Form S-3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to which this opinion is an exhibit. The Registration Statement relates to the registration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Class A shares representing limited partner interests in PAGP.</w:t>
      </w:r>
    </w:p>
    <w:p>
      <w:pPr>
        <w:spacing w:after="0" w:line="152" w:lineRule="exact"/>
        <w:rPr>
          <w:sz w:val="20"/>
          <w:szCs w:val="20"/>
          <w:color w:val="auto"/>
        </w:rPr>
      </w:pPr>
    </w:p>
    <w:p>
      <w:pPr>
        <w:ind w:right="360" w:firstLine="348"/>
        <w:spacing w:after="0" w:line="256" w:lineRule="auto"/>
        <w:rPr>
          <w:sz w:val="20"/>
          <w:szCs w:val="20"/>
          <w:color w:val="auto"/>
        </w:rPr>
      </w:pPr>
      <w:r>
        <w:rPr>
          <w:rFonts w:ascii="Arial" w:cs="Arial" w:eastAsia="Arial" w:hAnsi="Arial"/>
          <w:sz w:val="18"/>
          <w:szCs w:val="18"/>
          <w:color w:val="auto"/>
        </w:rPr>
        <w:t xml:space="preserve">This opinion is based on various facts and assumptions, and is conditioned upon certain representations made by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a Delaware limited partnership, as to factual matters through a certificate of an officer of the Partnership (the "</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this opinion is based upon the factual representations of PAGP concerning its business, properties and governing documents as set forth in the Registration Statement.</w:t>
      </w:r>
    </w:p>
    <w:p>
      <w:pPr>
        <w:spacing w:after="0" w:line="19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941070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308610</wp:posOffset>
            </wp:positionV>
            <wp:extent cx="5634355" cy="497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5634355" cy="49720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other jurisdiction or as to any matters of municipal law or the laws of any other local agencies within any state.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70"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35" w:name="page36"/>
    <w:bookmarkEnd w:id="35"/>
    <w:p>
      <w:pPr>
        <w:spacing w:after="0"/>
        <w:rPr>
          <w:rFonts w:ascii="Arial" w:cs="Arial" w:eastAsia="Arial" w:hAnsi="Arial"/>
          <w:sz w:val="22"/>
          <w:szCs w:val="22"/>
          <w:color w:val="0000EE"/>
        </w:rPr>
      </w:pPr>
      <w:hyperlink w:anchor="page3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We hereby consent to the incorporation by reference in this Registration Statement on Form S-3 of Plains GP Holdings, L.P. of our report dated February 26, 2019 relating to the financial statements, and the effectiveness of internal control over financial reporting, which appears in Plains GP Holdings, L.P.'s Annual Report on Form 10-K for the year ended December 31, 2018. We also consent to the reference to us under the heading "Experts" in such Registration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
    <w:nsid w:val="519B500D"/>
    <w:multiLevelType w:val="hybridMultilevel"/>
    <w:lvl w:ilvl="0">
      <w:lvlJc w:val="left"/>
      <w:lvlText w:val="(%1)"/>
      <w:numFmt w:val="lowerRoman"/>
      <w:start w:val="2"/>
    </w:lvl>
  </w:abstractNum>
  <w:abstractNum w:abstractNumId="16">
    <w:nsid w:val="431BD7B7"/>
    <w:multiLevelType w:val="hybridMultilevel"/>
    <w:lvl w:ilvl="0">
      <w:lvlJc w:val="left"/>
      <w:lvlText w:val="(%1)"/>
      <w:numFmt w:val="lowerLetter"/>
      <w:start w:val="2"/>
    </w:lvl>
    <w:lvl w:ilvl="1">
      <w:lvlJc w:val="left"/>
      <w:lvlText w:val="(%2)"/>
      <w:numFmt w:val="lowerRoman"/>
      <w:start w:val="1"/>
    </w:lvl>
  </w:abstractNum>
  <w:abstractNum w:abstractNumId="17">
    <w:nsid w:val="3F2DBA3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8">
    <w:nsid w:val="7C83E45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jpeg"/><Relationship Id="rId71" Type="http://schemas.openxmlformats.org/officeDocument/2006/relationships/image" Target="media/image49.png"/><Relationship Id="rId72" Type="http://schemas.openxmlformats.org/officeDocument/2006/relationships/image" Target="media/image50.jpeg"/><Relationship Id="rId73" Type="http://schemas.openxmlformats.org/officeDocument/2006/relationships/image" Target="media/image51.png"/><Relationship Id="rId74" Type="http://schemas.openxmlformats.org/officeDocument/2006/relationships/image" Target="media/image52.jpeg"/><Relationship Id="rId75" Type="http://schemas.openxmlformats.org/officeDocument/2006/relationships/image" Target="media/image53.png"/><Relationship Id="rId76" Type="http://schemas.openxmlformats.org/officeDocument/2006/relationships/image" Target="media/image54.jpeg"/><Relationship Id="rId77" Type="http://schemas.openxmlformats.org/officeDocument/2006/relationships/image" Target="media/image55.png"/><Relationship Id="rId78" Type="http://schemas.openxmlformats.org/officeDocument/2006/relationships/image" Target="media/image56.png"/><Relationship Id="rId17" Type="http://schemas.openxmlformats.org/officeDocument/2006/relationships/hyperlink" Target="http://www.sec.gov/Archives/edgar/data/1581990/000158199019000004/pagp201810-k.htm" TargetMode="External"/><Relationship Id="rId18" Type="http://schemas.openxmlformats.org/officeDocument/2006/relationships/hyperlink" Target="http://www.sec.gov/Archives/edgar/data/1581990/000158199019000007/pagpq1201910-q.htm" TargetMode="External"/><Relationship Id="rId19" Type="http://schemas.openxmlformats.org/officeDocument/2006/relationships/hyperlink" Target="http://www.sec.gov/Archives/edgar/data/1581990/000158199019000010/0001581990-19-000010-index.htm" TargetMode="External"/><Relationship Id="rId20" Type="http://schemas.openxmlformats.org/officeDocument/2006/relationships/hyperlink" Target="http://www.sec.gov/Archives/edgar/data/1581990/000158199019000013/0001581990-19-000013-index.htm" TargetMode="External"/><Relationship Id="rId21" Type="http://schemas.openxmlformats.org/officeDocument/2006/relationships/hyperlink" Target="http://www.sec.gov/Archives/edgar/data/1581990/000141057819001184/0001410578-19-001184-index.htm" TargetMode="External"/><Relationship Id="rId22" Type="http://schemas.openxmlformats.org/officeDocument/2006/relationships/hyperlink" Target="http://www.sec.gov/Archives/edgar/data/1581990/000141057819001284/0001410578-19-001284-index.htm" TargetMode="External"/><Relationship Id="rId23" Type="http://schemas.openxmlformats.org/officeDocument/2006/relationships/hyperlink" Target="http://www.sec.gov/Archives/edgar/data/1581990/000141057819001371/0001410578-19-001371-index.htm" TargetMode="External"/><Relationship Id="rId24" Type="http://schemas.openxmlformats.org/officeDocument/2006/relationships/hyperlink" Target="http://www.sec.gov/Archives/edgar/data/1581990/000110465919067784/0001104659-19-067784-index.htm" TargetMode="External"/><Relationship Id="rId25" Type="http://schemas.openxmlformats.org/officeDocument/2006/relationships/hyperlink" Target="http://www.sec.gov/Archives/edgar/data/1581990/000110465916157336/a16-21686_18a12ba.htm" TargetMode="External"/><Relationship Id="rId46" Type="http://schemas.openxmlformats.org/officeDocument/2006/relationships/hyperlink" Target="http://www.sec.gov/Archives/edgar/data/1581990/000110465916158356/a16-21845_1ex3d1.htm" TargetMode="External"/><Relationship Id="rId47" Type="http://schemas.openxmlformats.org/officeDocument/2006/relationships/hyperlink" Target="http://www.sec.gov/Archives/edgar/data/1581990/000110465917010602/a17-6893_1ex3d1.htm" TargetMode="External"/><Relationship Id="rId48" Type="http://schemas.openxmlformats.org/officeDocument/2006/relationships/hyperlink" Target="http://www.sec.gov/Archives/edgar/data/1581990/000110465918052852/a18-18386_2ex3d1.htm" TargetMode="External"/><Relationship Id="rId49" Type="http://schemas.openxmlformats.org/officeDocument/2006/relationships/hyperlink" Target="http://www.sec.gov/Archives/edgar/data/1581990/000110465918072385/a18-41342_1ex3d1.htm" TargetMode="External"/><Relationship Id="rId50" Type="http://schemas.openxmlformats.org/officeDocument/2006/relationships/hyperlink" Target="http://www.sec.gov/Archives/edgar/data/1581990/000110465919067784/tm1923980d1_ex3-1.htm" TargetMode="External"/><Relationship Id="rId51" Type="http://schemas.openxmlformats.org/officeDocument/2006/relationships/hyperlink" Target="http://www.sec.gov/Archives/edgar/data/1581990/000104746916017094/a2230457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2019-12-13T05:05:45Z</dcterms:created>
  <dcterms:modified xsi:type="dcterms:W3CDTF">2019-12-13T05:05:45Z</dcterms:modified>
</cp:coreProperties>
</file>