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13G</w:t>
      </w:r>
    </w:p>
    <w:p>
      <w:pPr>
        <w:spacing w:after="0" w:line="152"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52"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Amendment No. 3*</w:t>
      </w:r>
    </w:p>
    <w:p>
      <w:pPr>
        <w:spacing w:after="0" w:line="152" w:lineRule="exact"/>
        <w:rPr>
          <w:sz w:val="24"/>
          <w:szCs w:val="24"/>
          <w:color w:val="auto"/>
        </w:rPr>
      </w:pPr>
    </w:p>
    <w:p>
      <w:pPr>
        <w:ind w:left="4580"/>
        <w:spacing w:after="0"/>
        <w:rPr>
          <w:sz w:val="20"/>
          <w:szCs w:val="20"/>
          <w:color w:val="auto"/>
        </w:rPr>
      </w:pPr>
      <w:r>
        <w:rPr>
          <w:rFonts w:ascii="Arial" w:cs="Arial" w:eastAsia="Arial" w:hAnsi="Arial"/>
          <w:sz w:val="22"/>
          <w:szCs w:val="22"/>
          <w:b w:val="1"/>
          <w:bCs w:val="1"/>
          <w:color w:val="auto"/>
        </w:rPr>
        <w:t>Plains GP Holdings, L.P.</w:t>
      </w:r>
    </w:p>
    <w:p>
      <w:pPr>
        <w:spacing w:after="0" w:line="1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28"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28" w:lineRule="exact"/>
        <w:rPr>
          <w:sz w:val="24"/>
          <w:szCs w:val="24"/>
          <w:color w:val="auto"/>
        </w:rPr>
      </w:pPr>
    </w:p>
    <w:p>
      <w:pPr>
        <w:ind w:left="5200"/>
        <w:spacing w:after="0"/>
        <w:rPr>
          <w:sz w:val="20"/>
          <w:szCs w:val="20"/>
          <w:color w:val="auto"/>
        </w:rPr>
      </w:pPr>
      <w:r>
        <w:rPr>
          <w:rFonts w:ascii="Arial" w:cs="Arial" w:eastAsia="Arial" w:hAnsi="Arial"/>
          <w:sz w:val="22"/>
          <w:szCs w:val="22"/>
          <w:b w:val="1"/>
          <w:bCs w:val="1"/>
          <w:color w:val="auto"/>
        </w:rPr>
        <w:t>72651A108</w:t>
      </w:r>
    </w:p>
    <w:p>
      <w:pPr>
        <w:spacing w:after="0" w:line="14"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128"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December 31, 2015</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(Date of Event Which Requires Filing of this Statement)</w:t>
      </w:r>
    </w:p>
    <w:p>
      <w:pPr>
        <w:spacing w:after="0" w:line="29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 to designate the rule pursuant to which this Schedule is filed:</w:t>
      </w:r>
    </w:p>
    <w:p>
      <w:pPr>
        <w:spacing w:after="0" w:line="152" w:lineRule="exact"/>
        <w:rPr>
          <w:sz w:val="24"/>
          <w:szCs w:val="24"/>
          <w:color w:val="auto"/>
        </w:rPr>
      </w:pPr>
    </w:p>
    <w:p>
      <w:pPr>
        <w:jc w:val="both"/>
        <w:ind w:left="4960" w:right="4840" w:hanging="56"/>
        <w:spacing w:after="0" w:line="301" w:lineRule="auto"/>
        <w:tabs>
          <w:tab w:leader="none" w:pos="5263" w:val="left"/>
        </w:tabs>
        <w:numPr>
          <w:ilvl w:val="1"/>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Rule 13d-1(b) [ ] Rule 13d-1(c) [ ] Rule 13d-1(d)</w:t>
      </w:r>
    </w:p>
    <w:p>
      <w:pPr>
        <w:spacing w:after="0" w:line="7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4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2520" w:type="dxa"/>
            <w:vAlign w:val="bottom"/>
          </w:tcPr>
          <w:p>
            <w:pPr>
              <w:spacing w:after="0"/>
              <w:rPr>
                <w:sz w:val="20"/>
                <w:szCs w:val="20"/>
                <w:color w:val="auto"/>
              </w:rPr>
            </w:pPr>
            <w:r>
              <w:rPr>
                <w:rFonts w:ascii="Arial" w:cs="Arial" w:eastAsia="Arial" w:hAnsi="Arial"/>
                <w:sz w:val="22"/>
                <w:szCs w:val="22"/>
                <w:color w:val="auto"/>
              </w:rPr>
              <w:t>CUSIP No. 72651A108</w:t>
            </w:r>
          </w:p>
        </w:tc>
        <w:tc>
          <w:tcPr>
            <w:tcW w:w="820" w:type="dxa"/>
            <w:vAlign w:val="bottom"/>
          </w:tcPr>
          <w:p>
            <w:pPr>
              <w:ind w:left="460"/>
              <w:spacing w:after="0"/>
              <w:rPr>
                <w:sz w:val="20"/>
                <w:szCs w:val="20"/>
                <w:color w:val="auto"/>
              </w:rPr>
            </w:pPr>
            <w:r>
              <w:rPr>
                <w:rFonts w:ascii="Arial" w:cs="Arial" w:eastAsia="Arial" w:hAnsi="Arial"/>
                <w:sz w:val="22"/>
                <w:szCs w:val="22"/>
                <w:color w:val="auto"/>
                <w:w w:val="81"/>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Ivy Investment Management Company Tax ID No. 03-0481447</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p>
    <w:p>
      <w:pPr>
        <w:spacing w:after="0" w:line="198" w:lineRule="exact"/>
        <w:rPr>
          <w:rFonts w:ascii="Arial" w:cs="Arial" w:eastAsia="Arial" w:hAnsi="Arial"/>
          <w:sz w:val="22"/>
          <w:szCs w:val="22"/>
          <w:b w:val="1"/>
          <w:bCs w:val="1"/>
          <w:color w:val="auto"/>
        </w:rPr>
      </w:pPr>
    </w:p>
    <w:p>
      <w:pPr>
        <w:ind w:left="1120" w:hanging="666"/>
        <w:spacing w:after="0"/>
        <w:tabs>
          <w:tab w:leader="none" w:pos="112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120" w:hanging="666"/>
        <w:spacing w:after="0"/>
        <w:tabs>
          <w:tab w:leader="none" w:pos="112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CITIZENSHIP OR PLACE OF ORGANIZATION:  </w:t>
      </w:r>
      <w:r>
        <w:rPr>
          <w:rFonts w:ascii="Arial" w:cs="Arial" w:eastAsia="Arial" w:hAnsi="Arial"/>
          <w:sz w:val="22"/>
          <w:szCs w:val="22"/>
          <w:color w:val="auto"/>
        </w:rPr>
        <w:t>Delaware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r>
        <w:rPr>
          <w:rFonts w:ascii="Arial" w:cs="Arial" w:eastAsia="Arial" w:hAnsi="Arial"/>
          <w:sz w:val="21"/>
          <w:szCs w:val="21"/>
          <w:color w:val="auto"/>
        </w:rPr>
        <w: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940" w:type="dxa"/>
            <w:vAlign w:val="bottom"/>
          </w:tcPr>
          <w:p>
            <w:pPr>
              <w:ind w:left="840"/>
              <w:spacing w:after="0"/>
              <w:rPr>
                <w:sz w:val="20"/>
                <w:szCs w:val="20"/>
                <w:color w:val="auto"/>
              </w:rPr>
            </w:pPr>
            <w:r>
              <w:rPr>
                <w:rFonts w:ascii="Arial" w:cs="Arial" w:eastAsia="Arial" w:hAnsi="Arial"/>
                <w:sz w:val="22"/>
                <w:szCs w:val="22"/>
                <w:color w:val="auto"/>
                <w:w w:val="87"/>
              </w:rPr>
              <w:t>12,799,738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94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940" w:type="dxa"/>
            <w:vAlign w:val="bottom"/>
          </w:tcPr>
          <w:p>
            <w:pPr>
              <w:ind w:left="840"/>
              <w:spacing w:after="0"/>
              <w:rPr>
                <w:sz w:val="20"/>
                <w:szCs w:val="20"/>
                <w:color w:val="auto"/>
              </w:rPr>
            </w:pPr>
            <w:r>
              <w:rPr>
                <w:rFonts w:ascii="Arial" w:cs="Arial" w:eastAsia="Arial" w:hAnsi="Arial"/>
                <w:sz w:val="22"/>
                <w:szCs w:val="22"/>
                <w:color w:val="auto"/>
                <w:w w:val="87"/>
              </w:rPr>
              <w:t>12,799,738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94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AGGREGATE AMOUNT BENEFICIALLY OWNED BY EACH REPORTING PERSON: </w:t>
      </w:r>
      <w:r>
        <w:rPr>
          <w:rFonts w:ascii="Arial" w:cs="Arial" w:eastAsia="Arial" w:hAnsi="Arial"/>
          <w:sz w:val="22"/>
          <w:szCs w:val="22"/>
          <w:color w:val="auto"/>
        </w:rPr>
        <w:t>12,799,738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CHECK IF THE AGGREGATE AMOUNT IN ROW 9 EXCLUDES CERTAIN SHARES: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PERCENT OF CLASS REPRESENTED BY AMOUNT IN ROW 9:  </w:t>
      </w:r>
      <w:r>
        <w:rPr>
          <w:rFonts w:ascii="Arial" w:cs="Arial" w:eastAsia="Arial" w:hAnsi="Arial"/>
          <w:sz w:val="22"/>
          <w:szCs w:val="22"/>
          <w:color w:val="auto"/>
        </w:rPr>
        <w:t>5.6</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TYPE OF PERSON REPORTING: </w:t>
      </w:r>
      <w:r>
        <w:rPr>
          <w:rFonts w:ascii="Arial" w:cs="Arial" w:eastAsia="Arial" w:hAnsi="Arial"/>
          <w:sz w:val="22"/>
          <w:szCs w:val="22"/>
          <w:color w:val="auto"/>
        </w:rPr>
        <w:t>IA</w:t>
      </w:r>
    </w:p>
    <w:p>
      <w:pPr>
        <w:sectPr>
          <w:pgSz w:w="11900" w:h="16838" w:orient="portrait"/>
          <w:cols w:equalWidth="0" w:num="1">
            <w:col w:w="10219"/>
          </w:cols>
          <w:pgMar w:left="240" w:top="26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520" w:type="dxa"/>
            <w:vAlign w:val="bottom"/>
          </w:tcPr>
          <w:p>
            <w:pPr>
              <w:spacing w:after="0"/>
              <w:rPr>
                <w:sz w:val="20"/>
                <w:szCs w:val="20"/>
                <w:color w:val="auto"/>
              </w:rPr>
            </w:pPr>
            <w:r>
              <w:rPr>
                <w:rFonts w:ascii="Arial" w:cs="Arial" w:eastAsia="Arial" w:hAnsi="Arial"/>
                <w:sz w:val="22"/>
                <w:szCs w:val="22"/>
                <w:color w:val="auto"/>
              </w:rPr>
              <w:t>CUSIP No. 72651A108</w:t>
            </w:r>
          </w:p>
        </w:tc>
        <w:tc>
          <w:tcPr>
            <w:tcW w:w="840" w:type="dxa"/>
            <w:vAlign w:val="bottom"/>
          </w:tcPr>
          <w:p>
            <w:pPr>
              <w:ind w:left="46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89" w:lineRule="auto"/>
        <w:tabs>
          <w:tab w:leader="none" w:pos="46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REPORTING PERSON </w:t>
      </w:r>
      <w:r>
        <w:rPr>
          <w:rFonts w:ascii="Arial" w:cs="Arial" w:eastAsia="Arial" w:hAnsi="Arial"/>
          <w:sz w:val="19"/>
          <w:szCs w:val="19"/>
          <w:color w:val="auto"/>
        </w:rPr>
        <w:t>(S.S. or I.R.S. Identification No. of Above Person)</w:t>
      </w:r>
      <w:r>
        <w:rPr>
          <w:rFonts w:ascii="Arial" w:cs="Arial" w:eastAsia="Arial" w:hAnsi="Arial"/>
          <w:sz w:val="19"/>
          <w:szCs w:val="19"/>
          <w:b w:val="1"/>
          <w:bCs w:val="1"/>
          <w:color w:val="auto"/>
        </w:rPr>
        <w:t xml:space="preserve"> </w:t>
      </w:r>
      <w:r>
        <w:rPr>
          <w:rFonts w:ascii="Arial" w:cs="Arial" w:eastAsia="Arial" w:hAnsi="Arial"/>
          <w:sz w:val="19"/>
          <w:szCs w:val="19"/>
          <w:color w:val="auto"/>
        </w:rPr>
        <w:t>Waddell &amp; Reed Investment Management Company Tax ID No. 48-1106973</w:t>
      </w:r>
    </w:p>
    <w:p>
      <w:pPr>
        <w:spacing w:after="0" w:line="1" w:lineRule="exact"/>
        <w:rPr>
          <w:rFonts w:ascii="Arial" w:cs="Arial" w:eastAsia="Arial" w:hAnsi="Arial"/>
          <w:sz w:val="19"/>
          <w:szCs w:val="19"/>
          <w:b w:val="1"/>
          <w:bCs w:val="1"/>
          <w:color w:val="auto"/>
        </w:rPr>
      </w:pPr>
    </w:p>
    <w:p>
      <w:pPr>
        <w:ind w:left="460" w:hanging="452"/>
        <w:spacing w:after="0"/>
        <w:tabs>
          <w:tab w:leader="none" w:pos="4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p>
    <w:p>
      <w:pPr>
        <w:spacing w:after="0" w:line="198" w:lineRule="exact"/>
        <w:rPr>
          <w:rFonts w:ascii="Arial" w:cs="Arial" w:eastAsia="Arial" w:hAnsi="Arial"/>
          <w:sz w:val="22"/>
          <w:szCs w:val="22"/>
          <w:b w:val="1"/>
          <w:bCs w:val="1"/>
          <w:color w:val="auto"/>
        </w:rPr>
      </w:pPr>
    </w:p>
    <w:p>
      <w:pPr>
        <w:ind w:left="1120" w:hanging="666"/>
        <w:spacing w:after="0"/>
        <w:tabs>
          <w:tab w:leader="none" w:pos="112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120" w:hanging="666"/>
        <w:spacing w:after="0"/>
        <w:tabs>
          <w:tab w:leader="none" w:pos="112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CITIZENSHIP OR PLACE OF ORGANIZATION: </w:t>
      </w:r>
      <w:r>
        <w:rPr>
          <w:rFonts w:ascii="Arial" w:cs="Arial" w:eastAsia="Arial" w:hAnsi="Arial"/>
          <w:sz w:val="22"/>
          <w:szCs w:val="22"/>
          <w:color w:val="auto"/>
        </w:rPr>
        <w:t>Kansas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840" w:type="dxa"/>
            <w:vAlign w:val="bottom"/>
          </w:tcPr>
          <w:p>
            <w:pPr>
              <w:ind w:left="840"/>
              <w:spacing w:after="0"/>
              <w:rPr>
                <w:sz w:val="20"/>
                <w:szCs w:val="20"/>
                <w:color w:val="auto"/>
              </w:rPr>
            </w:pPr>
            <w:r>
              <w:rPr>
                <w:rFonts w:ascii="Arial" w:cs="Arial" w:eastAsia="Arial" w:hAnsi="Arial"/>
                <w:sz w:val="22"/>
                <w:szCs w:val="22"/>
                <w:color w:val="auto"/>
                <w:w w:val="87"/>
              </w:rPr>
              <w:t>3,464,200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84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840" w:type="dxa"/>
            <w:vAlign w:val="bottom"/>
          </w:tcPr>
          <w:p>
            <w:pPr>
              <w:ind w:left="840"/>
              <w:spacing w:after="0"/>
              <w:rPr>
                <w:sz w:val="20"/>
                <w:szCs w:val="20"/>
                <w:color w:val="auto"/>
              </w:rPr>
            </w:pPr>
            <w:r>
              <w:rPr>
                <w:rFonts w:ascii="Arial" w:cs="Arial" w:eastAsia="Arial" w:hAnsi="Arial"/>
                <w:sz w:val="22"/>
                <w:szCs w:val="22"/>
                <w:color w:val="auto"/>
                <w:w w:val="87"/>
              </w:rPr>
              <w:t>3,464,200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84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AGGREGATE AMOUNT BENEFICIALLY OWNED BY EACH REPORTING PERSON: </w:t>
      </w:r>
      <w:r>
        <w:rPr>
          <w:rFonts w:ascii="Arial" w:cs="Arial" w:eastAsia="Arial" w:hAnsi="Arial"/>
          <w:sz w:val="22"/>
          <w:szCs w:val="22"/>
          <w:color w:val="auto"/>
        </w:rPr>
        <w:t>3,464,200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CHECK IF THE AGGREGATE AMOUNT IN ROW 9 EXCLUDES CERTAIN SHARES: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PERCENT OF CLASS REPRESENTED BY AMOUNT IN ROW 9:  </w:t>
      </w:r>
      <w:r>
        <w:rPr>
          <w:rFonts w:ascii="Arial" w:cs="Arial" w:eastAsia="Arial" w:hAnsi="Arial"/>
          <w:sz w:val="22"/>
          <w:szCs w:val="22"/>
          <w:color w:val="auto"/>
        </w:rPr>
        <w:t>1.5</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TYPE OF PERSON REPORTING: </w:t>
      </w:r>
      <w:r>
        <w:rPr>
          <w:rFonts w:ascii="Arial" w:cs="Arial" w:eastAsia="Arial" w:hAnsi="Arial"/>
          <w:sz w:val="22"/>
          <w:szCs w:val="22"/>
          <w:color w:val="auto"/>
        </w:rPr>
        <w:t>IA</w:t>
      </w:r>
    </w:p>
    <w:p>
      <w:pPr>
        <w:sectPr>
          <w:pgSz w:w="11900" w:h="16838" w:orient="portrait"/>
          <w:cols w:equalWidth="0" w:num="1">
            <w:col w:w="10219"/>
          </w:cols>
          <w:pgMar w:left="240" w:top="26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520" w:type="dxa"/>
            <w:vAlign w:val="bottom"/>
          </w:tcPr>
          <w:p>
            <w:pPr>
              <w:spacing w:after="0"/>
              <w:rPr>
                <w:sz w:val="20"/>
                <w:szCs w:val="20"/>
                <w:color w:val="auto"/>
              </w:rPr>
            </w:pPr>
            <w:r>
              <w:rPr>
                <w:rFonts w:ascii="Arial" w:cs="Arial" w:eastAsia="Arial" w:hAnsi="Arial"/>
                <w:sz w:val="22"/>
                <w:szCs w:val="22"/>
                <w:color w:val="auto"/>
              </w:rPr>
              <w:t>CUSIP No. 72651A108</w:t>
            </w:r>
          </w:p>
        </w:tc>
        <w:tc>
          <w:tcPr>
            <w:tcW w:w="840" w:type="dxa"/>
            <w:vAlign w:val="bottom"/>
          </w:tcPr>
          <w:p>
            <w:pPr>
              <w:ind w:left="46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Inc. Tax ID No. 43-1235675</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p>
    <w:p>
      <w:pPr>
        <w:spacing w:after="0" w:line="198" w:lineRule="exact"/>
        <w:rPr>
          <w:rFonts w:ascii="Arial" w:cs="Arial" w:eastAsia="Arial" w:hAnsi="Arial"/>
          <w:sz w:val="22"/>
          <w:szCs w:val="22"/>
          <w:b w:val="1"/>
          <w:bCs w:val="1"/>
          <w:color w:val="auto"/>
        </w:rPr>
      </w:pPr>
    </w:p>
    <w:p>
      <w:pPr>
        <w:ind w:left="960" w:hanging="506"/>
        <w:spacing w:after="0"/>
        <w:tabs>
          <w:tab w:leader="none" w:pos="96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980" w:hanging="526"/>
        <w:spacing w:after="0"/>
        <w:tabs>
          <w:tab w:leader="none" w:pos="98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CITIZENSHIP OR PLACE OF ORGANIZATION:  </w:t>
      </w:r>
      <w:r>
        <w:rPr>
          <w:rFonts w:ascii="Arial" w:cs="Arial" w:eastAsia="Arial" w:hAnsi="Arial"/>
          <w:sz w:val="22"/>
          <w:szCs w:val="22"/>
          <w:color w:val="auto"/>
        </w:rPr>
        <w:t>Delaware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840" w:type="dxa"/>
            <w:vAlign w:val="bottom"/>
          </w:tcPr>
          <w:p>
            <w:pPr>
              <w:ind w:left="840"/>
              <w:spacing w:after="0"/>
              <w:rPr>
                <w:sz w:val="20"/>
                <w:szCs w:val="20"/>
                <w:color w:val="auto"/>
              </w:rPr>
            </w:pPr>
            <w:r>
              <w:rPr>
                <w:rFonts w:ascii="Arial" w:cs="Arial" w:eastAsia="Arial" w:hAnsi="Arial"/>
                <w:sz w:val="22"/>
                <w:szCs w:val="22"/>
                <w:color w:val="auto"/>
                <w:w w:val="87"/>
              </w:rPr>
              <w:t>3,464,200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84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840" w:type="dxa"/>
            <w:vAlign w:val="bottom"/>
          </w:tcPr>
          <w:p>
            <w:pPr>
              <w:ind w:left="840"/>
              <w:spacing w:after="0"/>
              <w:rPr>
                <w:sz w:val="20"/>
                <w:szCs w:val="20"/>
                <w:color w:val="auto"/>
              </w:rPr>
            </w:pPr>
            <w:r>
              <w:rPr>
                <w:rFonts w:ascii="Arial" w:cs="Arial" w:eastAsia="Arial" w:hAnsi="Arial"/>
                <w:sz w:val="22"/>
                <w:szCs w:val="22"/>
                <w:color w:val="auto"/>
                <w:w w:val="87"/>
              </w:rPr>
              <w:t>3,464,200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84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AGGREGATE AMOUNT BENEFICIALLY OWNED BY EACH REPORTING PERSON: </w:t>
      </w:r>
      <w:r>
        <w:rPr>
          <w:rFonts w:ascii="Arial" w:cs="Arial" w:eastAsia="Arial" w:hAnsi="Arial"/>
          <w:sz w:val="22"/>
          <w:szCs w:val="22"/>
          <w:color w:val="auto"/>
        </w:rPr>
        <w:t>3,464,200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CHECK IF THE AGGREGATE AMOUNT IN ROW 9 EXCLUDES CERTAIN SHARES: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PERCENT OF CLASS REPRESENTED BY AMOUNT IN ROW 9:  </w:t>
      </w:r>
      <w:r>
        <w:rPr>
          <w:rFonts w:ascii="Arial" w:cs="Arial" w:eastAsia="Arial" w:hAnsi="Arial"/>
          <w:sz w:val="22"/>
          <w:szCs w:val="22"/>
          <w:color w:val="auto"/>
        </w:rPr>
        <w:t>1.5</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TYPE OF PERSON REPORTING: </w:t>
      </w:r>
      <w:r>
        <w:rPr>
          <w:rFonts w:ascii="Arial" w:cs="Arial" w:eastAsia="Arial" w:hAnsi="Arial"/>
          <w:sz w:val="22"/>
          <w:szCs w:val="22"/>
          <w:color w:val="auto"/>
        </w:rPr>
        <w:t>BD</w:t>
      </w:r>
    </w:p>
    <w:p>
      <w:pPr>
        <w:sectPr>
          <w:pgSz w:w="11900" w:h="16838" w:orient="portrait"/>
          <w:cols w:equalWidth="0" w:num="1">
            <w:col w:w="10219"/>
          </w:cols>
          <w:pgMar w:left="240" w:top="26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2520" w:type="dxa"/>
            <w:vAlign w:val="bottom"/>
          </w:tcPr>
          <w:p>
            <w:pPr>
              <w:spacing w:after="0"/>
              <w:rPr>
                <w:sz w:val="20"/>
                <w:szCs w:val="20"/>
                <w:color w:val="auto"/>
              </w:rPr>
            </w:pPr>
            <w:r>
              <w:rPr>
                <w:rFonts w:ascii="Arial" w:cs="Arial" w:eastAsia="Arial" w:hAnsi="Arial"/>
                <w:sz w:val="22"/>
                <w:szCs w:val="22"/>
                <w:color w:val="auto"/>
              </w:rPr>
              <w:t>CUSIP No. 72651A108</w:t>
            </w:r>
          </w:p>
        </w:tc>
        <w:tc>
          <w:tcPr>
            <w:tcW w:w="840" w:type="dxa"/>
            <w:vAlign w:val="bottom"/>
          </w:tcPr>
          <w:p>
            <w:pPr>
              <w:ind w:left="46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Services, Inc. Tax ID No. 43-1414157</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p>
    <w:p>
      <w:pPr>
        <w:spacing w:after="0" w:line="198" w:lineRule="exact"/>
        <w:rPr>
          <w:rFonts w:ascii="Arial" w:cs="Arial" w:eastAsia="Arial" w:hAnsi="Arial"/>
          <w:sz w:val="22"/>
          <w:szCs w:val="22"/>
          <w:b w:val="1"/>
          <w:bCs w:val="1"/>
          <w:color w:val="auto"/>
        </w:rPr>
      </w:pPr>
    </w:p>
    <w:p>
      <w:pPr>
        <w:ind w:left="960" w:hanging="506"/>
        <w:spacing w:after="0"/>
        <w:tabs>
          <w:tab w:leader="none" w:pos="96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980" w:hanging="526"/>
        <w:spacing w:after="0"/>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CITIZENSHIP OR PLACE OF ORGANIZATION: </w:t>
      </w:r>
      <w:r>
        <w:rPr>
          <w:rFonts w:ascii="Arial" w:cs="Arial" w:eastAsia="Arial" w:hAnsi="Arial"/>
          <w:sz w:val="22"/>
          <w:szCs w:val="22"/>
          <w:color w:val="auto"/>
        </w:rPr>
        <w:t>Missouri</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840" w:type="dxa"/>
            <w:vAlign w:val="bottom"/>
          </w:tcPr>
          <w:p>
            <w:pPr>
              <w:ind w:left="840"/>
              <w:spacing w:after="0"/>
              <w:rPr>
                <w:sz w:val="20"/>
                <w:szCs w:val="20"/>
                <w:color w:val="auto"/>
              </w:rPr>
            </w:pPr>
            <w:r>
              <w:rPr>
                <w:rFonts w:ascii="Arial" w:cs="Arial" w:eastAsia="Arial" w:hAnsi="Arial"/>
                <w:sz w:val="22"/>
                <w:szCs w:val="22"/>
                <w:color w:val="auto"/>
                <w:w w:val="87"/>
              </w:rPr>
              <w:t>3,464,200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84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840" w:type="dxa"/>
            <w:vAlign w:val="bottom"/>
          </w:tcPr>
          <w:p>
            <w:pPr>
              <w:ind w:left="840"/>
              <w:spacing w:after="0"/>
              <w:rPr>
                <w:sz w:val="20"/>
                <w:szCs w:val="20"/>
                <w:color w:val="auto"/>
              </w:rPr>
            </w:pPr>
            <w:r>
              <w:rPr>
                <w:rFonts w:ascii="Arial" w:cs="Arial" w:eastAsia="Arial" w:hAnsi="Arial"/>
                <w:sz w:val="22"/>
                <w:szCs w:val="22"/>
                <w:color w:val="auto"/>
                <w:w w:val="87"/>
              </w:rPr>
              <w:t>3,464,200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84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AGGREGATE AMOUNT BENEFICIALLY OWNED BY EACH REPORTING PERSON: </w:t>
      </w:r>
      <w:r>
        <w:rPr>
          <w:rFonts w:ascii="Arial" w:cs="Arial" w:eastAsia="Arial" w:hAnsi="Arial"/>
          <w:sz w:val="22"/>
          <w:szCs w:val="22"/>
          <w:color w:val="auto"/>
        </w:rPr>
        <w:t>3,464,200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CHECK IF THE AGGREGATE AMOUNT IN ROW 9 EXCLUDES CERTAIN SHARES: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PERCENT OF CLASS REPRESENTED BY AMOUNT IN ROW 9:  </w:t>
      </w:r>
      <w:r>
        <w:rPr>
          <w:rFonts w:ascii="Arial" w:cs="Arial" w:eastAsia="Arial" w:hAnsi="Arial"/>
          <w:sz w:val="22"/>
          <w:szCs w:val="22"/>
          <w:color w:val="auto"/>
        </w:rPr>
        <w:t>1.5</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TYPE OF PERSON REPORTING: </w:t>
      </w:r>
      <w:r>
        <w:rPr>
          <w:rFonts w:ascii="Arial" w:cs="Arial" w:eastAsia="Arial" w:hAnsi="Arial"/>
          <w:sz w:val="22"/>
          <w:szCs w:val="22"/>
          <w:color w:val="auto"/>
        </w:rPr>
        <w:t>HC</w:t>
      </w:r>
    </w:p>
    <w:p>
      <w:pPr>
        <w:sectPr>
          <w:pgSz w:w="11900" w:h="16838" w:orient="portrait"/>
          <w:cols w:equalWidth="0" w:num="1">
            <w:col w:w="10219"/>
          </w:cols>
          <w:pgMar w:left="240" w:top="26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5"/>
        </w:trPr>
        <w:tc>
          <w:tcPr>
            <w:tcW w:w="2520" w:type="dxa"/>
            <w:vAlign w:val="bottom"/>
          </w:tcPr>
          <w:p>
            <w:pPr>
              <w:spacing w:after="0"/>
              <w:rPr>
                <w:sz w:val="20"/>
                <w:szCs w:val="20"/>
                <w:color w:val="auto"/>
              </w:rPr>
            </w:pPr>
            <w:r>
              <w:rPr>
                <w:rFonts w:ascii="Arial" w:cs="Arial" w:eastAsia="Arial" w:hAnsi="Arial"/>
                <w:sz w:val="22"/>
                <w:szCs w:val="22"/>
                <w:color w:val="auto"/>
              </w:rPr>
              <w:t>CUSIP No. 72651A108</w:t>
            </w:r>
          </w:p>
        </w:tc>
        <w:tc>
          <w:tcPr>
            <w:tcW w:w="840" w:type="dxa"/>
            <w:vAlign w:val="bottom"/>
          </w:tcPr>
          <w:p>
            <w:pPr>
              <w:ind w:left="46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Inc. Tax ID No. 51-0261715</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p>
    <w:p>
      <w:pPr>
        <w:spacing w:after="0" w:line="198" w:lineRule="exact"/>
        <w:rPr>
          <w:rFonts w:ascii="Arial" w:cs="Arial" w:eastAsia="Arial" w:hAnsi="Arial"/>
          <w:sz w:val="22"/>
          <w:szCs w:val="22"/>
          <w:b w:val="1"/>
          <w:bCs w:val="1"/>
          <w:color w:val="auto"/>
        </w:rPr>
      </w:pPr>
    </w:p>
    <w:p>
      <w:pPr>
        <w:ind w:left="960" w:hanging="506"/>
        <w:spacing w:after="0"/>
        <w:tabs>
          <w:tab w:leader="none" w:pos="9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980" w:hanging="526"/>
        <w:spacing w:after="0"/>
        <w:tabs>
          <w:tab w:leader="none" w:pos="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CITIZENSHIP OR PLACE OF ORGANIZATION: </w:t>
      </w:r>
      <w:r>
        <w:rPr>
          <w:rFonts w:ascii="Arial" w:cs="Arial" w:eastAsia="Arial" w:hAnsi="Arial"/>
          <w:sz w:val="22"/>
          <w:szCs w:val="22"/>
          <w:color w:val="auto"/>
        </w:rPr>
        <w:t>Delaware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940" w:type="dxa"/>
            <w:vAlign w:val="bottom"/>
          </w:tcPr>
          <w:p>
            <w:pPr>
              <w:ind w:left="840"/>
              <w:spacing w:after="0"/>
              <w:rPr>
                <w:sz w:val="20"/>
                <w:szCs w:val="20"/>
                <w:color w:val="auto"/>
              </w:rPr>
            </w:pPr>
            <w:r>
              <w:rPr>
                <w:rFonts w:ascii="Arial" w:cs="Arial" w:eastAsia="Arial" w:hAnsi="Arial"/>
                <w:sz w:val="22"/>
                <w:szCs w:val="22"/>
                <w:color w:val="auto"/>
                <w:w w:val="87"/>
              </w:rPr>
              <w:t>16,263,938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94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940" w:type="dxa"/>
            <w:vAlign w:val="bottom"/>
          </w:tcPr>
          <w:p>
            <w:pPr>
              <w:ind w:left="840"/>
              <w:spacing w:after="0"/>
              <w:rPr>
                <w:sz w:val="20"/>
                <w:szCs w:val="20"/>
                <w:color w:val="auto"/>
              </w:rPr>
            </w:pPr>
            <w:r>
              <w:rPr>
                <w:rFonts w:ascii="Arial" w:cs="Arial" w:eastAsia="Arial" w:hAnsi="Arial"/>
                <w:sz w:val="22"/>
                <w:szCs w:val="22"/>
                <w:color w:val="auto"/>
                <w:w w:val="87"/>
              </w:rPr>
              <w:t>16,263,938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94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AGGREGATE AMOUNT BENEFICIALLY OWNED BY EACH REPORTING PERSON: </w:t>
      </w:r>
      <w:r>
        <w:rPr>
          <w:rFonts w:ascii="Arial" w:cs="Arial" w:eastAsia="Arial" w:hAnsi="Arial"/>
          <w:sz w:val="22"/>
          <w:szCs w:val="22"/>
          <w:color w:val="auto"/>
        </w:rPr>
        <w:t>16,263,938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CHECK IF THE AGGREGATE AMOUNT IN ROW 9 EXCLUDES CERTAIN SHARES: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PERCENT OF CLASS REPRESENTED BY AMOUNT IN ROW 9:  </w:t>
      </w:r>
      <w:r>
        <w:rPr>
          <w:rFonts w:ascii="Arial" w:cs="Arial" w:eastAsia="Arial" w:hAnsi="Arial"/>
          <w:sz w:val="22"/>
          <w:szCs w:val="22"/>
          <w:color w:val="auto"/>
        </w:rPr>
        <w:t>7.2</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TYPE OF PERSON REPORTING: </w:t>
      </w:r>
      <w:r>
        <w:rPr>
          <w:rFonts w:ascii="Arial" w:cs="Arial" w:eastAsia="Arial" w:hAnsi="Arial"/>
          <w:sz w:val="22"/>
          <w:szCs w:val="22"/>
          <w:color w:val="auto"/>
        </w:rPr>
        <w:t>HC</w:t>
      </w:r>
    </w:p>
    <w:p>
      <w:pPr>
        <w:sectPr>
          <w:pgSz w:w="11900" w:h="16838" w:orient="portrait"/>
          <w:cols w:equalWidth="0" w:num="1">
            <w:col w:w="10219"/>
          </w:cols>
          <w:pgMar w:left="240" w:top="267" w:right="1440" w:bottom="1440" w:gutter="0" w:footer="0" w:header="0"/>
        </w:sectPr>
      </w:pPr>
    </w:p>
    <w:bookmarkStart w:id="6" w:name="page7"/>
    <w:bookmarkEnd w:id="6"/>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Issuer</w:t>
      </w:r>
      <w:r>
        <w:rPr>
          <w:rFonts w:ascii="Arial" w:cs="Arial" w:eastAsia="Arial" w:hAnsi="Arial"/>
          <w:sz w:val="19"/>
          <w:szCs w:val="19"/>
          <w:color w:val="auto"/>
        </w:rPr>
        <w:t>: Plains GP Holdings, L.P.</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1(b)</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Address of Issuer’s Principal Executive Offices</w:t>
      </w:r>
      <w:r>
        <w:rPr>
          <w:rFonts w:ascii="Arial" w:cs="Arial" w:eastAsia="Arial" w:hAnsi="Arial"/>
          <w:sz w:val="19"/>
          <w:szCs w:val="19"/>
          <w:color w:val="auto"/>
        </w:rPr>
        <w:t>:</w:t>
      </w:r>
    </w:p>
    <w:p>
      <w:pPr>
        <w:spacing w:after="0" w:line="19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333 Clay Street, Suite 1600</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Houston, TX 77002</w:t>
      </w:r>
    </w:p>
    <w:p>
      <w:pPr>
        <w:spacing w:after="0" w:line="175"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2(a)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Person Filing</w:t>
      </w:r>
      <w:r>
        <w:rPr>
          <w:rFonts w:ascii="Arial" w:cs="Arial" w:eastAsia="Arial" w:hAnsi="Arial"/>
          <w:sz w:val="19"/>
          <w:szCs w:val="19"/>
          <w:color w:val="auto"/>
        </w:rPr>
        <w:t>:</w:t>
      </w:r>
    </w:p>
    <w:p>
      <w:pPr>
        <w:spacing w:after="0" w:line="193" w:lineRule="exact"/>
        <w:rPr>
          <w:sz w:val="20"/>
          <w:szCs w:val="20"/>
          <w:color w:val="auto"/>
        </w:rPr>
      </w:pPr>
    </w:p>
    <w:p>
      <w:pPr>
        <w:ind w:left="2040" w:hanging="560"/>
        <w:spacing w:after="0"/>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Inc.</w:t>
      </w:r>
    </w:p>
    <w:p>
      <w:pPr>
        <w:spacing w:after="0" w:line="8" w:lineRule="exact"/>
        <w:rPr>
          <w:rFonts w:ascii="Arial" w:cs="Arial" w:eastAsia="Arial" w:hAnsi="Arial"/>
          <w:sz w:val="22"/>
          <w:szCs w:val="22"/>
          <w:color w:val="auto"/>
        </w:rPr>
      </w:pPr>
    </w:p>
    <w:p>
      <w:pPr>
        <w:ind w:left="2040" w:hanging="560"/>
        <w:spacing w:after="0" w:line="230" w:lineRule="auto"/>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Services, Inc.</w:t>
      </w:r>
    </w:p>
    <w:p>
      <w:pPr>
        <w:ind w:left="2040" w:hanging="560"/>
        <w:spacing w:after="0" w:line="230" w:lineRule="auto"/>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Inc.</w:t>
      </w:r>
    </w:p>
    <w:p>
      <w:pPr>
        <w:ind w:left="2040" w:hanging="560"/>
        <w:spacing w:after="0" w:line="230" w:lineRule="auto"/>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Investment Management Company</w:t>
      </w:r>
    </w:p>
    <w:p>
      <w:pPr>
        <w:ind w:left="2040" w:hanging="560"/>
        <w:spacing w:after="0"/>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Ivy Investment Management Company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gridSpan w:val="4"/>
          </w:tcPr>
          <w:p>
            <w:pPr>
              <w:spacing w:after="0"/>
              <w:rPr>
                <w:sz w:val="20"/>
                <w:szCs w:val="20"/>
                <w:color w:val="auto"/>
              </w:rPr>
            </w:pPr>
            <w:r>
              <w:rPr>
                <w:rFonts w:ascii="Arial" w:cs="Arial" w:eastAsia="Arial" w:hAnsi="Arial"/>
                <w:sz w:val="22"/>
                <w:szCs w:val="22"/>
                <w:color w:val="auto"/>
              </w:rPr>
              <w:t>Item 2(b):</w:t>
            </w:r>
          </w:p>
        </w:tc>
        <w:tc>
          <w:tcPr>
            <w:tcW w:w="9860" w:type="dxa"/>
            <w:vAlign w:val="bottom"/>
            <w:gridSpan w:val="8"/>
          </w:tcPr>
          <w:p>
            <w:pPr>
              <w:spacing w:after="0"/>
              <w:rPr>
                <w:sz w:val="20"/>
                <w:szCs w:val="20"/>
                <w:color w:val="auto"/>
              </w:rPr>
            </w:pPr>
            <w:r>
              <w:rPr>
                <w:rFonts w:ascii="Arial" w:cs="Arial" w:eastAsia="Arial" w:hAnsi="Arial"/>
                <w:sz w:val="22"/>
                <w:szCs w:val="22"/>
                <w:color w:val="auto"/>
              </w:rPr>
              <w:t>Address of Principal Business Office:</w:t>
            </w:r>
          </w:p>
        </w:tc>
      </w:tr>
      <w:tr>
        <w:trPr>
          <w:trHeight w:val="445"/>
        </w:trPr>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(i)-(v):</w:t>
            </w:r>
          </w:p>
        </w:tc>
        <w:tc>
          <w:tcPr>
            <w:tcW w:w="1960" w:type="dxa"/>
            <w:vAlign w:val="bottom"/>
            <w:tcBorders>
              <w:top w:val="single" w:sz="8" w:color="auto"/>
            </w:tcBorders>
            <w:gridSpan w:val="4"/>
          </w:tcPr>
          <w:p>
            <w:pPr>
              <w:ind w:left="100"/>
              <w:spacing w:after="0"/>
              <w:rPr>
                <w:sz w:val="20"/>
                <w:szCs w:val="20"/>
                <w:color w:val="auto"/>
              </w:rPr>
            </w:pPr>
            <w:r>
              <w:rPr>
                <w:rFonts w:ascii="Arial" w:cs="Arial" w:eastAsia="Arial" w:hAnsi="Arial"/>
                <w:sz w:val="22"/>
                <w:szCs w:val="22"/>
                <w:color w:val="auto"/>
                <w:w w:val="92"/>
              </w:rPr>
              <w:t>6300 Lamar Avenue</w:t>
            </w:r>
          </w:p>
        </w:tc>
        <w:tc>
          <w:tcPr>
            <w:tcW w:w="6660" w:type="dxa"/>
            <w:vAlign w:val="bottom"/>
          </w:tcPr>
          <w:p>
            <w:pPr>
              <w:spacing w:after="0"/>
              <w:rPr>
                <w:sz w:val="24"/>
                <w:szCs w:val="24"/>
                <w:color w:val="auto"/>
              </w:rPr>
            </w:pP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20" w:type="dxa"/>
            <w:vAlign w:val="bottom"/>
            <w:gridSpan w:val="5"/>
          </w:tcPr>
          <w:p>
            <w:pPr>
              <w:ind w:left="100"/>
              <w:spacing w:after="0"/>
              <w:rPr>
                <w:sz w:val="20"/>
                <w:szCs w:val="20"/>
                <w:color w:val="auto"/>
              </w:rPr>
            </w:pPr>
            <w:r>
              <w:rPr>
                <w:rFonts w:ascii="Arial" w:cs="Arial" w:eastAsia="Arial" w:hAnsi="Arial"/>
                <w:sz w:val="22"/>
                <w:szCs w:val="22"/>
                <w:color w:val="auto"/>
              </w:rPr>
              <w:t>Overland Park, KS 66202</w:t>
            </w:r>
          </w:p>
        </w:tc>
      </w:tr>
      <w:tr>
        <w:trPr>
          <w:trHeight w:val="395"/>
        </w:trPr>
        <w:tc>
          <w:tcPr>
            <w:tcW w:w="1480" w:type="dxa"/>
            <w:vAlign w:val="bottom"/>
            <w:gridSpan w:val="4"/>
          </w:tcPr>
          <w:p>
            <w:pPr>
              <w:spacing w:after="0"/>
              <w:rPr>
                <w:sz w:val="20"/>
                <w:szCs w:val="20"/>
                <w:color w:val="auto"/>
              </w:rPr>
            </w:pPr>
            <w:r>
              <w:rPr>
                <w:rFonts w:ascii="Arial" w:cs="Arial" w:eastAsia="Arial" w:hAnsi="Arial"/>
                <w:sz w:val="22"/>
                <w:szCs w:val="22"/>
                <w:color w:val="auto"/>
              </w:rPr>
              <w:t>Item 2(c):</w:t>
            </w:r>
          </w:p>
        </w:tc>
        <w:tc>
          <w:tcPr>
            <w:tcW w:w="1240" w:type="dxa"/>
            <w:vAlign w:val="bottom"/>
            <w:gridSpan w:val="3"/>
          </w:tcPr>
          <w:p>
            <w:pPr>
              <w:spacing w:after="0"/>
              <w:rPr>
                <w:sz w:val="20"/>
                <w:szCs w:val="20"/>
                <w:color w:val="auto"/>
              </w:rPr>
            </w:pPr>
            <w:r>
              <w:rPr>
                <w:rFonts w:ascii="Arial" w:cs="Arial" w:eastAsia="Arial" w:hAnsi="Arial"/>
                <w:sz w:val="22"/>
                <w:szCs w:val="22"/>
                <w:color w:val="auto"/>
              </w:rPr>
              <w:t>Citizenship:</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r>
      <w:tr>
        <w:trPr>
          <w:trHeight w:val="44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22"/>
                <w:szCs w:val="22"/>
                <w:color w:val="auto"/>
              </w:rPr>
              <w:t>(i), (iii) and (v): Delaware</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gridSpan w:val="3"/>
          </w:tcPr>
          <w:p>
            <w:pPr>
              <w:spacing w:after="0" w:line="243" w:lineRule="exact"/>
              <w:rPr>
                <w:sz w:val="20"/>
                <w:szCs w:val="20"/>
                <w:color w:val="auto"/>
              </w:rPr>
            </w:pPr>
            <w:r>
              <w:rPr>
                <w:rFonts w:ascii="Arial" w:cs="Arial" w:eastAsia="Arial" w:hAnsi="Arial"/>
                <w:sz w:val="22"/>
                <w:szCs w:val="22"/>
                <w:color w:val="auto"/>
              </w:rPr>
              <w:t>(ii): Missouri</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60" w:type="dxa"/>
            <w:vAlign w:val="bottom"/>
          </w:tcPr>
          <w:p>
            <w:pPr>
              <w:spacing w:after="0"/>
              <w:rPr>
                <w:sz w:val="21"/>
                <w:szCs w:val="21"/>
                <w:color w:val="auto"/>
              </w:rPr>
            </w:pP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22"/>
                <w:szCs w:val="22"/>
                <w:color w:val="auto"/>
              </w:rPr>
              <w:t>(iv): Kansas</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395"/>
        </w:trPr>
        <w:tc>
          <w:tcPr>
            <w:tcW w:w="1480" w:type="dxa"/>
            <w:vAlign w:val="bottom"/>
            <w:gridSpan w:val="4"/>
          </w:tcPr>
          <w:p>
            <w:pPr>
              <w:spacing w:after="0"/>
              <w:rPr>
                <w:sz w:val="20"/>
                <w:szCs w:val="20"/>
                <w:color w:val="auto"/>
              </w:rPr>
            </w:pPr>
            <w:r>
              <w:rPr>
                <w:rFonts w:ascii="Arial" w:cs="Arial" w:eastAsia="Arial" w:hAnsi="Arial"/>
                <w:sz w:val="22"/>
                <w:szCs w:val="22"/>
                <w:color w:val="auto"/>
              </w:rPr>
              <w:t>Item 2(d):</w:t>
            </w:r>
          </w:p>
        </w:tc>
        <w:tc>
          <w:tcPr>
            <w:tcW w:w="9860" w:type="dxa"/>
            <w:vAlign w:val="bottom"/>
            <w:gridSpan w:val="8"/>
          </w:tcPr>
          <w:p>
            <w:pPr>
              <w:spacing w:after="0"/>
              <w:rPr>
                <w:sz w:val="20"/>
                <w:szCs w:val="20"/>
                <w:color w:val="auto"/>
              </w:rPr>
            </w:pPr>
            <w:r>
              <w:rPr>
                <w:rFonts w:ascii="Arial" w:cs="Arial" w:eastAsia="Arial" w:hAnsi="Arial"/>
                <w:sz w:val="22"/>
                <w:szCs w:val="22"/>
                <w:color w:val="auto"/>
              </w:rPr>
              <w:t>Title of Class of Securities: Common Stock</w:t>
            </w:r>
          </w:p>
        </w:tc>
      </w:tr>
      <w:tr>
        <w:trPr>
          <w:trHeight w:val="20"/>
        </w:trPr>
        <w:tc>
          <w:tcPr>
            <w:tcW w:w="5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r>
      <w:tr>
        <w:trPr>
          <w:trHeight w:val="426"/>
        </w:trPr>
        <w:tc>
          <w:tcPr>
            <w:tcW w:w="1480" w:type="dxa"/>
            <w:vAlign w:val="bottom"/>
            <w:gridSpan w:val="4"/>
          </w:tcPr>
          <w:p>
            <w:pPr>
              <w:spacing w:after="0"/>
              <w:rPr>
                <w:sz w:val="20"/>
                <w:szCs w:val="20"/>
                <w:color w:val="auto"/>
              </w:rPr>
            </w:pPr>
            <w:r>
              <w:rPr>
                <w:rFonts w:ascii="Arial" w:cs="Arial" w:eastAsia="Arial" w:hAnsi="Arial"/>
                <w:sz w:val="22"/>
                <w:szCs w:val="22"/>
                <w:color w:val="auto"/>
              </w:rPr>
              <w:t>Item 2(e):</w:t>
            </w:r>
          </w:p>
        </w:tc>
        <w:tc>
          <w:tcPr>
            <w:tcW w:w="9860" w:type="dxa"/>
            <w:vAlign w:val="bottom"/>
            <w:gridSpan w:val="8"/>
          </w:tcPr>
          <w:p>
            <w:pPr>
              <w:spacing w:after="0"/>
              <w:rPr>
                <w:sz w:val="20"/>
                <w:szCs w:val="20"/>
                <w:color w:val="auto"/>
              </w:rPr>
            </w:pPr>
            <w:r>
              <w:rPr>
                <w:rFonts w:ascii="Arial" w:cs="Arial" w:eastAsia="Arial" w:hAnsi="Arial"/>
                <w:sz w:val="22"/>
                <w:szCs w:val="22"/>
                <w:color w:val="auto"/>
              </w:rPr>
              <w:t>CUSIP Number: 72651A108</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40" w:type="dxa"/>
            <w:vAlign w:val="bottom"/>
            <w:gridSpan w:val="3"/>
          </w:tcPr>
          <w:p>
            <w:pPr>
              <w:spacing w:after="0" w:line="20" w:lineRule="exact"/>
              <w:rPr>
                <w:sz w:val="1"/>
                <w:szCs w:val="1"/>
                <w:color w:val="auto"/>
              </w:rPr>
            </w:pPr>
          </w:p>
        </w:tc>
      </w:tr>
      <w:tr>
        <w:trPr>
          <w:trHeight w:val="426"/>
        </w:trPr>
        <w:tc>
          <w:tcPr>
            <w:tcW w:w="800" w:type="dxa"/>
            <w:vAlign w:val="bottom"/>
            <w:gridSpan w:val="2"/>
          </w:tcPr>
          <w:p>
            <w:pPr>
              <w:spacing w:after="0"/>
              <w:rPr>
                <w:sz w:val="20"/>
                <w:szCs w:val="20"/>
                <w:color w:val="auto"/>
              </w:rPr>
            </w:pPr>
            <w:r>
              <w:rPr>
                <w:rFonts w:ascii="Arial" w:cs="Arial" w:eastAsia="Arial" w:hAnsi="Arial"/>
                <w:sz w:val="22"/>
                <w:szCs w:val="22"/>
                <w:color w:val="auto"/>
              </w:rPr>
              <w:t>Item 3:</w:t>
            </w:r>
          </w:p>
        </w:tc>
        <w:tc>
          <w:tcPr>
            <w:tcW w:w="680" w:type="dxa"/>
            <w:vAlign w:val="bottom"/>
            <w:gridSpan w:val="2"/>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22"/>
                <w:szCs w:val="22"/>
                <w:color w:val="auto"/>
              </w:rPr>
              <w:t>The reporting person is:</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80" w:type="dxa"/>
            <w:vAlign w:val="bottom"/>
            <w:gridSpan w:val="4"/>
            <w:shd w:val="clear" w:color="auto" w:fill="000000"/>
          </w:tcPr>
          <w:p>
            <w:pPr>
              <w:spacing w:after="0" w:line="20" w:lineRule="exact"/>
              <w:rPr>
                <w:sz w:val="1"/>
                <w:szCs w:val="1"/>
                <w:color w:val="auto"/>
              </w:rPr>
            </w:pPr>
          </w:p>
        </w:tc>
        <w:tc>
          <w:tcPr>
            <w:tcW w:w="7840" w:type="dxa"/>
            <w:vAlign w:val="bottom"/>
            <w:gridSpan w:val="3"/>
          </w:tcPr>
          <w:p>
            <w:pPr>
              <w:spacing w:after="0" w:line="20" w:lineRule="exact"/>
              <w:rPr>
                <w:sz w:val="1"/>
                <w:szCs w:val="1"/>
                <w:color w:val="auto"/>
              </w:rPr>
            </w:pPr>
          </w:p>
        </w:tc>
      </w:tr>
      <w:tr>
        <w:trPr>
          <w:trHeight w:val="44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22"/>
                <w:szCs w:val="22"/>
                <w:color w:val="auto"/>
              </w:rPr>
              <w:t>(i)</w:t>
            </w:r>
          </w:p>
        </w:tc>
        <w:tc>
          <w:tcPr>
            <w:tcW w:w="9420" w:type="dxa"/>
            <w:vAlign w:val="bottom"/>
            <w:gridSpan w:val="7"/>
          </w:tcPr>
          <w:p>
            <w:pPr>
              <w:ind w:left="120"/>
              <w:spacing w:after="0"/>
              <w:rPr>
                <w:sz w:val="20"/>
                <w:szCs w:val="20"/>
                <w:color w:val="auto"/>
              </w:rPr>
            </w:pPr>
            <w:r>
              <w:rPr>
                <w:rFonts w:ascii="Arial" w:cs="Arial" w:eastAsia="Arial" w:hAnsi="Arial"/>
                <w:sz w:val="22"/>
                <w:szCs w:val="22"/>
                <w:color w:val="auto"/>
                <w:w w:val="90"/>
              </w:rPr>
              <w:t>Waddell &amp; Reed Financial, Inc., a parent holding company in accordance with Reg. 240.13d-1(b)(1)(ii)(G);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(ii)</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w w:val="90"/>
              </w:rPr>
              <w:t>Waddell &amp; Reed Financial Services, Inc., a parent holding company in accordance with Reg. 240.13d-1(b)</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rPr>
              <w:t>(1)(ii)(G);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(iii)</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w w:val="97"/>
              </w:rPr>
              <w:t>Waddell &amp; Reed, Inc., a broker-dealer registered under section 15 of the Act (15 U.S.C. 78o); and</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(iv)</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w w:val="95"/>
              </w:rPr>
              <w:t>Waddell &amp; Reed Investment Management Company, an investment advisor in accordance with Reg.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rPr>
              <w:t>240.13d-1(b)(1)(ii)(E).</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(v)</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w w:val="90"/>
              </w:rPr>
              <w:t>Ivy Investment Management Company, an investment advisor in accordance with Reg. 240.13d-1(b)(1)(ii)</w:t>
            </w: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gridSpan w:val="2"/>
          </w:tcPr>
          <w:p>
            <w:pPr>
              <w:ind w:left="120"/>
              <w:spacing w:after="0"/>
              <w:rPr>
                <w:sz w:val="20"/>
                <w:szCs w:val="20"/>
                <w:color w:val="auto"/>
              </w:rPr>
            </w:pPr>
            <w:r>
              <w:rPr>
                <w:rFonts w:ascii="Arial" w:cs="Arial" w:eastAsia="Arial" w:hAnsi="Arial"/>
                <w:sz w:val="22"/>
                <w:szCs w:val="22"/>
                <w:color w:val="auto"/>
              </w:rPr>
              <w:t>(E).</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60" w:type="dxa"/>
            <w:vAlign w:val="bottom"/>
          </w:tcPr>
          <w:p>
            <w:pPr>
              <w:spacing w:after="0"/>
              <w:rPr>
                <w:sz w:val="23"/>
                <w:szCs w:val="23"/>
                <w:color w:val="auto"/>
              </w:rPr>
            </w:pPr>
          </w:p>
        </w:tc>
      </w:tr>
    </w:tbl>
    <w:p>
      <w:pPr>
        <w:sectPr>
          <w:pgSz w:w="11900" w:h="16838" w:orient="portrait"/>
          <w:cols w:equalWidth="0" w:num="1">
            <w:col w:w="11340"/>
          </w:cols>
          <w:pgMar w:left="240" w:top="267" w:right="319" w:bottom="1440" w:gutter="0" w:footer="0" w:header="0"/>
        </w:sectPr>
      </w:pPr>
    </w:p>
    <w:bookmarkStart w:id="7" w:name="page8"/>
    <w:bookmarkEnd w:id="7"/>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w:t>
      </w:r>
    </w:p>
    <w:p>
      <w:pPr>
        <w:spacing w:after="0" w:line="152" w:lineRule="exact"/>
        <w:rPr>
          <w:sz w:val="20"/>
          <w:szCs w:val="20"/>
          <w:color w:val="auto"/>
        </w:rPr>
      </w:pPr>
    </w:p>
    <w:p>
      <w:pPr>
        <w:ind w:firstLine="1484"/>
        <w:spacing w:after="0" w:line="244" w:lineRule="auto"/>
        <w:rPr>
          <w:sz w:val="20"/>
          <w:szCs w:val="20"/>
          <w:color w:val="auto"/>
        </w:rPr>
      </w:pPr>
      <w:r>
        <w:rPr>
          <w:rFonts w:ascii="Arial" w:cs="Arial" w:eastAsia="Arial" w:hAnsi="Arial"/>
          <w:sz w:val="21"/>
          <w:szCs w:val="21"/>
          <w:color w:val="auto"/>
        </w:rPr>
        <w:t>The securities reported on herein are beneficially owned by one or more open-end investment companies or other managed accounts which are advised or sub-advised by Ivy Investment Management Company (“IICO”), an investment advisory subsidiary of Waddell &amp; Reed Financial, Inc. (“WDR”) or Waddell &amp; Reed Investment Management Company (“WRIMCO”), an investment advisory subsidiary of Waddell &amp; Reed, Inc. (“WRI”). WRI is a broker-dealer and underwriting subsidiary of Waddell &amp; Reed Financial Services, Inc., a parent holding company (“WRFSI”). In turn, WRFSI is a subsidiary of WDR, a publicly traded company. The investment advisory contracts grant IICO and WRIMCO all investment and/or voting power over securities owned by such advisory clients. The investment sub-advisory contracts grant IICO and WRIMCO investment power over securities owned by such sub-advisory clients and, in most cases, voting power. Any investment restriction of a sub-advisory contract does not restrict investment discretion or power in a material manner. Therefore, IICO and/or WRIMCO may be deemed the beneficial owner of the securities covered by this statement under Rule 13d-3 of the Securities Exchange Act of 1934 (the “1934 Act”).</w:t>
      </w:r>
    </w:p>
    <w:p>
      <w:pPr>
        <w:spacing w:after="0" w:line="136" w:lineRule="exact"/>
        <w:rPr>
          <w:sz w:val="20"/>
          <w:szCs w:val="20"/>
          <w:color w:val="auto"/>
        </w:rPr>
      </w:pPr>
    </w:p>
    <w:p>
      <w:pPr>
        <w:ind w:right="40" w:firstLine="571"/>
        <w:spacing w:after="0"/>
        <w:rPr>
          <w:sz w:val="20"/>
          <w:szCs w:val="20"/>
          <w:color w:val="auto"/>
        </w:rPr>
      </w:pPr>
      <w:r>
        <w:rPr>
          <w:rFonts w:ascii="Arial" w:cs="Arial" w:eastAsia="Arial" w:hAnsi="Arial"/>
          <w:sz w:val="22"/>
          <w:szCs w:val="22"/>
          <w:color w:val="auto"/>
        </w:rPr>
        <w:t>IICO, WRIMCO, WRI, WRFSI and WDR are of the view that they are not acting as a “group” for purposes of Section 13(d) under the 1934 Act. Indirect “beneficial ownership” is attributed to the respective parent companies solely because of the parent companies’ control relationship to WRIMCO and IICO.</w:t>
      </w:r>
    </w:p>
    <w:p>
      <w:pPr>
        <w:spacing w:after="0" w:line="173" w:lineRule="exact"/>
        <w:rPr>
          <w:sz w:val="20"/>
          <w:szCs w:val="20"/>
          <w:color w:val="auto"/>
        </w:rPr>
      </w:pPr>
    </w:p>
    <w:p>
      <w:pPr>
        <w:ind w:left="2040" w:hanging="560"/>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Amount beneficially owned: 16,263,938</w:t>
      </w:r>
    </w:p>
    <w:p>
      <w:pPr>
        <w:spacing w:after="0" w:line="192" w:lineRule="exact"/>
        <w:rPr>
          <w:rFonts w:ascii="Arial" w:cs="Arial" w:eastAsia="Arial" w:hAnsi="Arial"/>
          <w:sz w:val="22"/>
          <w:szCs w:val="22"/>
          <w:color w:val="auto"/>
        </w:rPr>
      </w:pPr>
    </w:p>
    <w:p>
      <w:pPr>
        <w:ind w:left="2040" w:hanging="560"/>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7.2</w:t>
      </w:r>
    </w:p>
    <w:p>
      <w:pPr>
        <w:spacing w:after="0" w:line="192" w:lineRule="exact"/>
        <w:rPr>
          <w:rFonts w:ascii="Arial" w:cs="Arial" w:eastAsia="Arial" w:hAnsi="Arial"/>
          <w:sz w:val="22"/>
          <w:szCs w:val="22"/>
          <w:color w:val="auto"/>
        </w:rPr>
      </w:pPr>
    </w:p>
    <w:p>
      <w:pPr>
        <w:ind w:left="2040" w:hanging="560"/>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192" w:lineRule="exact"/>
        <w:rPr>
          <w:rFonts w:ascii="Arial" w:cs="Arial" w:eastAsia="Arial" w:hAnsi="Arial"/>
          <w:sz w:val="22"/>
          <w:szCs w:val="22"/>
          <w:color w:val="auto"/>
        </w:rPr>
      </w:pPr>
    </w:p>
    <w:p>
      <w:pPr>
        <w:ind w:left="2740" w:hanging="679"/>
        <w:spacing w:after="0"/>
        <w:tabs>
          <w:tab w:leader="none" w:pos="27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voting power to vote or to direct the vote:</w:t>
      </w:r>
    </w:p>
    <w:p>
      <w:pPr>
        <w:spacing w:after="0" w:line="192"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WDR: 16,263,938 (indirect)</w:t>
      </w:r>
    </w:p>
    <w:p>
      <w:pPr>
        <w:spacing w:after="0" w:line="8" w:lineRule="exact"/>
        <w:rPr>
          <w:rFonts w:ascii="Arial" w:cs="Arial" w:eastAsia="Arial" w:hAnsi="Arial"/>
          <w:sz w:val="22"/>
          <w:szCs w:val="22"/>
          <w:color w:val="auto"/>
        </w:rPr>
      </w:pP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WRFSI: 3,464,200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 3,464,200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WRIMCO: 3,464,200 (direct)</w:t>
      </w:r>
    </w:p>
    <w:p>
      <w:pPr>
        <w:ind w:left="2740"/>
        <w:spacing w:after="0"/>
        <w:rPr>
          <w:rFonts w:ascii="Arial" w:cs="Arial" w:eastAsia="Arial" w:hAnsi="Arial"/>
          <w:sz w:val="22"/>
          <w:szCs w:val="22"/>
          <w:color w:val="auto"/>
        </w:rPr>
      </w:pPr>
      <w:r>
        <w:rPr>
          <w:rFonts w:ascii="Arial" w:cs="Arial" w:eastAsia="Arial" w:hAnsi="Arial"/>
          <w:sz w:val="22"/>
          <w:szCs w:val="22"/>
          <w:color w:val="auto"/>
        </w:rPr>
        <w:t>IICO: 12,799,738 (direct)</w:t>
      </w:r>
    </w:p>
    <w:p>
      <w:pPr>
        <w:spacing w:after="0" w:line="174" w:lineRule="exact"/>
        <w:rPr>
          <w:rFonts w:ascii="Arial" w:cs="Arial" w:eastAsia="Arial" w:hAnsi="Arial"/>
          <w:sz w:val="22"/>
          <w:szCs w:val="22"/>
          <w:color w:val="auto"/>
        </w:rPr>
      </w:pPr>
    </w:p>
    <w:p>
      <w:pPr>
        <w:ind w:left="2740" w:hanging="679"/>
        <w:spacing w:after="0"/>
        <w:tabs>
          <w:tab w:leader="none" w:pos="27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192" w:lineRule="exact"/>
        <w:rPr>
          <w:rFonts w:ascii="Arial" w:cs="Arial" w:eastAsia="Arial" w:hAnsi="Arial"/>
          <w:sz w:val="22"/>
          <w:szCs w:val="22"/>
          <w:color w:val="auto"/>
        </w:rPr>
      </w:pPr>
    </w:p>
    <w:p>
      <w:pPr>
        <w:ind w:left="2740" w:hanging="679"/>
        <w:spacing w:after="0"/>
        <w:tabs>
          <w:tab w:leader="none" w:pos="27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w:t>
      </w:r>
    </w:p>
    <w:p>
      <w:pPr>
        <w:spacing w:after="0" w:line="192"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WDR: 16,263,938 (indirect)</w:t>
      </w:r>
    </w:p>
    <w:p>
      <w:pPr>
        <w:spacing w:after="0" w:line="8" w:lineRule="exact"/>
        <w:rPr>
          <w:rFonts w:ascii="Arial" w:cs="Arial" w:eastAsia="Arial" w:hAnsi="Arial"/>
          <w:sz w:val="22"/>
          <w:szCs w:val="22"/>
          <w:color w:val="auto"/>
        </w:rPr>
      </w:pP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WRFSI: 3,464,200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 3,464,200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WRIMCO: 3,464,200 (direct)</w:t>
      </w:r>
    </w:p>
    <w:p>
      <w:pPr>
        <w:ind w:left="2740"/>
        <w:spacing w:after="0"/>
        <w:rPr>
          <w:rFonts w:ascii="Arial" w:cs="Arial" w:eastAsia="Arial" w:hAnsi="Arial"/>
          <w:sz w:val="22"/>
          <w:szCs w:val="22"/>
          <w:color w:val="auto"/>
        </w:rPr>
      </w:pPr>
      <w:r>
        <w:rPr>
          <w:rFonts w:ascii="Arial" w:cs="Arial" w:eastAsia="Arial" w:hAnsi="Arial"/>
          <w:sz w:val="22"/>
          <w:szCs w:val="22"/>
          <w:color w:val="auto"/>
        </w:rPr>
        <w:t>IICO: 12,799,738 (direct)</w:t>
      </w:r>
    </w:p>
    <w:p>
      <w:pPr>
        <w:sectPr>
          <w:pgSz w:w="11900" w:h="16838" w:orient="portrait"/>
          <w:cols w:equalWidth="0" w:num="1">
            <w:col w:w="11400"/>
          </w:cols>
          <w:pgMar w:left="240" w:top="267" w:right="259" w:bottom="1440" w:gutter="0" w:footer="0" w:header="0"/>
        </w:sectPr>
      </w:pPr>
    </w:p>
    <w:bookmarkStart w:id="8" w:name="page9"/>
    <w:bookmarkEnd w:id="8"/>
    <w:p>
      <w:pPr>
        <w:ind w:left="2740" w:hanging="679"/>
        <w:spacing w:after="0"/>
        <w:tabs>
          <w:tab w:leader="none" w:pos="2740" w:val="left"/>
        </w:tabs>
        <w:numPr>
          <w:ilvl w:val="0"/>
          <w:numId w:val="14"/>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Shared power to dispose or to direct the disposition of: 0</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5</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 of Five Percent or Less of a Class</w:t>
      </w:r>
      <w:r>
        <w:rPr>
          <w:rFonts w:ascii="Arial" w:cs="Arial" w:eastAsia="Arial" w:hAnsi="Arial"/>
          <w:sz w:val="19"/>
          <w:szCs w:val="19"/>
          <w:color w:val="auto"/>
        </w:rPr>
        <w:t>:</w:t>
      </w:r>
    </w:p>
    <w:p>
      <w:pPr>
        <w:spacing w:after="0" w:line="152" w:lineRule="exact"/>
        <w:rPr>
          <w:sz w:val="20"/>
          <w:szCs w:val="20"/>
          <w:color w:val="auto"/>
        </w:rPr>
      </w:pPr>
    </w:p>
    <w:p>
      <w:pPr>
        <w:ind w:firstLine="1484"/>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5 percent of the class of securities, check the following: [ ]</w:t>
      </w:r>
    </w:p>
    <w:p>
      <w:pPr>
        <w:spacing w:after="0" w:line="160"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6</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 of More than Five Percent on Behalf of Another Person</w:t>
      </w:r>
      <w:r>
        <w:rPr>
          <w:rFonts w:ascii="Arial" w:cs="Arial" w:eastAsia="Arial" w:hAnsi="Arial"/>
          <w:sz w:val="19"/>
          <w:szCs w:val="19"/>
          <w:color w:val="auto"/>
        </w:rPr>
        <w:t>:</w:t>
      </w:r>
    </w:p>
    <w:p>
      <w:pPr>
        <w:spacing w:after="0" w:line="152" w:lineRule="exact"/>
        <w:rPr>
          <w:sz w:val="20"/>
          <w:szCs w:val="20"/>
          <w:color w:val="auto"/>
        </w:rPr>
      </w:pPr>
    </w:p>
    <w:p>
      <w:pPr>
        <w:jc w:val="both"/>
        <w:ind w:right="180" w:firstLine="1484"/>
        <w:spacing w:after="0"/>
        <w:rPr>
          <w:sz w:val="20"/>
          <w:szCs w:val="20"/>
          <w:color w:val="auto"/>
        </w:rPr>
      </w:pPr>
      <w:r>
        <w:rPr>
          <w:rFonts w:ascii="Arial" w:cs="Arial" w:eastAsia="Arial" w:hAnsi="Arial"/>
          <w:sz w:val="22"/>
          <w:szCs w:val="22"/>
          <w:color w:val="auto"/>
        </w:rPr>
        <w:t>The clients of IICO and WRIMCO, including investment companies registered under the Investment Company Act of 1940 and other managed accounts, have the right to receive dividends from, as well as the proceeds from the sale of, such securities.</w:t>
      </w:r>
    </w:p>
    <w:p>
      <w:pPr>
        <w:spacing w:after="0" w:line="173" w:lineRule="exact"/>
        <w:rPr>
          <w:sz w:val="20"/>
          <w:szCs w:val="20"/>
          <w:color w:val="auto"/>
        </w:rPr>
      </w:pPr>
    </w:p>
    <w:p>
      <w:pPr>
        <w:ind w:left="1480" w:right="20" w:hanging="1471"/>
        <w:spacing w:after="0" w:line="251" w:lineRule="auto"/>
        <w:tabs>
          <w:tab w:leader="none" w:pos="1460" w:val="left"/>
        </w:tabs>
        <w:rPr>
          <w:sz w:val="20"/>
          <w:szCs w:val="20"/>
          <w:color w:val="auto"/>
        </w:rPr>
      </w:pPr>
      <w:r>
        <w:rPr>
          <w:rFonts w:ascii="Arial" w:cs="Arial" w:eastAsia="Arial" w:hAnsi="Arial"/>
          <w:sz w:val="22"/>
          <w:szCs w:val="22"/>
          <w:u w:val="single" w:color="auto"/>
          <w:color w:val="auto"/>
        </w:rPr>
        <w:t>Item 7</w:t>
      </w:r>
      <w:r>
        <w:rPr>
          <w:rFonts w:ascii="Arial" w:cs="Arial" w:eastAsia="Arial" w:hAnsi="Arial"/>
          <w:sz w:val="22"/>
          <w:szCs w:val="22"/>
          <w:color w:val="auto"/>
        </w:rPr>
        <w:t>:</w:t>
      </w:r>
      <w:r>
        <w:rPr>
          <w:sz w:val="20"/>
          <w:szCs w:val="20"/>
          <w:color w:val="auto"/>
        </w:rPr>
        <w:tab/>
      </w:r>
      <w:r>
        <w:rPr>
          <w:rFonts w:ascii="Arial" w:cs="Arial" w:eastAsia="Arial" w:hAnsi="Arial"/>
          <w:sz w:val="22"/>
          <w:szCs w:val="22"/>
          <w:u w:val="single" w:color="auto"/>
          <w:color w:val="auto"/>
        </w:rPr>
        <w:t>Identification and Classification of the Subsidiary Which Acquired the Security Being Reported on By the Parent Holding Company</w:t>
      </w:r>
      <w:r>
        <w:rPr>
          <w:rFonts w:ascii="Arial" w:cs="Arial" w:eastAsia="Arial" w:hAnsi="Arial"/>
          <w:sz w:val="22"/>
          <w:szCs w:val="22"/>
          <w:color w:val="auto"/>
        </w:rPr>
        <w:t>:</w:t>
      </w:r>
    </w:p>
    <w:p>
      <w:pPr>
        <w:spacing w:after="0" w:line="16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See Attached Exhibit 2.</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8</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Identification and Classification of Members of the Group</w:t>
      </w:r>
      <w:r>
        <w:rPr>
          <w:rFonts w:ascii="Arial" w:cs="Arial" w:eastAsia="Arial" w:hAnsi="Arial"/>
          <w:sz w:val="19"/>
          <w:szCs w:val="19"/>
          <w:color w:val="auto"/>
        </w:rPr>
        <w:t>:</w:t>
      </w:r>
    </w:p>
    <w:p>
      <w:pPr>
        <w:spacing w:after="0" w:line="193" w:lineRule="exact"/>
        <w:rPr>
          <w:sz w:val="20"/>
          <w:szCs w:val="20"/>
          <w:color w:val="auto"/>
        </w:rPr>
      </w:pPr>
    </w:p>
    <w:p>
      <w:pPr>
        <w:jc w:val="center"/>
        <w:ind w:right="6960"/>
        <w:spacing w:after="0"/>
        <w:rPr>
          <w:sz w:val="20"/>
          <w:szCs w:val="20"/>
          <w:color w:val="auto"/>
        </w:rPr>
      </w:pPr>
      <w:r>
        <w:rPr>
          <w:rFonts w:ascii="Arial" w:cs="Arial" w:eastAsia="Arial" w:hAnsi="Arial"/>
          <w:sz w:val="22"/>
          <w:szCs w:val="22"/>
          <w:color w:val="auto"/>
        </w:rPr>
        <w:t>Not Applicable.</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9</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Notice of Dissolution of Group</w:t>
      </w:r>
      <w:r>
        <w:rPr>
          <w:rFonts w:ascii="Arial" w:cs="Arial" w:eastAsia="Arial" w:hAnsi="Arial"/>
          <w:sz w:val="19"/>
          <w:szCs w:val="19"/>
          <w:color w:val="auto"/>
        </w:rPr>
        <w:t>:</w:t>
      </w:r>
    </w:p>
    <w:p>
      <w:pPr>
        <w:spacing w:after="0" w:line="19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300"/>
          </w:cols>
          <w:pgMar w:left="240" w:top="267" w:right="359" w:bottom="1440" w:gutter="0" w:footer="0" w:header="0"/>
        </w:sectPr>
      </w:pPr>
    </w:p>
    <w:bookmarkStart w:id="9" w:name="page10"/>
    <w:bookmarkEnd w:id="9"/>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Certification</w:t>
      </w:r>
      <w:r>
        <w:rPr>
          <w:rFonts w:ascii="Arial" w:cs="Arial" w:eastAsia="Arial" w:hAnsi="Arial"/>
          <w:sz w:val="19"/>
          <w:szCs w:val="19"/>
          <w:color w:val="auto"/>
        </w:rPr>
        <w:t>:</w:t>
      </w:r>
    </w:p>
    <w:p>
      <w:pPr>
        <w:spacing w:after="0" w:line="152" w:lineRule="exact"/>
        <w:rPr>
          <w:sz w:val="20"/>
          <w:szCs w:val="20"/>
          <w:color w:val="auto"/>
        </w:rPr>
      </w:pPr>
    </w:p>
    <w:p>
      <w:pPr>
        <w:ind w:firstLine="1484"/>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SIGNATURE</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Dated: February 12, 2016</w:t>
            </w:r>
          </w:p>
        </w:tc>
        <w:tc>
          <w:tcPr>
            <w:tcW w:w="1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446"/>
        </w:trPr>
        <w:tc>
          <w:tcPr>
            <w:tcW w:w="460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Waddell &amp; Reed Financial Services, Inc.</w:t>
            </w:r>
          </w:p>
        </w:tc>
      </w:tr>
      <w:tr>
        <w:trPr>
          <w:trHeight w:val="625"/>
        </w:trPr>
        <w:tc>
          <w:tcPr>
            <w:tcW w:w="4600" w:type="dxa"/>
            <w:vAlign w:val="bottom"/>
            <w:gridSpan w:val="3"/>
          </w:tcPr>
          <w:p>
            <w:pPr>
              <w:spacing w:after="0"/>
              <w:rPr>
                <w:sz w:val="20"/>
                <w:szCs w:val="20"/>
                <w:color w:val="auto"/>
              </w:rPr>
            </w:pPr>
            <w:r>
              <w:rPr>
                <w:rFonts w:ascii="Arial" w:cs="Arial" w:eastAsia="Arial" w:hAnsi="Arial"/>
                <w:sz w:val="22"/>
                <w:szCs w:val="22"/>
                <w:color w:val="auto"/>
              </w:rPr>
              <w:t>By: /s/ J.J. Richie</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By: /s/ J.J. Richie</w:t>
            </w:r>
          </w:p>
        </w:tc>
      </w:tr>
      <w:tr>
        <w:trPr>
          <w:trHeight w:val="20"/>
        </w:trPr>
        <w:tc>
          <w:tcPr>
            <w:tcW w:w="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42"/>
        </w:trPr>
        <w:tc>
          <w:tcPr>
            <w:tcW w:w="4600" w:type="dxa"/>
            <w:vAlign w:val="bottom"/>
            <w:gridSpan w:val="3"/>
          </w:tcPr>
          <w:p>
            <w:pPr>
              <w:spacing w:after="0" w:line="242" w:lineRule="exact"/>
              <w:rPr>
                <w:sz w:val="20"/>
                <w:szCs w:val="20"/>
                <w:color w:val="auto"/>
              </w:rPr>
            </w:pPr>
            <w:r>
              <w:rPr>
                <w:rFonts w:ascii="Arial" w:cs="Arial" w:eastAsia="Arial" w:hAnsi="Arial"/>
                <w:sz w:val="22"/>
                <w:szCs w:val="22"/>
                <w:color w:val="auto"/>
              </w:rPr>
              <w:t>Name: J.J. Richie</w:t>
            </w:r>
          </w:p>
        </w:tc>
        <w:tc>
          <w:tcPr>
            <w:tcW w:w="5760" w:type="dxa"/>
            <w:vAlign w:val="bottom"/>
            <w:gridSpan w:val="3"/>
          </w:tcPr>
          <w:p>
            <w:pPr>
              <w:ind w:left="1220"/>
              <w:spacing w:after="0" w:line="242" w:lineRule="exact"/>
              <w:rPr>
                <w:sz w:val="20"/>
                <w:szCs w:val="20"/>
                <w:color w:val="auto"/>
              </w:rPr>
            </w:pPr>
            <w:r>
              <w:rPr>
                <w:rFonts w:ascii="Arial" w:cs="Arial" w:eastAsia="Arial" w:hAnsi="Arial"/>
                <w:sz w:val="22"/>
                <w:szCs w:val="22"/>
                <w:color w:val="auto"/>
              </w:rPr>
              <w:t>Name: J.J. Richie</w:t>
            </w:r>
          </w:p>
        </w:tc>
      </w:t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Title: Attorney-In-Fact</w:t>
            </w:r>
          </w:p>
        </w:tc>
      </w:tr>
      <w:tr>
        <w:trPr>
          <w:trHeight w:val="675"/>
        </w:trPr>
        <w:tc>
          <w:tcPr>
            <w:tcW w:w="460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w w:val="89"/>
              </w:rPr>
              <w:t>Waddell &amp; Reed Investment Management Company</w:t>
            </w:r>
          </w:p>
        </w:tc>
      </w:tr>
      <w:tr>
        <w:trPr>
          <w:trHeight w:val="625"/>
        </w:trPr>
        <w:tc>
          <w:tcPr>
            <w:tcW w:w="4600" w:type="dxa"/>
            <w:vAlign w:val="bottom"/>
            <w:gridSpan w:val="3"/>
          </w:tcPr>
          <w:p>
            <w:pPr>
              <w:spacing w:after="0"/>
              <w:rPr>
                <w:sz w:val="20"/>
                <w:szCs w:val="20"/>
                <w:color w:val="auto"/>
              </w:rPr>
            </w:pPr>
            <w:r>
              <w:rPr>
                <w:rFonts w:ascii="Arial" w:cs="Arial" w:eastAsia="Arial" w:hAnsi="Arial"/>
                <w:sz w:val="22"/>
                <w:szCs w:val="22"/>
                <w:color w:val="auto"/>
              </w:rPr>
              <w:t>By: /s/ J.J. Richie</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By: /s/ J.J. Richie</w:t>
            </w:r>
          </w:p>
        </w:tc>
      </w:tr>
      <w:tr>
        <w:trPr>
          <w:trHeight w:val="20"/>
        </w:trPr>
        <w:tc>
          <w:tcPr>
            <w:tcW w:w="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42"/>
        </w:trPr>
        <w:tc>
          <w:tcPr>
            <w:tcW w:w="4600" w:type="dxa"/>
            <w:vAlign w:val="bottom"/>
            <w:gridSpan w:val="3"/>
          </w:tcPr>
          <w:p>
            <w:pPr>
              <w:spacing w:after="0" w:line="242" w:lineRule="exact"/>
              <w:rPr>
                <w:sz w:val="20"/>
                <w:szCs w:val="20"/>
                <w:color w:val="auto"/>
              </w:rPr>
            </w:pPr>
            <w:r>
              <w:rPr>
                <w:rFonts w:ascii="Arial" w:cs="Arial" w:eastAsia="Arial" w:hAnsi="Arial"/>
                <w:sz w:val="22"/>
                <w:szCs w:val="22"/>
                <w:color w:val="auto"/>
              </w:rPr>
              <w:t>Name: J.J. Richie</w:t>
            </w:r>
          </w:p>
        </w:tc>
        <w:tc>
          <w:tcPr>
            <w:tcW w:w="5760" w:type="dxa"/>
            <w:vAlign w:val="bottom"/>
            <w:gridSpan w:val="3"/>
          </w:tcPr>
          <w:p>
            <w:pPr>
              <w:ind w:left="1220"/>
              <w:spacing w:after="0" w:line="242" w:lineRule="exact"/>
              <w:rPr>
                <w:sz w:val="20"/>
                <w:szCs w:val="20"/>
                <w:color w:val="auto"/>
              </w:rPr>
            </w:pPr>
            <w:r>
              <w:rPr>
                <w:rFonts w:ascii="Arial" w:cs="Arial" w:eastAsia="Arial" w:hAnsi="Arial"/>
                <w:sz w:val="22"/>
                <w:szCs w:val="22"/>
                <w:color w:val="auto"/>
              </w:rPr>
              <w:t>Name: J.J. Richie</w:t>
            </w:r>
          </w:p>
        </w:tc>
      </w:t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Title: Attorney-In-Fact</w:t>
            </w:r>
          </w:p>
        </w:tc>
      </w:tr>
      <w:tr>
        <w:trPr>
          <w:trHeight w:val="675"/>
        </w:trPr>
        <w:tc>
          <w:tcPr>
            <w:tcW w:w="460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625"/>
        </w:trPr>
        <w:tc>
          <w:tcPr>
            <w:tcW w:w="4600" w:type="dxa"/>
            <w:vAlign w:val="bottom"/>
            <w:gridSpan w:val="3"/>
          </w:tcPr>
          <w:p>
            <w:pPr>
              <w:spacing w:after="0"/>
              <w:rPr>
                <w:sz w:val="20"/>
                <w:szCs w:val="20"/>
                <w:color w:val="auto"/>
              </w:rPr>
            </w:pPr>
            <w:r>
              <w:rPr>
                <w:rFonts w:ascii="Arial" w:cs="Arial" w:eastAsia="Arial" w:hAnsi="Arial"/>
                <w:sz w:val="22"/>
                <w:szCs w:val="22"/>
                <w:color w:val="auto"/>
              </w:rPr>
              <w:t>By: /s/ J.J. Richie</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42"/>
        </w:trPr>
        <w:tc>
          <w:tcPr>
            <w:tcW w:w="4600" w:type="dxa"/>
            <w:vAlign w:val="bottom"/>
            <w:gridSpan w:val="3"/>
          </w:tcPr>
          <w:p>
            <w:pPr>
              <w:spacing w:after="0" w:line="242" w:lineRule="exact"/>
              <w:rPr>
                <w:sz w:val="20"/>
                <w:szCs w:val="20"/>
                <w:color w:val="auto"/>
              </w:rPr>
            </w:pPr>
            <w:r>
              <w:rPr>
                <w:rFonts w:ascii="Arial" w:cs="Arial" w:eastAsia="Arial" w:hAnsi="Arial"/>
                <w:sz w:val="22"/>
                <w:szCs w:val="22"/>
                <w:color w:val="auto"/>
              </w:rPr>
              <w:t>Name: J.J. Richie</w:t>
            </w: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20" w:type="dxa"/>
            <w:vAlign w:val="bottom"/>
          </w:tcPr>
          <w:p>
            <w:pPr>
              <w:spacing w:after="0"/>
              <w:rPr>
                <w:sz w:val="21"/>
                <w:szCs w:val="21"/>
                <w:color w:val="auto"/>
              </w:rPr>
            </w:pPr>
          </w:p>
        </w:tc>
      </w:t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16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20" w:type="dxa"/>
            <w:vAlign w:val="bottom"/>
          </w:tcPr>
          <w:p>
            <w:pPr>
              <w:spacing w:after="0"/>
              <w:rPr>
                <w:sz w:val="23"/>
                <w:szCs w:val="23"/>
                <w:color w:val="auto"/>
              </w:rPr>
            </w:pPr>
          </w:p>
        </w:tc>
      </w:tr>
    </w:tbl>
    <w:p>
      <w:pPr>
        <w:sectPr>
          <w:pgSz w:w="11900" w:h="16838" w:orient="portrait"/>
          <w:cols w:equalWidth="0" w:num="1">
            <w:col w:w="11360"/>
          </w:cols>
          <w:pgMar w:left="240" w:top="267" w:right="299" w:bottom="1440" w:gutter="0" w:footer="0" w:header="0"/>
        </w:sectPr>
      </w:pPr>
    </w:p>
    <w:bookmarkStart w:id="10" w:name="page11"/>
    <w:bookmarkEnd w:id="10"/>
    <w:p>
      <w:pPr>
        <w:jc w:val="center"/>
        <w:ind w:right="-2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Description</w:t>
      </w:r>
    </w:p>
    <w:p>
      <w:pPr>
        <w:spacing w:after="0" w:line="188" w:lineRule="exact"/>
        <w:rPr>
          <w:sz w:val="20"/>
          <w:szCs w:val="20"/>
          <w:color w:val="auto"/>
        </w:rPr>
      </w:pPr>
    </w:p>
    <w:p>
      <w:pPr>
        <w:ind w:left="1400" w:hanging="1142"/>
        <w:spacing w:after="0"/>
        <w:tabs>
          <w:tab w:leader="none" w:pos="14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Joint Filing Agreement</w:t>
      </w:r>
    </w:p>
    <w:p>
      <w:pPr>
        <w:spacing w:after="0" w:line="206" w:lineRule="exact"/>
        <w:rPr>
          <w:sz w:val="20"/>
          <w:szCs w:val="20"/>
          <w:color w:val="auto"/>
        </w:rPr>
      </w:pPr>
    </w:p>
    <w:p>
      <w:pPr>
        <w:ind w:left="1400" w:hanging="1142"/>
        <w:spacing w:after="0" w:line="251" w:lineRule="auto"/>
        <w:tabs>
          <w:tab w:leader="none" w:pos="14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Identification and Classification of the Subsidiary Which Acquired the Security Being Reported on by the Parent Holding Company</w:t>
      </w:r>
    </w:p>
    <w:p>
      <w:pPr>
        <w:spacing w:after="0" w:line="173" w:lineRule="exact"/>
        <w:rPr>
          <w:sz w:val="20"/>
          <w:szCs w:val="20"/>
          <w:color w:val="auto"/>
        </w:rPr>
      </w:pPr>
    </w:p>
    <w:p>
      <w:pPr>
        <w:ind w:left="1400" w:hanging="1142"/>
        <w:spacing w:after="0"/>
        <w:tabs>
          <w:tab w:leader="none" w:pos="14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Power of Attorney</w:t>
      </w:r>
    </w:p>
    <w:p>
      <w:pPr>
        <w:sectPr>
          <w:pgSz w:w="11900" w:h="16838" w:orient="portrait"/>
          <w:cols w:equalWidth="0" w:num="1">
            <w:col w:w="11160"/>
          </w:cols>
          <w:pgMar w:left="260" w:top="267" w:right="47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22"/>
          <w:szCs w:val="22"/>
          <w:u w:val="single" w:color="auto"/>
          <w:color w:val="auto"/>
        </w:rPr>
        <w:t>EXHIBIT 1</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JOINT FILING AGREEMENT</w:t>
      </w:r>
    </w:p>
    <w:p>
      <w:pPr>
        <w:spacing w:after="0" w:line="152" w:lineRule="exact"/>
        <w:rPr>
          <w:sz w:val="20"/>
          <w:szCs w:val="20"/>
          <w:color w:val="auto"/>
        </w:rPr>
      </w:pPr>
    </w:p>
    <w:p>
      <w:pPr>
        <w:ind w:firstLine="571"/>
        <w:spacing w:after="0" w:line="273" w:lineRule="auto"/>
        <w:rPr>
          <w:sz w:val="20"/>
          <w:szCs w:val="20"/>
          <w:color w:val="auto"/>
        </w:rPr>
      </w:pPr>
      <w:r>
        <w:rPr>
          <w:rFonts w:ascii="Arial" w:cs="Arial" w:eastAsia="Arial" w:hAnsi="Arial"/>
          <w:sz w:val="19"/>
          <w:szCs w:val="19"/>
          <w:color w:val="auto"/>
        </w:rPr>
        <w:t>Waddell &amp; Reed Financial, Inc., Waddell &amp; Reed Financial Services, Inc., Waddell &amp; Reed, Inc., Waddell &amp; Reed Investment Management Company and Ivy Investment Management Company (the “Filing Persons”), hereby agree to file jointly a Schedule 13G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13G and any amendments thereto with respect to such Filing Person will be true, complete and correct as of the date of such Schedule 13G or such amendment, to the best of such Filing Person’s knowledge and belief, after reasonable inquiry. Each of the Filing Persons makes no representations as to the accuracy or adequacy of the information set forth in the Schedule 13G or any amendments thereto with respect to any other Filing Person. Each of the Filing Persons shall promptly notify the other Filing Persons if any of the information set forth in the Schedule 13G or any amendments thereto shall become inaccurate in any material respect or if said person learns of information that would require an amendment to the Schedule 13G.</w:t>
      </w:r>
    </w:p>
    <w:p>
      <w:pPr>
        <w:spacing w:after="0" w:line="26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IN WITNESS WHEREOF, the undersigned have set their hands this 2</w:t>
      </w:r>
      <w:r>
        <w:rPr>
          <w:rFonts w:ascii="Arial" w:cs="Arial" w:eastAsia="Arial" w:hAnsi="Arial"/>
          <w:sz w:val="11"/>
          <w:szCs w:val="11"/>
          <w:color w:val="auto"/>
        </w:rPr>
        <w:t>nd</w:t>
      </w:r>
      <w:r>
        <w:rPr>
          <w:rFonts w:ascii="Arial" w:cs="Arial" w:eastAsia="Arial" w:hAnsi="Arial"/>
          <w:sz w:val="22"/>
          <w:szCs w:val="22"/>
          <w:color w:val="auto"/>
        </w:rPr>
        <w:t xml:space="preserve"> day of February, 2007.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Waddell &amp; Reed Financial Services, Inc.</w:t>
            </w:r>
          </w:p>
        </w:tc>
      </w:tr>
      <w:tr>
        <w:trPr>
          <w:trHeight w:val="409"/>
        </w:trPr>
        <w:tc>
          <w:tcPr>
            <w:tcW w:w="47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5860" w:type="dxa"/>
            <w:vAlign w:val="bottom"/>
            <w:gridSpan w:val="3"/>
          </w:tcPr>
          <w:p>
            <w:pPr>
              <w:ind w:left="134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Title: Vice President</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Title: Attorney-In-Fact</w:t>
            </w:r>
          </w:p>
        </w:tc>
      </w:tr>
      <w:tr>
        <w:trPr>
          <w:trHeight w:val="675"/>
        </w:trPr>
        <w:tc>
          <w:tcPr>
            <w:tcW w:w="472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w w:val="88"/>
              </w:rPr>
              <w:t>Waddell &amp; Reed Investment Management Company</w:t>
            </w:r>
          </w:p>
        </w:tc>
      </w:tr>
      <w:tr>
        <w:trPr>
          <w:trHeight w:val="409"/>
        </w:trPr>
        <w:tc>
          <w:tcPr>
            <w:tcW w:w="47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5860" w:type="dxa"/>
            <w:vAlign w:val="bottom"/>
            <w:gridSpan w:val="3"/>
          </w:tcPr>
          <w:p>
            <w:pPr>
              <w:ind w:left="134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Title: Attorney-In-Fact</w:t>
            </w:r>
          </w:p>
        </w:tc>
      </w:tr>
      <w:tr>
        <w:trPr>
          <w:trHeight w:val="675"/>
        </w:trPr>
        <w:tc>
          <w:tcPr>
            <w:tcW w:w="472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09"/>
        </w:trPr>
        <w:tc>
          <w:tcPr>
            <w:tcW w:w="47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1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17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620" w:type="dxa"/>
            <w:vAlign w:val="bottom"/>
          </w:tcPr>
          <w:p>
            <w:pPr>
              <w:spacing w:after="0"/>
              <w:rPr>
                <w:sz w:val="23"/>
                <w:szCs w:val="23"/>
                <w:color w:val="auto"/>
              </w:rPr>
            </w:pPr>
          </w:p>
        </w:tc>
      </w:tr>
    </w:tbl>
    <w:p>
      <w:pPr>
        <w:sectPr>
          <w:pgSz w:w="11900" w:h="16838" w:orient="portrait"/>
          <w:cols w:equalWidth="0" w:num="1">
            <w:col w:w="11340"/>
          </w:cols>
          <w:pgMar w:left="240" w:top="118" w:right="319" w:bottom="1440" w:gutter="0" w:footer="0" w:header="0"/>
        </w:sectPr>
      </w:pPr>
    </w:p>
    <w:bookmarkStart w:id="12" w:name="page13"/>
    <w:bookmarkEnd w:id="12"/>
    <w:p>
      <w:pPr>
        <w:ind w:left="5200"/>
        <w:spacing w:after="0"/>
        <w:rPr>
          <w:sz w:val="20"/>
          <w:szCs w:val="20"/>
          <w:color w:val="auto"/>
        </w:rPr>
      </w:pPr>
      <w:r>
        <w:rPr>
          <w:rFonts w:ascii="Arial" w:cs="Arial" w:eastAsia="Arial" w:hAnsi="Arial"/>
          <w:sz w:val="22"/>
          <w:szCs w:val="22"/>
          <w:u w:val="single" w:color="auto"/>
          <w:color w:val="auto"/>
        </w:rPr>
        <w:t>EXHIBIT 2</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Waddell &amp; Reed Investment Management Company - Tax ID No. 48-1106973</w:t>
      </w:r>
    </w:p>
    <w:p>
      <w:pPr>
        <w:spacing w:after="0" w:line="152" w:lineRule="exact"/>
        <w:rPr>
          <w:sz w:val="20"/>
          <w:szCs w:val="20"/>
          <w:color w:val="auto"/>
        </w:rPr>
      </w:pPr>
    </w:p>
    <w:p>
      <w:pPr>
        <w:ind w:right="1679" w:firstLine="799"/>
        <w:spacing w:after="0" w:line="384" w:lineRule="auto"/>
        <w:rPr>
          <w:sz w:val="20"/>
          <w:szCs w:val="20"/>
          <w:color w:val="auto"/>
        </w:rPr>
      </w:pPr>
      <w:r>
        <w:rPr>
          <w:rFonts w:ascii="Arial" w:cs="Arial" w:eastAsia="Arial" w:hAnsi="Arial"/>
          <w:sz w:val="22"/>
          <w:szCs w:val="22"/>
          <w:color w:val="auto"/>
        </w:rPr>
        <w:t>Investment Advisor registered under Section 203 of the Investment Advisors Act of 1940 Ivy Investment Management Company - Tax ID No. 03-0481447</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Investment Advisor registered under Section 203 of the Investment Advisors Act of 1940</w:t>
      </w:r>
    </w:p>
    <w:p>
      <w:pPr>
        <w:sectPr>
          <w:pgSz w:w="11900" w:h="16838" w:orient="portrait"/>
          <w:cols w:equalWidth="0" w:num="1">
            <w:col w:w="10219"/>
          </w:cols>
          <w:pgMar w:left="240" w:top="118" w:right="1440" w:bottom="1440" w:gutter="0" w:footer="0" w:header="0"/>
        </w:sectPr>
      </w:pPr>
    </w:p>
    <w:bookmarkStart w:id="13" w:name="page14"/>
    <w:bookmarkEnd w:id="13"/>
    <w:p>
      <w:pPr>
        <w:ind w:left="5200"/>
        <w:spacing w:after="0"/>
        <w:rPr>
          <w:sz w:val="20"/>
          <w:szCs w:val="20"/>
          <w:color w:val="auto"/>
        </w:rPr>
      </w:pPr>
      <w:r>
        <w:rPr>
          <w:rFonts w:ascii="Arial" w:cs="Arial" w:eastAsia="Arial" w:hAnsi="Arial"/>
          <w:sz w:val="22"/>
          <w:szCs w:val="22"/>
          <w:u w:val="single" w:color="auto"/>
          <w:color w:val="auto"/>
        </w:rPr>
        <w:t>EXHIBIT 3</w:t>
      </w:r>
    </w:p>
    <w:p>
      <w:pPr>
        <w:spacing w:after="0" w:line="147"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77" w:lineRule="exact"/>
        <w:rPr>
          <w:sz w:val="20"/>
          <w:szCs w:val="20"/>
          <w:color w:val="auto"/>
        </w:rPr>
      </w:pPr>
    </w:p>
    <w:p>
      <w:pPr>
        <w:ind w:firstLine="571"/>
        <w:spacing w:after="0" w:line="274" w:lineRule="auto"/>
        <w:rPr>
          <w:sz w:val="20"/>
          <w:szCs w:val="20"/>
          <w:color w:val="auto"/>
        </w:rPr>
      </w:pPr>
      <w:r>
        <w:rPr>
          <w:rFonts w:ascii="Arial" w:cs="Arial" w:eastAsia="Arial" w:hAnsi="Arial"/>
          <w:sz w:val="19"/>
          <w:szCs w:val="19"/>
          <w:color w:val="auto"/>
        </w:rPr>
        <w:t>The undersigned, Waddell &amp; Reed Financial, Inc., a corporation organized and existing under the laws of the State of Delaware, constitutes and appoints Wendy J. Hills, J.J. Richie and Mark P. Buyle,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99" w:lineRule="exact"/>
        <w:rPr>
          <w:sz w:val="20"/>
          <w:szCs w:val="20"/>
          <w:color w:val="auto"/>
        </w:rPr>
      </w:pPr>
    </w:p>
    <w:p>
      <w:pPr>
        <w:ind w:right="240" w:firstLine="571"/>
        <w:spacing w:after="0" w:line="28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corporation has caused this power of attorney to be executed in its corporate name by its</w:t>
      </w:r>
      <w:r>
        <w:rPr>
          <w:rFonts w:ascii="Arial" w:cs="Arial" w:eastAsia="Arial" w:hAnsi="Arial"/>
          <w:sz w:val="21"/>
          <w:szCs w:val="21"/>
          <w:b w:val="1"/>
          <w:bCs w:val="1"/>
          <w:color w:val="auto"/>
        </w:rPr>
        <w:t xml:space="preserve"> </w:t>
      </w:r>
      <w:r>
        <w:rPr>
          <w:rFonts w:ascii="Arial" w:cs="Arial" w:eastAsia="Arial" w:hAnsi="Arial"/>
          <w:sz w:val="21"/>
          <w:szCs w:val="21"/>
          <w:color w:val="auto"/>
        </w:rPr>
        <w:t>Chief Executive Officer and its Secretary corporate seal to be affixed hereto on this 12</w:t>
      </w:r>
      <w:r>
        <w:rPr>
          <w:rFonts w:ascii="Arial" w:cs="Arial" w:eastAsia="Arial" w:hAnsi="Arial"/>
          <w:sz w:val="11"/>
          <w:szCs w:val="11"/>
          <w:color w:val="auto"/>
        </w:rPr>
        <w:t>th</w:t>
      </w:r>
      <w:r>
        <w:rPr>
          <w:rFonts w:ascii="Arial" w:cs="Arial" w:eastAsia="Arial" w:hAnsi="Arial"/>
          <w:sz w:val="21"/>
          <w:szCs w:val="21"/>
          <w:color w:val="auto"/>
        </w:rPr>
        <w:t xml:space="preserve"> day of August, 2015.</w:t>
      </w:r>
    </w:p>
    <w:p>
      <w:pPr>
        <w:spacing w:after="0" w:line="200" w:lineRule="exact"/>
        <w:rPr>
          <w:sz w:val="20"/>
          <w:szCs w:val="20"/>
          <w:color w:val="auto"/>
        </w:rPr>
      </w:pPr>
    </w:p>
    <w:p>
      <w:pPr>
        <w:spacing w:after="0" w:line="336"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Financial, Inc.</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6400"/>
        <w:spacing w:after="0" w:line="238" w:lineRule="auto"/>
        <w:rPr>
          <w:sz w:val="20"/>
          <w:szCs w:val="20"/>
          <w:color w:val="auto"/>
        </w:rPr>
      </w:pPr>
      <w:r>
        <w:rPr>
          <w:rFonts w:ascii="Arial" w:cs="Arial" w:eastAsia="Arial" w:hAnsi="Arial"/>
          <w:sz w:val="22"/>
          <w:szCs w:val="22"/>
          <w:color w:val="auto"/>
        </w:rPr>
        <w:t>Henry J. Herrmann</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720"/>
        <w:spacing w:after="0" w:line="238" w:lineRule="auto"/>
        <w:rPr>
          <w:sz w:val="20"/>
          <w:szCs w:val="20"/>
          <w:color w:val="auto"/>
        </w:rPr>
      </w:pPr>
      <w:r>
        <w:rPr>
          <w:rFonts w:ascii="Arial" w:cs="Arial" w:eastAsia="Arial" w:hAnsi="Arial"/>
          <w:sz w:val="22"/>
          <w:szCs w:val="22"/>
          <w:color w:val="auto"/>
        </w:rPr>
        <w:t>Wendy J. Hills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340"/>
          </w:cols>
          <w:pgMar w:left="240" w:top="118" w:right="319" w:bottom="1440" w:gutter="0" w:footer="0" w:header="0"/>
        </w:sectPr>
      </w:pPr>
    </w:p>
    <w:bookmarkStart w:id="14" w:name="page15"/>
    <w:bookmarkEnd w:id="14"/>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ind w:firstLine="571"/>
        <w:spacing w:after="0" w:line="274" w:lineRule="auto"/>
        <w:rPr>
          <w:sz w:val="20"/>
          <w:szCs w:val="20"/>
          <w:color w:val="auto"/>
        </w:rPr>
      </w:pPr>
      <w:r>
        <w:rPr>
          <w:rFonts w:ascii="Arial" w:cs="Arial" w:eastAsia="Arial" w:hAnsi="Arial"/>
          <w:sz w:val="19"/>
          <w:szCs w:val="19"/>
          <w:color w:val="auto"/>
        </w:rPr>
        <w:t>The undersigned, Waddell &amp; Reed Financial Services, Inc., a corporation organized and existing under the laws of the State of Delaware, constitutes and appoints Wendy J. Hills, J.J. Richie and Mark P. Buyle,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99" w:lineRule="exact"/>
        <w:rPr>
          <w:sz w:val="20"/>
          <w:szCs w:val="20"/>
          <w:color w:val="auto"/>
        </w:rPr>
      </w:pPr>
    </w:p>
    <w:p>
      <w:pPr>
        <w:ind w:right="240" w:firstLine="571"/>
        <w:spacing w:after="0" w:line="28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corporation has caused this power of attorney to be executed in its corporate name by its</w:t>
      </w:r>
      <w:r>
        <w:rPr>
          <w:rFonts w:ascii="Arial" w:cs="Arial" w:eastAsia="Arial" w:hAnsi="Arial"/>
          <w:sz w:val="21"/>
          <w:szCs w:val="21"/>
          <w:b w:val="1"/>
          <w:bCs w:val="1"/>
          <w:color w:val="auto"/>
        </w:rPr>
        <w:t xml:space="preserve"> </w:t>
      </w:r>
      <w:r>
        <w:rPr>
          <w:rFonts w:ascii="Arial" w:cs="Arial" w:eastAsia="Arial" w:hAnsi="Arial"/>
          <w:sz w:val="21"/>
          <w:szCs w:val="21"/>
          <w:color w:val="auto"/>
        </w:rPr>
        <w:t>Chief Executive Officer and its Secretary corporate seal to be affixed hereto on this 12</w:t>
      </w:r>
      <w:r>
        <w:rPr>
          <w:rFonts w:ascii="Arial" w:cs="Arial" w:eastAsia="Arial" w:hAnsi="Arial"/>
          <w:sz w:val="11"/>
          <w:szCs w:val="11"/>
          <w:color w:val="auto"/>
        </w:rPr>
        <w:t>th</w:t>
      </w:r>
      <w:r>
        <w:rPr>
          <w:rFonts w:ascii="Arial" w:cs="Arial" w:eastAsia="Arial" w:hAnsi="Arial"/>
          <w:sz w:val="21"/>
          <w:szCs w:val="21"/>
          <w:color w:val="auto"/>
        </w:rPr>
        <w:t xml:space="preserve"> day of August, 2015.</w:t>
      </w:r>
    </w:p>
    <w:p>
      <w:pPr>
        <w:spacing w:after="0" w:line="200" w:lineRule="exact"/>
        <w:rPr>
          <w:sz w:val="20"/>
          <w:szCs w:val="20"/>
          <w:color w:val="auto"/>
        </w:rPr>
      </w:pPr>
    </w:p>
    <w:p>
      <w:pPr>
        <w:spacing w:after="0" w:line="336"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Financial Services, Inc.</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6400"/>
        <w:spacing w:after="0" w:line="238" w:lineRule="auto"/>
        <w:rPr>
          <w:sz w:val="20"/>
          <w:szCs w:val="20"/>
          <w:color w:val="auto"/>
        </w:rPr>
      </w:pPr>
      <w:r>
        <w:rPr>
          <w:rFonts w:ascii="Arial" w:cs="Arial" w:eastAsia="Arial" w:hAnsi="Arial"/>
          <w:sz w:val="22"/>
          <w:szCs w:val="22"/>
          <w:color w:val="auto"/>
        </w:rPr>
        <w:t>Henry J. Herrmann</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James D. Hughes</w:t>
      </w:r>
    </w:p>
    <w:p>
      <w:pPr>
        <w:ind w:left="720"/>
        <w:spacing w:after="0" w:line="238" w:lineRule="auto"/>
        <w:rPr>
          <w:sz w:val="20"/>
          <w:szCs w:val="20"/>
          <w:color w:val="auto"/>
        </w:rPr>
      </w:pPr>
      <w:r>
        <w:rPr>
          <w:rFonts w:ascii="Arial" w:cs="Arial" w:eastAsia="Arial" w:hAnsi="Arial"/>
          <w:sz w:val="22"/>
          <w:szCs w:val="22"/>
          <w:color w:val="auto"/>
        </w:rPr>
        <w:t>James D. Hughes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340"/>
          </w:cols>
          <w:pgMar w:left="240" w:top="261" w:right="319" w:bottom="1440" w:gutter="0" w:footer="0" w:header="0"/>
        </w:sectPr>
      </w:pPr>
    </w:p>
    <w:bookmarkStart w:id="15" w:name="page16"/>
    <w:bookmarkEnd w:id="15"/>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ind w:firstLine="571"/>
        <w:spacing w:after="0" w:line="274" w:lineRule="auto"/>
        <w:rPr>
          <w:sz w:val="20"/>
          <w:szCs w:val="20"/>
          <w:color w:val="auto"/>
        </w:rPr>
      </w:pPr>
      <w:r>
        <w:rPr>
          <w:rFonts w:ascii="Arial" w:cs="Arial" w:eastAsia="Arial" w:hAnsi="Arial"/>
          <w:sz w:val="19"/>
          <w:szCs w:val="19"/>
          <w:color w:val="auto"/>
        </w:rPr>
        <w:t>The undersigned, Waddell &amp; Reed, Inc., a corporation organized and existing under the laws of the State of Delaware, constitutes and appoints Wendy J. Hills, J.J. Richie and Mark P. Buyle,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99" w:lineRule="exact"/>
        <w:rPr>
          <w:sz w:val="20"/>
          <w:szCs w:val="20"/>
          <w:color w:val="auto"/>
        </w:rPr>
      </w:pPr>
    </w:p>
    <w:p>
      <w:pPr>
        <w:ind w:right="220" w:firstLine="571"/>
        <w:spacing w:after="0" w:line="28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corporation has caused this power of attorney to be executed in its corporate name by its</w:t>
      </w:r>
      <w:r>
        <w:rPr>
          <w:rFonts w:ascii="Arial" w:cs="Arial" w:eastAsia="Arial" w:hAnsi="Arial"/>
          <w:sz w:val="21"/>
          <w:szCs w:val="21"/>
          <w:b w:val="1"/>
          <w:bCs w:val="1"/>
          <w:color w:val="auto"/>
        </w:rPr>
        <w:t xml:space="preserve"> </w:t>
      </w:r>
      <w:r>
        <w:rPr>
          <w:rFonts w:ascii="Arial" w:cs="Arial" w:eastAsia="Arial" w:hAnsi="Arial"/>
          <w:sz w:val="21"/>
          <w:szCs w:val="21"/>
          <w:color w:val="auto"/>
        </w:rPr>
        <w:t>Chief Executive Officer and its Secretary corporate seal to be affixed hereto on this 12</w:t>
      </w:r>
      <w:r>
        <w:rPr>
          <w:rFonts w:ascii="Arial" w:cs="Arial" w:eastAsia="Arial" w:hAnsi="Arial"/>
          <w:sz w:val="11"/>
          <w:szCs w:val="11"/>
          <w:color w:val="auto"/>
        </w:rPr>
        <w:t>th</w:t>
      </w:r>
      <w:r>
        <w:rPr>
          <w:rFonts w:ascii="Arial" w:cs="Arial" w:eastAsia="Arial" w:hAnsi="Arial"/>
          <w:sz w:val="21"/>
          <w:szCs w:val="21"/>
          <w:color w:val="auto"/>
        </w:rPr>
        <w:t xml:space="preserve"> day of August, 2015.</w:t>
      </w:r>
    </w:p>
    <w:p>
      <w:pPr>
        <w:spacing w:after="0" w:line="200" w:lineRule="exact"/>
        <w:rPr>
          <w:sz w:val="20"/>
          <w:szCs w:val="20"/>
          <w:color w:val="auto"/>
        </w:rPr>
      </w:pPr>
    </w:p>
    <w:p>
      <w:pPr>
        <w:spacing w:after="0" w:line="336"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Inc.</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W. Butch</w:t>
      </w:r>
    </w:p>
    <w:p>
      <w:pPr>
        <w:ind w:left="6400"/>
        <w:spacing w:after="0" w:line="238" w:lineRule="auto"/>
        <w:rPr>
          <w:sz w:val="20"/>
          <w:szCs w:val="20"/>
          <w:color w:val="auto"/>
        </w:rPr>
      </w:pPr>
      <w:r>
        <w:rPr>
          <w:rFonts w:ascii="Arial" w:cs="Arial" w:eastAsia="Arial" w:hAnsi="Arial"/>
          <w:sz w:val="22"/>
          <w:szCs w:val="22"/>
          <w:color w:val="auto"/>
        </w:rPr>
        <w:t>Thomas W. Butch</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James D. Hughes</w:t>
      </w:r>
    </w:p>
    <w:p>
      <w:pPr>
        <w:ind w:left="720"/>
        <w:spacing w:after="0" w:line="238" w:lineRule="auto"/>
        <w:rPr>
          <w:sz w:val="20"/>
          <w:szCs w:val="20"/>
          <w:color w:val="auto"/>
        </w:rPr>
      </w:pPr>
      <w:r>
        <w:rPr>
          <w:rFonts w:ascii="Arial" w:cs="Arial" w:eastAsia="Arial" w:hAnsi="Arial"/>
          <w:sz w:val="22"/>
          <w:szCs w:val="22"/>
          <w:color w:val="auto"/>
        </w:rPr>
        <w:t>James D. Hughes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320"/>
          </w:cols>
          <w:pgMar w:left="240" w:top="261" w:right="339" w:bottom="1440" w:gutter="0" w:footer="0" w:header="0"/>
        </w:sectPr>
      </w:pPr>
    </w:p>
    <w:bookmarkStart w:id="16" w:name="page17"/>
    <w:bookmarkEnd w:id="16"/>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ind w:firstLine="571"/>
        <w:spacing w:after="0" w:line="245" w:lineRule="auto"/>
        <w:rPr>
          <w:sz w:val="20"/>
          <w:szCs w:val="20"/>
          <w:color w:val="auto"/>
        </w:rPr>
      </w:pPr>
      <w:r>
        <w:rPr>
          <w:rFonts w:ascii="Arial" w:cs="Arial" w:eastAsia="Arial" w:hAnsi="Arial"/>
          <w:sz w:val="21"/>
          <w:szCs w:val="21"/>
          <w:color w:val="auto"/>
        </w:rPr>
        <w:t>The undersigned, Waddell &amp; Reed Investment Management Company, a corporation organized and existing under the laws of the State of Kansas, constitutes and appoints Wendy J. Hills, J.J. Richie and Mark P. Buyle,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122" w:lineRule="exact"/>
        <w:rPr>
          <w:sz w:val="20"/>
          <w:szCs w:val="20"/>
          <w:color w:val="auto"/>
        </w:rPr>
      </w:pPr>
    </w:p>
    <w:p>
      <w:pPr>
        <w:ind w:right="280" w:firstLine="571"/>
        <w:spacing w:after="0" w:line="280"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corporation has caused this power of attorney to be executed in its corporate name by its</w:t>
      </w:r>
      <w:r>
        <w:rPr>
          <w:rFonts w:ascii="Arial" w:cs="Arial" w:eastAsia="Arial" w:hAnsi="Arial"/>
          <w:sz w:val="21"/>
          <w:szCs w:val="21"/>
          <w:b w:val="1"/>
          <w:bCs w:val="1"/>
          <w:color w:val="auto"/>
        </w:rPr>
        <w:t xml:space="preserve"> </w:t>
      </w:r>
      <w:r>
        <w:rPr>
          <w:rFonts w:ascii="Arial" w:cs="Arial" w:eastAsia="Arial" w:hAnsi="Arial"/>
          <w:sz w:val="21"/>
          <w:szCs w:val="21"/>
          <w:color w:val="auto"/>
        </w:rPr>
        <w:t>Chief Executive Officer and its Secretary corporate seal to be affixed hereto on this 12</w:t>
      </w:r>
      <w:r>
        <w:rPr>
          <w:rFonts w:ascii="Arial" w:cs="Arial" w:eastAsia="Arial" w:hAnsi="Arial"/>
          <w:sz w:val="11"/>
          <w:szCs w:val="11"/>
          <w:color w:val="auto"/>
        </w:rPr>
        <w:t>th</w:t>
      </w:r>
      <w:r>
        <w:rPr>
          <w:rFonts w:ascii="Arial" w:cs="Arial" w:eastAsia="Arial" w:hAnsi="Arial"/>
          <w:sz w:val="21"/>
          <w:szCs w:val="21"/>
          <w:color w:val="auto"/>
        </w:rPr>
        <w:t xml:space="preserve"> day of August, 2015.</w:t>
      </w:r>
    </w:p>
    <w:p>
      <w:pPr>
        <w:spacing w:after="0" w:line="200" w:lineRule="exact"/>
        <w:rPr>
          <w:sz w:val="20"/>
          <w:szCs w:val="20"/>
          <w:color w:val="auto"/>
        </w:rPr>
      </w:pPr>
    </w:p>
    <w:p>
      <w:pPr>
        <w:spacing w:after="0" w:line="336"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Investment Management Company</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6400"/>
        <w:spacing w:after="0" w:line="238" w:lineRule="auto"/>
        <w:rPr>
          <w:sz w:val="20"/>
          <w:szCs w:val="20"/>
          <w:color w:val="auto"/>
        </w:rPr>
      </w:pPr>
      <w:r>
        <w:rPr>
          <w:rFonts w:ascii="Arial" w:cs="Arial" w:eastAsia="Arial" w:hAnsi="Arial"/>
          <w:sz w:val="22"/>
          <w:szCs w:val="22"/>
          <w:color w:val="auto"/>
        </w:rPr>
        <w:t>Henry J. Herrmann</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James D. Hughes</w:t>
      </w:r>
    </w:p>
    <w:p>
      <w:pPr>
        <w:ind w:left="720"/>
        <w:spacing w:after="0" w:line="238" w:lineRule="auto"/>
        <w:rPr>
          <w:sz w:val="20"/>
          <w:szCs w:val="20"/>
          <w:color w:val="auto"/>
        </w:rPr>
      </w:pPr>
      <w:r>
        <w:rPr>
          <w:rFonts w:ascii="Arial" w:cs="Arial" w:eastAsia="Arial" w:hAnsi="Arial"/>
          <w:sz w:val="22"/>
          <w:szCs w:val="22"/>
          <w:color w:val="auto"/>
        </w:rPr>
        <w:t>James D. Hughes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380"/>
          </w:cols>
          <w:pgMar w:left="240" w:top="261" w:right="279" w:bottom="1440" w:gutter="0" w:footer="0" w:header="0"/>
        </w:sectPr>
      </w:pPr>
    </w:p>
    <w:bookmarkStart w:id="17" w:name="page18"/>
    <w:bookmarkEnd w:id="17"/>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158" w:lineRule="exact"/>
        <w:rPr>
          <w:sz w:val="20"/>
          <w:szCs w:val="20"/>
          <w:color w:val="auto"/>
        </w:rPr>
      </w:pPr>
    </w:p>
    <w:p>
      <w:pPr>
        <w:ind w:firstLine="571"/>
        <w:spacing w:after="0" w:line="274" w:lineRule="auto"/>
        <w:rPr>
          <w:sz w:val="20"/>
          <w:szCs w:val="20"/>
          <w:color w:val="auto"/>
        </w:rPr>
      </w:pPr>
      <w:r>
        <w:rPr>
          <w:rFonts w:ascii="Arial" w:cs="Arial" w:eastAsia="Arial" w:hAnsi="Arial"/>
          <w:sz w:val="19"/>
          <w:szCs w:val="19"/>
          <w:color w:val="auto"/>
        </w:rPr>
        <w:t>The undersigned, Ivy Investment Management Company, a corporation organized and existing under the laws of the State of Delaware, constitutes and appoints Wendy J. Hills, J.J. Richie and Mark P. Buyle,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99" w:lineRule="exact"/>
        <w:rPr>
          <w:sz w:val="20"/>
          <w:szCs w:val="20"/>
          <w:color w:val="auto"/>
        </w:rPr>
      </w:pPr>
    </w:p>
    <w:p>
      <w:pPr>
        <w:ind w:right="240" w:firstLine="571"/>
        <w:spacing w:after="0" w:line="335"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corporation has caused this power of attorney to be executed in its corporate name by its</w:t>
      </w:r>
      <w:r>
        <w:rPr>
          <w:rFonts w:ascii="Arial" w:cs="Arial" w:eastAsia="Arial" w:hAnsi="Arial"/>
          <w:sz w:val="19"/>
          <w:szCs w:val="19"/>
          <w:b w:val="1"/>
          <w:bCs w:val="1"/>
          <w:color w:val="auto"/>
        </w:rPr>
        <w:t xml:space="preserve"> </w:t>
      </w:r>
      <w:r>
        <w:rPr>
          <w:rFonts w:ascii="Arial" w:cs="Arial" w:eastAsia="Arial" w:hAnsi="Arial"/>
          <w:sz w:val="19"/>
          <w:szCs w:val="19"/>
          <w:color w:val="auto"/>
        </w:rPr>
        <w:t>Chief Executive Officer and its Secretary with its corporate seal to be affixed hereto on this 12</w:t>
      </w:r>
      <w:r>
        <w:rPr>
          <w:rFonts w:ascii="Arial" w:cs="Arial" w:eastAsia="Arial" w:hAnsi="Arial"/>
          <w:sz w:val="10"/>
          <w:szCs w:val="10"/>
          <w:color w:val="auto"/>
        </w:rPr>
        <w:t>th</w:t>
      </w:r>
      <w:r>
        <w:rPr>
          <w:rFonts w:ascii="Arial" w:cs="Arial" w:eastAsia="Arial" w:hAnsi="Arial"/>
          <w:sz w:val="19"/>
          <w:szCs w:val="19"/>
          <w:color w:val="auto"/>
        </w:rPr>
        <w:t xml:space="preserve"> day of August, 2015.</w:t>
      </w:r>
    </w:p>
    <w:p>
      <w:pPr>
        <w:spacing w:after="0" w:line="200" w:lineRule="exact"/>
        <w:rPr>
          <w:sz w:val="20"/>
          <w:szCs w:val="20"/>
          <w:color w:val="auto"/>
        </w:rPr>
      </w:pPr>
    </w:p>
    <w:p>
      <w:pPr>
        <w:spacing w:after="0" w:line="290"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Ivy Investment Management Company</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6400"/>
        <w:spacing w:after="0" w:line="238" w:lineRule="auto"/>
        <w:rPr>
          <w:sz w:val="20"/>
          <w:szCs w:val="20"/>
          <w:color w:val="auto"/>
        </w:rPr>
      </w:pPr>
      <w:r>
        <w:rPr>
          <w:rFonts w:ascii="Arial" w:cs="Arial" w:eastAsia="Arial" w:hAnsi="Arial"/>
          <w:sz w:val="22"/>
          <w:szCs w:val="22"/>
          <w:color w:val="auto"/>
        </w:rPr>
        <w:t>Henry J. Herrmann</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James D. Hughes</w:t>
      </w:r>
    </w:p>
    <w:p>
      <w:pPr>
        <w:ind w:left="720"/>
        <w:spacing w:after="0" w:line="238" w:lineRule="auto"/>
        <w:rPr>
          <w:sz w:val="20"/>
          <w:szCs w:val="20"/>
          <w:color w:val="auto"/>
        </w:rPr>
      </w:pPr>
      <w:r>
        <w:rPr>
          <w:rFonts w:ascii="Arial" w:cs="Arial" w:eastAsia="Arial" w:hAnsi="Arial"/>
          <w:sz w:val="22"/>
          <w:szCs w:val="22"/>
          <w:color w:val="auto"/>
        </w:rPr>
        <w:t>James D. Hughes</w:t>
      </w:r>
    </w:p>
    <w:p>
      <w:pPr>
        <w:ind w:left="720"/>
        <w:spacing w:after="0"/>
        <w:rPr>
          <w:sz w:val="20"/>
          <w:szCs w:val="20"/>
          <w:color w:val="auto"/>
        </w:rPr>
      </w:pPr>
      <w:r>
        <w:rPr>
          <w:rFonts w:ascii="Arial" w:cs="Arial" w:eastAsia="Arial" w:hAnsi="Arial"/>
          <w:sz w:val="22"/>
          <w:szCs w:val="22"/>
          <w:color w:val="auto"/>
        </w:rPr>
        <w:t>Secretary</w:t>
      </w:r>
    </w:p>
    <w:sectPr>
      <w:pgSz w:w="11900" w:h="16838" w:orient="portrait"/>
      <w:cols w:equalWidth="0" w:num="1">
        <w:col w:w="11340"/>
      </w:cols>
      <w:pgMar w:left="240" w:top="26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2]"/>
      <w:numFmt w:val="upperLetter"/>
      <w:start w:val="24"/>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decimal"/>
      <w:start w:val="9"/>
    </w:lvl>
  </w:abstractNum>
  <w:abstractNum w:abstractNumId="3">
    <w:nsid w:val="216231B"/>
    <w:multiLevelType w:val="hybridMultilevel"/>
    <w:lvl w:ilvl="0">
      <w:lvlJc w:val="left"/>
      <w:lvlText w:val="%1."/>
      <w:numFmt w:val="decimal"/>
      <w:start w:val="1"/>
    </w:lvl>
    <w:lvl w:ilvl="1">
      <w:lvlJc w:val="left"/>
      <w:lvlText w:val="(%2)"/>
      <w:numFmt w:val="lowerLetter"/>
      <w:start w:val="1"/>
    </w:lvl>
  </w:abstractNum>
  <w:abstractNum w:abstractNumId="4">
    <w:nsid w:val="1F16E9E8"/>
    <w:multiLevelType w:val="hybridMultilevel"/>
    <w:lvl w:ilvl="0">
      <w:lvlJc w:val="left"/>
      <w:lvlText w:val="%1."/>
      <w:numFmt w:val="decimal"/>
      <w:start w:val="9"/>
    </w:lvl>
  </w:abstractNum>
  <w:abstractNum w:abstractNumId="5">
    <w:nsid w:val="1190CDE7"/>
    <w:multiLevelType w:val="hybridMultilevel"/>
    <w:lvl w:ilvl="0">
      <w:lvlJc w:val="left"/>
      <w:lvlText w:val="%1."/>
      <w:numFmt w:val="decimal"/>
      <w:start w:val="1"/>
    </w:lvl>
    <w:lvl w:ilvl="1">
      <w:lvlJc w:val="left"/>
      <w:lvlText w:val="(%2)"/>
      <w:numFmt w:val="lowerLetter"/>
      <w:start w:val="1"/>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
    </w:lvl>
    <w:lvl w:ilvl="1">
      <w:lvlJc w:val="left"/>
      <w:lvlText w:val="(%2)"/>
      <w:numFmt w:val="lowerLetter"/>
      <w:start w:val="1"/>
    </w:lvl>
  </w:abstractNum>
  <w:abstractNum w:abstractNumId="10">
    <w:nsid w:val="DED7263"/>
    <w:multiLevelType w:val="hybridMultilevel"/>
    <w:lvl w:ilvl="0">
      <w:lvlJc w:val="left"/>
      <w:lvlText w:val="%1."/>
      <w:numFmt w:val="decimal"/>
      <w:start w:val="9"/>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lowerLetter"/>
      <w:start w:val="1"/>
    </w:lvl>
    <w:lvl w:ilvl="1">
      <w:lvlJc w:val="left"/>
      <w:lvlText w:val="(%2)"/>
      <w:numFmt w:val="lowerRoman"/>
      <w:start w:val="1"/>
    </w:lvl>
  </w:abstractNum>
  <w:abstractNum w:abstractNumId="13">
    <w:nsid w:val="41A7C4C9"/>
    <w:multiLevelType w:val="hybridMultilevel"/>
    <w:lvl w:ilvl="0">
      <w:lvlJc w:val="left"/>
      <w:lvlText w:val="(%1)"/>
      <w:numFmt w:val="lowerRoman"/>
      <w:start w:val="4"/>
    </w:lvl>
  </w:abstractNum>
  <w:abstractNum w:abstractNumId="14">
    <w:nsid w:val="6B68079A"/>
    <w:multiLevelType w:val="hybridMultilevel"/>
    <w:lvl w:ilvl="0">
      <w:lvlJc w:val="left"/>
      <w:lvlText w:val="1"/>
      <w:numFmt w:val="bullet"/>
      <w:start w:val="1"/>
    </w:lvl>
  </w:abstractNum>
  <w:abstractNum w:abstractNumId="15">
    <w:nsid w:val="4E6AFB66"/>
    <w:multiLevelType w:val="hybridMultilevel"/>
    <w:lvl w:ilvl="0">
      <w:lvlJc w:val="left"/>
      <w:lvlText w:val="2"/>
      <w:numFmt w:val="bullet"/>
      <w:start w:val="1"/>
    </w:lvl>
  </w:abstractNum>
  <w:abstractNum w:abstractNumId="16">
    <w:nsid w:val="25E45D3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2020-01-19T13:55:21Z</dcterms:created>
  <dcterms:modified xsi:type="dcterms:W3CDTF">2020-01-19T13:55:21Z</dcterms:modified>
</cp:coreProperties>
</file>