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August 3, 2022</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8"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4"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080"/>
          </w:cols>
          <w:pgMar w:left="320" w:top="1274" w:right="499" w:bottom="1440" w:gutter="0" w:footer="0" w:header="0"/>
          <w:type w:val="continuous"/>
        </w:sectPr>
      </w:pP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33"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right="120" w:firstLine="172"/>
        <w:spacing w:after="0" w:line="285" w:lineRule="auto"/>
        <w:rPr>
          <w:sz w:val="20"/>
          <w:szCs w:val="20"/>
          <w:color w:val="auto"/>
        </w:rPr>
      </w:pPr>
      <w:r>
        <w:rPr>
          <w:rFonts w:ascii="Arial" w:cs="Arial" w:eastAsia="Arial" w:hAnsi="Arial"/>
          <w:sz w:val="16"/>
          <w:szCs w:val="16"/>
          <w:color w:val="auto"/>
        </w:rPr>
        <w:t>On August 3, 2022, the Registrant issued a press release reporting its second-quarter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240" w:type="dxa"/>
            <w:vAlign w:val="bottom"/>
            <w:gridSpan w:val="2"/>
          </w:tcPr>
          <w:p>
            <w:pPr>
              <w:ind w:left="640"/>
              <w:spacing w:after="0"/>
              <w:rPr>
                <w:sz w:val="20"/>
                <w:szCs w:val="20"/>
                <w:color w:val="auto"/>
              </w:rPr>
            </w:pPr>
            <w:r>
              <w:rPr>
                <w:rFonts w:ascii="Arial" w:cs="Arial" w:eastAsia="Arial" w:hAnsi="Arial"/>
                <w:sz w:val="16"/>
                <w:szCs w:val="16"/>
                <w:b w:val="1"/>
                <w:bCs w:val="1"/>
                <w:color w:val="auto"/>
              </w:rPr>
              <w:t>Exhibit</w:t>
            </w:r>
          </w:p>
        </w:tc>
        <w:tc>
          <w:tcPr>
            <w:tcW w:w="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320" w:type="dxa"/>
            <w:vAlign w:val="bottom"/>
            <w:vMerge w:val="restart"/>
          </w:tcPr>
          <w:p>
            <w:pPr>
              <w:jc w:val="right"/>
              <w:ind w:right="2922"/>
              <w:spacing w:after="0"/>
              <w:rPr>
                <w:sz w:val="20"/>
                <w:szCs w:val="20"/>
                <w:color w:val="auto"/>
              </w:rPr>
            </w:pPr>
            <w:r>
              <w:rPr>
                <w:rFonts w:ascii="Arial" w:cs="Arial" w:eastAsia="Arial" w:hAnsi="Arial"/>
                <w:sz w:val="16"/>
                <w:szCs w:val="16"/>
                <w:b w:val="1"/>
                <w:bCs w:val="1"/>
                <w:color w:val="auto"/>
              </w:rPr>
              <w:t>Description</w:t>
            </w:r>
          </w:p>
        </w:tc>
        <w:tc>
          <w:tcPr>
            <w:tcW w:w="19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jc w:val="right"/>
              <w:ind w:right="42"/>
              <w:spacing w:after="0" w:line="176"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760" w:type="dxa"/>
            <w:vAlign w:val="bottom"/>
            <w:gridSpan w:val="3"/>
          </w:tcPr>
          <w:p>
            <w:pPr>
              <w:spacing w:after="0" w:line="176" w:lineRule="exact"/>
              <w:rPr>
                <w:rFonts w:ascii="Arial" w:cs="Arial" w:eastAsia="Arial" w:hAnsi="Arial"/>
                <w:sz w:val="17"/>
                <w:szCs w:val="17"/>
                <w:color w:val="0000FF"/>
              </w:rPr>
            </w:pPr>
            <w:hyperlink w:anchor="page4">
              <w:r>
                <w:rPr>
                  <w:rFonts w:ascii="Arial" w:cs="Arial" w:eastAsia="Arial" w:hAnsi="Arial"/>
                  <w:sz w:val="17"/>
                  <w:szCs w:val="17"/>
                  <w:color w:val="0000FF"/>
                </w:rPr>
                <w:t>Press Release dated August 3, 2022</w:t>
              </w:r>
            </w:hyperlink>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780" w:type="dxa"/>
            <w:vAlign w:val="bottom"/>
            <w:gridSpan w:val="2"/>
          </w:tcPr>
          <w:p>
            <w:pPr>
              <w:jc w:val="right"/>
              <w:ind w:right="62"/>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6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292"/>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3"/>
          </w:tcPr>
          <w:p>
            <w:pPr>
              <w:jc w:val="right"/>
              <w:ind w:right="3522"/>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19"/>
        </w:trPr>
        <w:tc>
          <w:tcPr>
            <w:tcW w:w="2820" w:type="dxa"/>
            <w:vAlign w:val="bottom"/>
          </w:tcPr>
          <w:p>
            <w:pPr>
              <w:spacing w:after="0"/>
              <w:rPr>
                <w:sz w:val="19"/>
                <w:szCs w:val="19"/>
                <w:color w:val="auto"/>
              </w:rPr>
            </w:pPr>
          </w:p>
        </w:tc>
        <w:tc>
          <w:tcPr>
            <w:tcW w:w="7260" w:type="dxa"/>
            <w:vAlign w:val="bottom"/>
            <w:gridSpan w:val="3"/>
          </w:tcPr>
          <w:p>
            <w:pPr>
              <w:ind w:left="1320"/>
              <w:spacing w:after="0"/>
              <w:rPr>
                <w:sz w:val="20"/>
                <w:szCs w:val="20"/>
                <w:color w:val="auto"/>
              </w:rPr>
            </w:pPr>
            <w:r>
              <w:rPr>
                <w:rFonts w:ascii="Arial" w:cs="Arial" w:eastAsia="Arial" w:hAnsi="Arial"/>
                <w:sz w:val="17"/>
                <w:szCs w:val="17"/>
                <w:color w:val="auto"/>
              </w:rPr>
              <w:t>PLAINS GP HOLDINGS, L.P.</w:t>
            </w:r>
          </w:p>
        </w:tc>
      </w:tr>
      <w:tr>
        <w:trPr>
          <w:trHeight w:val="478"/>
        </w:trPr>
        <w:tc>
          <w:tcPr>
            <w:tcW w:w="2820" w:type="dxa"/>
            <w:vAlign w:val="bottom"/>
          </w:tcPr>
          <w:p>
            <w:pPr>
              <w:spacing w:after="0"/>
              <w:rPr>
                <w:sz w:val="24"/>
                <w:szCs w:val="24"/>
                <w:color w:val="auto"/>
              </w:rPr>
            </w:pPr>
          </w:p>
        </w:tc>
        <w:tc>
          <w:tcPr>
            <w:tcW w:w="1600" w:type="dxa"/>
            <w:vAlign w:val="bottom"/>
          </w:tcPr>
          <w:p>
            <w:pPr>
              <w:ind w:left="1320"/>
              <w:spacing w:after="0"/>
              <w:rPr>
                <w:sz w:val="20"/>
                <w:szCs w:val="20"/>
                <w:color w:val="auto"/>
              </w:rPr>
            </w:pPr>
            <w:r>
              <w:rPr>
                <w:rFonts w:ascii="Arial" w:cs="Arial" w:eastAsia="Arial" w:hAnsi="Arial"/>
                <w:sz w:val="17"/>
                <w:szCs w:val="17"/>
                <w:color w:val="auto"/>
              </w:rPr>
              <w:t>By:</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2820" w:type="dxa"/>
            <w:vAlign w:val="bottom"/>
          </w:tcPr>
          <w:p>
            <w:pPr>
              <w:spacing w:after="0"/>
              <w:rPr>
                <w:sz w:val="20"/>
                <w:szCs w:val="20"/>
                <w:color w:val="auto"/>
              </w:rPr>
            </w:pPr>
            <w:r>
              <w:rPr>
                <w:rFonts w:ascii="Arial" w:cs="Arial" w:eastAsia="Arial" w:hAnsi="Arial"/>
                <w:sz w:val="17"/>
                <w:szCs w:val="17"/>
                <w:color w:val="auto"/>
              </w:rPr>
              <w:t>Date: August 3, 2022</w:t>
            </w:r>
          </w:p>
        </w:tc>
        <w:tc>
          <w:tcPr>
            <w:tcW w:w="1600" w:type="dxa"/>
            <w:vAlign w:val="bottom"/>
          </w:tcPr>
          <w:p>
            <w:pPr>
              <w:ind w:left="1320"/>
              <w:spacing w:after="0"/>
              <w:rPr>
                <w:sz w:val="20"/>
                <w:szCs w:val="20"/>
                <w:color w:val="auto"/>
              </w:rPr>
            </w:pPr>
            <w:r>
              <w:rPr>
                <w:rFonts w:ascii="Arial" w:cs="Arial" w:eastAsia="Arial" w:hAnsi="Arial"/>
                <w:sz w:val="17"/>
                <w:szCs w:val="17"/>
                <w:color w:val="auto"/>
              </w:rPr>
              <w:t>By:</w:t>
            </w: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/s/ Al Swanson</w:t>
            </w:r>
          </w:p>
        </w:tc>
        <w:tc>
          <w:tcPr>
            <w:tcW w:w="3940" w:type="dxa"/>
            <w:vAlign w:val="bottom"/>
            <w:tcBorders>
              <w:bottom w:val="single" w:sz="8" w:color="auto"/>
            </w:tcBorders>
          </w:tcPr>
          <w:p>
            <w:pPr>
              <w:spacing w:after="0"/>
              <w:rPr>
                <w:sz w:val="24"/>
                <w:szCs w:val="24"/>
                <w:color w:val="auto"/>
              </w:rPr>
            </w:pPr>
          </w:p>
        </w:tc>
      </w:tr>
      <w:tr>
        <w:trPr>
          <w:trHeight w:val="213"/>
        </w:trPr>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Name:</w:t>
            </w:r>
          </w:p>
        </w:tc>
        <w:tc>
          <w:tcPr>
            <w:tcW w:w="3940" w:type="dxa"/>
            <w:vAlign w:val="bottom"/>
          </w:tcPr>
          <w:p>
            <w:pPr>
              <w:ind w:left="40"/>
              <w:spacing w:after="0"/>
              <w:rPr>
                <w:sz w:val="20"/>
                <w:szCs w:val="20"/>
                <w:color w:val="auto"/>
              </w:rPr>
            </w:pPr>
            <w:r>
              <w:rPr>
                <w:rFonts w:ascii="Arial" w:cs="Arial" w:eastAsia="Arial" w:hAnsi="Arial"/>
                <w:sz w:val="17"/>
                <w:szCs w:val="17"/>
                <w:color w:val="auto"/>
              </w:rPr>
              <w:t>Al Swanson</w:t>
            </w:r>
          </w:p>
        </w:tc>
      </w:tr>
      <w:tr>
        <w:trPr>
          <w:trHeight w:val="220"/>
        </w:trPr>
        <w:tc>
          <w:tcPr>
            <w:tcW w:w="2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Title:</w:t>
            </w:r>
          </w:p>
        </w:tc>
        <w:tc>
          <w:tcPr>
            <w:tcW w:w="3940" w:type="dxa"/>
            <w:vAlign w:val="bottom"/>
          </w:tcPr>
          <w:p>
            <w:pPr>
              <w:ind w:left="40"/>
              <w:spacing w:after="0"/>
              <w:rPr>
                <w:sz w:val="20"/>
                <w:szCs w:val="20"/>
                <w:color w:val="auto"/>
              </w:rPr>
            </w:pPr>
            <w:r>
              <w:rPr>
                <w:rFonts w:ascii="Arial" w:cs="Arial" w:eastAsia="Arial" w:hAnsi="Arial"/>
                <w:sz w:val="17"/>
                <w:szCs w:val="17"/>
                <w:i w:val="1"/>
                <w:iCs w:val="1"/>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Second-Quarter 2022 Results</w:t>
      </w:r>
    </w:p>
    <w:p>
      <w:pPr>
        <w:spacing w:after="0" w:line="240" w:lineRule="exact"/>
        <w:rPr>
          <w:sz w:val="20"/>
          <w:szCs w:val="20"/>
          <w:color w:val="auto"/>
        </w:rPr>
      </w:pPr>
    </w:p>
    <w:p>
      <w:pPr>
        <w:ind w:right="580"/>
        <w:spacing w:after="0" w:line="265" w:lineRule="auto"/>
        <w:rPr>
          <w:sz w:val="20"/>
          <w:szCs w:val="20"/>
          <w:color w:val="auto"/>
        </w:rPr>
      </w:pPr>
      <w:r>
        <w:rPr>
          <w:rFonts w:ascii="Arial" w:cs="Arial" w:eastAsia="Arial" w:hAnsi="Arial"/>
          <w:sz w:val="19"/>
          <w:szCs w:val="19"/>
          <w:color w:val="auto"/>
        </w:rPr>
        <w:t>Houston, TX – August 3, 2022 – Plains All American Pipeline, L.P. (Nasdaq: PAA) and Plains GP Holdings (Nasdaq: PAGP) today reported second-quarter 2022 results and provided the following updates:</w:t>
      </w:r>
    </w:p>
    <w:p>
      <w:pPr>
        <w:spacing w:after="0" w:line="189" w:lineRule="exact"/>
        <w:rPr>
          <w:sz w:val="20"/>
          <w:szCs w:val="20"/>
          <w:color w:val="auto"/>
        </w:rPr>
      </w:pPr>
    </w:p>
    <w:p>
      <w:pPr>
        <w:ind w:left="620" w:hanging="307"/>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Second-quarter Net income attributable to PAA of $203 million and Net cash provided by operating activities of $792 million</w:t>
      </w:r>
    </w:p>
    <w:p>
      <w:pPr>
        <w:spacing w:after="0" w:line="233" w:lineRule="exact"/>
        <w:rPr>
          <w:rFonts w:ascii="Arial" w:cs="Arial" w:eastAsia="Arial" w:hAnsi="Arial"/>
          <w:sz w:val="19"/>
          <w:szCs w:val="19"/>
          <w:color w:val="auto"/>
        </w:rPr>
      </w:pPr>
    </w:p>
    <w:p>
      <w:pPr>
        <w:ind w:left="620" w:right="580" w:hanging="307"/>
        <w:spacing w:after="0" w:line="265" w:lineRule="auto"/>
        <w:tabs>
          <w:tab w:leader="none" w:pos="609"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Second-quarter Adjusted EBITDA attributable to PAA of $615 million and increased guidance for full-year 2022 Adjusted EBITDA attributable to PAA by $100 million to +/- $2.375 billion</w:t>
      </w:r>
    </w:p>
    <w:p>
      <w:pPr>
        <w:spacing w:after="0" w:line="189" w:lineRule="exact"/>
        <w:rPr>
          <w:rFonts w:ascii="Arial" w:cs="Arial" w:eastAsia="Arial" w:hAnsi="Arial"/>
          <w:sz w:val="19"/>
          <w:szCs w:val="19"/>
          <w:color w:val="auto"/>
        </w:rPr>
      </w:pPr>
    </w:p>
    <w:p>
      <w:pPr>
        <w:ind w:left="620" w:right="680" w:hanging="307"/>
        <w:spacing w:after="0" w:line="265" w:lineRule="auto"/>
        <w:tabs>
          <w:tab w:leader="none" w:pos="609" w:val="left"/>
        </w:tabs>
        <w:numPr>
          <w:ilvl w:val="0"/>
          <w:numId w:val="2"/>
        </w:numPr>
        <w:rPr>
          <w:rFonts w:ascii="Arial" w:cs="Arial" w:eastAsia="Arial" w:hAnsi="Arial"/>
          <w:sz w:val="19"/>
          <w:szCs w:val="19"/>
          <w:color w:val="auto"/>
        </w:rPr>
      </w:pPr>
      <w:r>
        <w:rPr>
          <w:rFonts w:ascii="Arial" w:cs="Arial" w:eastAsia="Arial" w:hAnsi="Arial"/>
          <w:sz w:val="19"/>
          <w:szCs w:val="19"/>
          <w:color w:val="auto"/>
        </w:rPr>
        <w:t>Expect further deleveraging to achieve mid-point (4.0x) of targeted leverage range by year-end 2022 (previously expected year-end leverage of 4.25x)</w:t>
      </w:r>
    </w:p>
    <w:p>
      <w:pPr>
        <w:spacing w:after="0" w:line="189" w:lineRule="exact"/>
        <w:rPr>
          <w:rFonts w:ascii="Arial" w:cs="Arial" w:eastAsia="Arial" w:hAnsi="Arial"/>
          <w:sz w:val="19"/>
          <w:szCs w:val="19"/>
          <w:color w:val="auto"/>
        </w:rPr>
      </w:pPr>
    </w:p>
    <w:p>
      <w:pPr>
        <w:ind w:left="620" w:hanging="307"/>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Increased 2022 Asset Sales target to +/- $200 million (+$100 million)</w:t>
      </w:r>
    </w:p>
    <w:p>
      <w:pPr>
        <w:spacing w:after="0" w:line="233" w:lineRule="exact"/>
        <w:rPr>
          <w:rFonts w:ascii="Arial" w:cs="Arial" w:eastAsia="Arial" w:hAnsi="Arial"/>
          <w:sz w:val="19"/>
          <w:szCs w:val="19"/>
          <w:color w:val="auto"/>
        </w:rPr>
      </w:pPr>
    </w:p>
    <w:p>
      <w:pPr>
        <w:ind w:left="620" w:right="120" w:hanging="307"/>
        <w:spacing w:after="0" w:line="265" w:lineRule="auto"/>
        <w:tabs>
          <w:tab w:leader="none" w:pos="609"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Repurchased $49 million of common units during the quarter, bringing year-to-date repurchases to $74 million, and total repurchases since program inception to ~$300 million</w:t>
      </w:r>
    </w:p>
    <w:p>
      <w:pPr>
        <w:spacing w:after="0" w:line="189" w:lineRule="exact"/>
        <w:rPr>
          <w:rFonts w:ascii="Arial" w:cs="Arial" w:eastAsia="Arial" w:hAnsi="Arial"/>
          <w:sz w:val="19"/>
          <w:szCs w:val="19"/>
          <w:color w:val="auto"/>
        </w:rPr>
      </w:pPr>
    </w:p>
    <w:p>
      <w:pPr>
        <w:ind w:left="620" w:right="300" w:hanging="307"/>
        <w:spacing w:after="0" w:line="265" w:lineRule="auto"/>
        <w:tabs>
          <w:tab w:leader="none" w:pos="609"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Completed $42 million (net to our interest, excludes customary closing adjustments) Permian Basin bolt-on acquisition of the remaining 50% ownership interest of the Advantage JV pipeline</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delivered better than expected second-quarter results and increased our full-year 2022 Adjusted EBITDA guidance by an additional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$100 million to plus or minus $2.375 billion, which is $175 million above our initial February guidance, enabling us to achieve the mid-point of our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leverage target by year-end 2022, well ahead of our original expectations,” stated Willie Chiang, Chairman and CEO of Plains. “Our increased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guidance is driven by higher volumes and higher commodity prices in both our Crude Oil and NGL segments. We are well positioned to capture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growing production, advance multiple optimization opportunities, and generate significant Free Cash Flow over the next several years, giving</w:t>
      </w:r>
    </w:p>
    <w:p>
      <w:pPr>
        <w:spacing w:after="0"/>
        <w:rPr>
          <w:sz w:val="20"/>
          <w:szCs w:val="20"/>
          <w:color w:val="auto"/>
        </w:rPr>
      </w:pPr>
      <w:r>
        <w:rPr>
          <w:rFonts w:ascii="Arial" w:cs="Arial" w:eastAsia="Arial" w:hAnsi="Arial"/>
          <w:sz w:val="19"/>
          <w:szCs w:val="19"/>
          <w:color w:val="auto"/>
        </w:rPr>
        <w:t>Plains increased financial flexibility and the ability to enhance cash returned to unitholders.”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2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4"/>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income/(loss)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net income/(loss)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(0.37)</w:t>
            </w:r>
          </w:p>
        </w:tc>
        <w:tc>
          <w:tcPr>
            <w:tcW w:w="1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0.41</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193 %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237 %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917"/>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7"/>
                <w:szCs w:val="17"/>
                <w:b w:val="1"/>
                <w:bCs w:val="1"/>
                <w:i w:val="1"/>
                <w:i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0.60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1,228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1,118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Free Cash Flow</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888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53" w:lineRule="auto"/>
        <w:tabs>
          <w:tab w:leader="none" w:pos="30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9" w:lineRule="exact"/>
        <w:rPr>
          <w:rFonts w:ascii="Arial" w:cs="Arial" w:eastAsia="Arial" w:hAnsi="Arial"/>
          <w:sz w:val="21"/>
          <w:szCs w:val="21"/>
          <w:color w:val="auto"/>
          <w:vertAlign w:val="superscript"/>
        </w:rPr>
      </w:pPr>
    </w:p>
    <w:p>
      <w:pPr>
        <w:ind w:left="320" w:right="380" w:hanging="317"/>
        <w:spacing w:after="0" w:line="228" w:lineRule="auto"/>
        <w:tabs>
          <w:tab w:leader="none" w:pos="30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(the “Permian JV’) and Red River Pipeline LLC.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6"/>
                <w:szCs w:val="16"/>
                <w:b w:val="1"/>
                <w:bCs w:val="1"/>
                <w:color w:val="auto"/>
                <w:w w:val="99"/>
              </w:rPr>
              <w:t xml:space="preserve">Segment Adjusted EBITDA </w:t>
            </w:r>
            <w:r>
              <w:rPr>
                <w:rFonts w:ascii="Arial" w:cs="Arial" w:eastAsia="Arial" w:hAnsi="Arial"/>
                <w:sz w:val="20"/>
                <w:szCs w:val="20"/>
                <w:b w:val="1"/>
                <w:bCs w:val="1"/>
                <w:color w:val="auto"/>
                <w:w w:val="99"/>
                <w:vertAlign w:val="superscript"/>
              </w:rPr>
              <w:t>(1) (2)</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June 30, 2022</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June 30, 2021</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553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471 %</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2021 period further adjusted for impact of divested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(8)%</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471 %</w:t>
            </w:r>
          </w:p>
        </w:tc>
        <w:tc>
          <w:tcPr>
            <w:tcW w:w="0" w:type="dxa"/>
            <w:vAlign w:val="bottom"/>
          </w:tcPr>
          <w:p>
            <w:pPr>
              <w:spacing w:after="0"/>
              <w:rPr>
                <w:sz w:val="1"/>
                <w:szCs w:val="1"/>
                <w:color w:val="auto"/>
              </w:rPr>
            </w:pPr>
          </w:p>
        </w:tc>
      </w:tr>
      <w:tr>
        <w:trPr>
          <w:trHeight w:val="194"/>
        </w:trPr>
        <w:tc>
          <w:tcPr>
            <w:tcW w:w="786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assets </w:t>
            </w:r>
            <w:r>
              <w:rPr>
                <w:rFonts w:ascii="Arial" w:cs="Arial" w:eastAsia="Arial" w:hAnsi="Arial"/>
                <w:sz w:val="22"/>
                <w:szCs w:val="22"/>
                <w:b w:val="1"/>
                <w:bCs w:val="1"/>
                <w:i w:val="1"/>
                <w:iCs w:val="1"/>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6"/>
                <w:szCs w:val="16"/>
                <w:b w:val="1"/>
                <w:bCs w:val="1"/>
                <w:color w:val="auto"/>
                <w:w w:val="99"/>
              </w:rPr>
              <w:t xml:space="preserve">Segment Adjusted EBITDA </w:t>
            </w:r>
            <w:r>
              <w:rPr>
                <w:rFonts w:ascii="Arial" w:cs="Arial" w:eastAsia="Arial" w:hAnsi="Arial"/>
                <w:sz w:val="20"/>
                <w:szCs w:val="20"/>
                <w:b w:val="1"/>
                <w:bCs w:val="1"/>
                <w:color w:val="auto"/>
                <w:w w:val="99"/>
                <w:vertAlign w:val="superscript"/>
              </w:rPr>
              <w:t>(1) (2)</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Six Months Ended June 30, 2022</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946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Six Months Ended June 30, 2021</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1,027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212 %</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2021 period further adjusted for impact of divested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(3)%</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212 %</w:t>
            </w:r>
          </w:p>
        </w:tc>
        <w:tc>
          <w:tcPr>
            <w:tcW w:w="0" w:type="dxa"/>
            <w:vAlign w:val="bottom"/>
          </w:tcPr>
          <w:p>
            <w:pPr>
              <w:spacing w:after="0"/>
              <w:rPr>
                <w:sz w:val="1"/>
                <w:szCs w:val="1"/>
                <w:color w:val="auto"/>
              </w:rPr>
            </w:pPr>
          </w:p>
        </w:tc>
      </w:tr>
      <w:tr>
        <w:trPr>
          <w:trHeight w:val="194"/>
        </w:trPr>
        <w:tc>
          <w:tcPr>
            <w:tcW w:w="786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assets </w:t>
            </w:r>
            <w:r>
              <w:rPr>
                <w:rFonts w:ascii="Arial" w:cs="Arial" w:eastAsia="Arial" w:hAnsi="Arial"/>
                <w:sz w:val="22"/>
                <w:szCs w:val="22"/>
                <w:b w:val="1"/>
                <w:bCs w:val="1"/>
                <w:i w:val="1"/>
                <w:iCs w:val="1"/>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80" w:type="dxa"/>
            <w:vAlign w:val="bottom"/>
            <w:tcBorders>
              <w:bottom w:val="single" w:sz="8" w:color="auto"/>
            </w:tcBorders>
          </w:tcPr>
          <w:p>
            <w:pPr>
              <w:spacing w:after="0"/>
              <w:rPr>
                <w:sz w:val="13"/>
                <w:szCs w:val="13"/>
                <w:color w:val="auto"/>
              </w:rPr>
            </w:pPr>
          </w:p>
        </w:tc>
        <w:tc>
          <w:tcPr>
            <w:tcW w:w="3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220" w:hanging="317"/>
        <w:spacing w:after="0" w:line="253"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29" w:lineRule="exact"/>
        <w:rPr>
          <w:rFonts w:ascii="Arial" w:cs="Arial" w:eastAsia="Arial" w:hAnsi="Arial"/>
          <w:sz w:val="21"/>
          <w:szCs w:val="21"/>
          <w:color w:val="auto"/>
          <w:vertAlign w:val="superscript"/>
        </w:rPr>
      </w:pPr>
    </w:p>
    <w:p>
      <w:pPr>
        <w:ind w:left="320" w:right="40" w:hanging="317"/>
        <w:spacing w:after="0" w:line="285" w:lineRule="auto"/>
        <w:tabs>
          <w:tab w:leader="none" w:pos="308"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10" w:lineRule="exact"/>
        <w:rPr>
          <w:rFonts w:ascii="Arial" w:cs="Arial" w:eastAsia="Arial" w:hAnsi="Arial"/>
          <w:sz w:val="19"/>
          <w:szCs w:val="19"/>
          <w:color w:val="auto"/>
          <w:vertAlign w:val="superscript"/>
        </w:rPr>
      </w:pPr>
    </w:p>
    <w:p>
      <w:pPr>
        <w:ind w:left="320" w:right="40" w:hanging="317"/>
        <w:spacing w:after="0" w:line="228" w:lineRule="auto"/>
        <w:tabs>
          <w:tab w:leader="none" w:pos="30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2021, assuming an effective date of January 1, 2021. Divested assets primarily included natural gas storage facilities previously included in our Crude Oil segment.</w:t>
      </w:r>
    </w:p>
    <w:p>
      <w:pPr>
        <w:spacing w:after="0" w:line="310" w:lineRule="exact"/>
        <w:rPr>
          <w:sz w:val="20"/>
          <w:szCs w:val="20"/>
          <w:color w:val="auto"/>
        </w:rPr>
      </w:pPr>
    </w:p>
    <w:p>
      <w:pPr>
        <w:ind w:firstLine="620"/>
        <w:spacing w:after="0" w:line="237" w:lineRule="auto"/>
        <w:rPr>
          <w:sz w:val="20"/>
          <w:szCs w:val="20"/>
          <w:color w:val="auto"/>
        </w:rPr>
      </w:pPr>
      <w:r>
        <w:rPr>
          <w:rFonts w:ascii="Arial" w:cs="Arial" w:eastAsia="Arial" w:hAnsi="Arial"/>
          <w:sz w:val="17"/>
          <w:szCs w:val="17"/>
          <w:color w:val="auto"/>
        </w:rPr>
        <w:t>Second-quarter 2022 Crude Oil Segment Adjusted EBITDA decreased 11% versus comparable 2021 results primarily due to (i) the sale of our natural gas storage facilities in August of 2021 and (ii) the monetization of contango hedges that benefited the 2021 period. These items were partially offset by increased earnings in the second quarter of 2022 from higher tariff volumes on our pipelines and higher loss allowance revenue.</w:t>
      </w:r>
    </w:p>
    <w:p>
      <w:pPr>
        <w:spacing w:after="0" w:line="196" w:lineRule="exact"/>
        <w:rPr>
          <w:sz w:val="20"/>
          <w:szCs w:val="20"/>
          <w:color w:val="auto"/>
        </w:rPr>
      </w:pPr>
    </w:p>
    <w:p>
      <w:pPr>
        <w:ind w:right="80" w:firstLine="620"/>
        <w:spacing w:after="0" w:line="237" w:lineRule="auto"/>
        <w:rPr>
          <w:sz w:val="20"/>
          <w:szCs w:val="20"/>
          <w:color w:val="auto"/>
        </w:rPr>
      </w:pPr>
      <w:r>
        <w:rPr>
          <w:rFonts w:ascii="Arial" w:cs="Arial" w:eastAsia="Arial" w:hAnsi="Arial"/>
          <w:sz w:val="17"/>
          <w:szCs w:val="17"/>
          <w:color w:val="auto"/>
        </w:rPr>
        <w:t>Second-quarter 2022 NGL Segment Adjusted EBITDA increased 471% versus comparable 2021 results primarily due to the favorable impact of higher realized fractionation spreads between the price of natural gas and the extracted NGL (“frac spreads”) and higher NGL sales prices, partially offset by lower NGL sales volumes.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right="40" w:firstLine="172"/>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PAA and PAGP will hold a joint conference call at 4:30 p.m. CT on Wednesday, August 3, 2022 to discuss the following items:</w:t>
      </w:r>
    </w:p>
    <w:p>
      <w:pPr>
        <w:spacing w:after="0" w:line="115" w:lineRule="exact"/>
        <w:rPr>
          <w:sz w:val="20"/>
          <w:szCs w:val="20"/>
          <w:color w:val="auto"/>
        </w:rPr>
      </w:pPr>
    </w:p>
    <w:p>
      <w:pPr>
        <w:ind w:left="1080" w:hanging="301"/>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PAA’s second-quarter 2022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and operating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https://edge.media-server.com/mmc/p/5ttt3v92.</w:t>
      </w:r>
    </w:p>
    <w:p>
      <w:pPr>
        <w:spacing w:after="0" w:line="244" w:lineRule="exact"/>
        <w:rPr>
          <w:sz w:val="20"/>
          <w:szCs w:val="20"/>
          <w:color w:val="auto"/>
        </w:rPr>
      </w:pPr>
    </w:p>
    <w:p>
      <w:pPr>
        <w:ind w:right="80" w:firstLine="620"/>
        <w:spacing w:after="0" w:line="263" w:lineRule="auto"/>
        <w:rPr>
          <w:sz w:val="20"/>
          <w:szCs w:val="20"/>
          <w:color w:val="auto"/>
        </w:rPr>
      </w:pPr>
      <w:r>
        <w:rPr>
          <w:rFonts w:ascii="Arial" w:cs="Arial" w:eastAsia="Arial" w:hAnsi="Arial"/>
          <w:sz w:val="17"/>
          <w:szCs w:val="17"/>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180" w:firstLine="620"/>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6" w:lineRule="exact"/>
        <w:rPr>
          <w:sz w:val="20"/>
          <w:szCs w:val="20"/>
          <w:color w:val="auto"/>
        </w:rPr>
      </w:pPr>
    </w:p>
    <w:p>
      <w:pPr>
        <w:ind w:right="200" w:firstLine="620"/>
        <w:spacing w:after="0" w:line="290" w:lineRule="auto"/>
        <w:rPr>
          <w:sz w:val="20"/>
          <w:szCs w:val="20"/>
          <w:color w:val="auto"/>
        </w:rPr>
      </w:pPr>
      <w:r>
        <w:rPr>
          <w:rFonts w:ascii="Arial" w:cs="Arial" w:eastAsia="Arial" w:hAnsi="Arial"/>
          <w:sz w:val="15"/>
          <w:szCs w:val="15"/>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w:t>
      </w:r>
    </w:p>
    <w:p>
      <w:pPr>
        <w:spacing w:after="0" w:line="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89" w:lineRule="auto"/>
        <w:rPr>
          <w:sz w:val="20"/>
          <w:szCs w:val="20"/>
          <w:color w:val="auto"/>
        </w:rPr>
      </w:pPr>
      <w:r>
        <w:rPr>
          <w:rFonts w:ascii="Arial" w:cs="Arial" w:eastAsia="Arial" w:hAnsi="Arial"/>
          <w:sz w:val="15"/>
          <w:szCs w:val="15"/>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w:t>
      </w:r>
    </w:p>
    <w:p>
      <w:pPr>
        <w:spacing w:after="0" w:line="3" w:lineRule="exact"/>
        <w:rPr>
          <w:sz w:val="20"/>
          <w:szCs w:val="20"/>
          <w:color w:val="auto"/>
        </w:rPr>
      </w:pPr>
    </w:p>
    <w:p>
      <w:pPr>
        <w:ind w:right="40" w:firstLine="3"/>
        <w:spacing w:after="0" w:line="273" w:lineRule="auto"/>
        <w:tabs>
          <w:tab w:leader="none" w:pos="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14"/>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18,313</w:t>
            </w:r>
          </w:p>
        </w:tc>
      </w:tr>
      <w:tr>
        <w:trPr>
          <w:trHeight w:val="245"/>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16,669</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6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r>
      <w:tr>
        <w:trPr>
          <w:trHeight w:val="213"/>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18,023</w:t>
            </w:r>
          </w:p>
        </w:tc>
      </w:tr>
      <w:tr>
        <w:trPr>
          <w:trHeight w:val="245"/>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INCOME/(LOSS)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45"/>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INCOME/(EXPENSE)</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Equity earnings in unconsolidated entities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income/(expense), net</w:t>
            </w:r>
          </w:p>
        </w:tc>
        <w:tc>
          <w:tcPr>
            <w:tcW w:w="6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25"/>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INCOME/(LOSS) BEFORE TAX</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 (expense)/benefit</w:t>
            </w:r>
          </w:p>
        </w:tc>
        <w:tc>
          <w:tcPr>
            <w:tcW w:w="6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25"/>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NET INCOME/(LOSS)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3"/>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NET INCOME/(LOSS) ATTRIBUTABLE TO PAA</w:t>
            </w:r>
          </w:p>
        </w:tc>
        <w:tc>
          <w:tcPr>
            <w:tcW w:w="6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203</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NET INCOME/(LOSS) PER COMMON UNIT:</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4"/>
              </w:rPr>
              <w:t>Net income/(loss) allocated to common unitholders — Basic and Diluted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w w:val="95"/>
              </w:rPr>
              <w:t>Basic and diluted weighted average common units outstanding</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721</w:t>
            </w:r>
          </w:p>
        </w:tc>
      </w:tr>
      <w:tr>
        <w:trPr>
          <w:trHeight w:val="240"/>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and diluted net income/(loss) per common unit</w:t>
            </w:r>
          </w:p>
        </w:tc>
        <w:tc>
          <w:tcPr>
            <w:tcW w:w="6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64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 more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620" w:type="dxa"/>
            <w:vAlign w:val="bottom"/>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19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7"/>
              </w:rPr>
              <w:t>Houston, Texas 77002</w:t>
            </w:r>
          </w:p>
        </w:tc>
        <w:tc>
          <w:tcPr>
            <w:tcW w:w="880" w:type="dxa"/>
            <w:vAlign w:val="bottom"/>
          </w:tcPr>
          <w:p>
            <w:pPr>
              <w:spacing w:after="0"/>
              <w:rPr>
                <w:sz w:val="24"/>
                <w:szCs w:val="24"/>
                <w:color w:val="auto"/>
              </w:rPr>
            </w:pPr>
          </w:p>
        </w:tc>
        <w:tc>
          <w:tcPr>
            <w:tcW w:w="2540" w:type="dxa"/>
            <w:vAlign w:val="bottom"/>
            <w:gridSpan w:val="6"/>
          </w:tcPr>
          <w:p>
            <w:pPr>
              <w:jc w:val="right"/>
              <w:ind w:right="316"/>
              <w:spacing w:after="0"/>
              <w:rPr>
                <w:sz w:val="20"/>
                <w:szCs w:val="20"/>
                <w:color w:val="auto"/>
              </w:rPr>
            </w:pPr>
            <w:r>
              <w:rPr>
                <w:rFonts w:ascii="Arial" w:cs="Arial" w:eastAsia="Arial" w:hAnsi="Arial"/>
                <w:sz w:val="17"/>
                <w:szCs w:val="17"/>
                <w:b w:val="1"/>
                <w:bCs w:val="1"/>
                <w:color w:val="auto"/>
                <w:w w:val="93"/>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$267 and $449, respectively)</w:t>
            </w:r>
          </w:p>
        </w:tc>
        <w:tc>
          <w:tcPr>
            <w:tcW w:w="20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Linefill</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tcPr>
          <w:p>
            <w:pPr>
              <w:spacing w:after="0"/>
              <w:rPr>
                <w:sz w:val="18"/>
                <w:szCs w:val="18"/>
                <w:color w:val="auto"/>
              </w:rPr>
            </w:pPr>
          </w:p>
        </w:tc>
        <w:tc>
          <w:tcPr>
            <w:tcW w:w="20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28,886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Senior notes, net</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15,799</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3"/>
                <w:szCs w:val="13"/>
                <w:color w:val="auto"/>
              </w:rPr>
            </w:pPr>
          </w:p>
        </w:tc>
        <w:tc>
          <w:tcPr>
            <w:tcW w:w="102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2080" w:type="dxa"/>
            <w:vAlign w:val="bottom"/>
            <w:gridSpan w:val="2"/>
          </w:tcPr>
          <w:p>
            <w:pPr>
              <w:jc w:val="right"/>
              <w:ind w:right="34"/>
              <w:spacing w:after="0" w:line="191"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18,547</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19,192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3020" w:type="dxa"/>
            <w:vAlign w:val="bottom"/>
            <w:gridSpan w:val="3"/>
          </w:tcPr>
          <w:p>
            <w:pPr>
              <w:jc w:val="right"/>
              <w:ind w:right="316"/>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8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72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allocated to common unitholders</w:t>
            </w:r>
          </w:p>
        </w:tc>
        <w:tc>
          <w:tcPr>
            <w:tcW w:w="76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721</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0.22</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8"/>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(0.37)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130" w:lineRule="exact"/>
        <w:rPr>
          <w:sz w:val="20"/>
          <w:szCs w:val="20"/>
          <w:color w:val="auto"/>
        </w:rPr>
      </w:pPr>
    </w:p>
    <w:p>
      <w:pPr>
        <w:ind w:left="320" w:right="40" w:hanging="317"/>
        <w:spacing w:after="0"/>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income/(loss).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2"/>
          <w:szCs w:val="22"/>
          <w:color w:val="auto"/>
          <w:vertAlign w:val="superscript"/>
        </w:rPr>
      </w:pPr>
    </w:p>
    <w:p>
      <w:pPr>
        <w:ind w:left="320" w:right="140" w:hanging="317"/>
        <w:spacing w:after="0" w:line="228"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six months ended June 30, 2022 and 2021 as the effect was antidilutive.</w:t>
      </w:r>
    </w:p>
    <w:p>
      <w:pPr>
        <w:spacing w:after="0" w:line="39" w:lineRule="exact"/>
        <w:rPr>
          <w:rFonts w:ascii="Arial" w:cs="Arial" w:eastAsia="Arial" w:hAnsi="Arial"/>
          <w:sz w:val="22"/>
          <w:szCs w:val="22"/>
          <w:color w:val="auto"/>
          <w:vertAlign w:val="superscript"/>
        </w:rPr>
      </w:pPr>
    </w:p>
    <w:p>
      <w:pPr>
        <w:ind w:left="320" w:right="20" w:hanging="317"/>
        <w:spacing w:after="0" w:line="245"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six months ended June 30, 2022 and 2021, the effect of equity-indexed compensation plan awards was antidilutive, or did not change the presentation of diluted weighted average common units outstanding or diluted net income/(loss) per common unit.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225" w:lineRule="auto"/>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PAA</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0"/>
              </w:rPr>
              <w:t>(220)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445</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60" w:type="dxa"/>
            <w:vAlign w:val="bottom"/>
            <w:tcBorders>
              <w:bottom w:val="single" w:sz="8" w:color="auto"/>
            </w:tcBorders>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721</w:t>
            </w:r>
          </w:p>
        </w:tc>
      </w:tr>
      <w:tr>
        <w:trPr>
          <w:trHeight w:val="258"/>
        </w:trPr>
        <w:tc>
          <w:tcPr>
            <w:tcW w:w="388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0.30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0.48</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129" w:lineRule="exact"/>
        <w:rPr>
          <w:sz w:val="20"/>
          <w:szCs w:val="20"/>
          <w:color w:val="auto"/>
        </w:rPr>
      </w:pPr>
    </w:p>
    <w:p>
      <w:pPr>
        <w:ind w:left="320" w:hanging="317"/>
        <w:spacing w:after="0" w:line="237" w:lineRule="auto"/>
        <w:tabs>
          <w:tab w:leader="none" w:pos="315"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18"/>
          <w:szCs w:val="18"/>
          <w:color w:val="auto"/>
          <w:vertAlign w:val="superscript"/>
        </w:rPr>
      </w:pPr>
    </w:p>
    <w:p>
      <w:pPr>
        <w:ind w:left="320" w:right="280" w:hanging="317"/>
        <w:spacing w:after="0" w:line="217" w:lineRule="auto"/>
        <w:tabs>
          <w:tab w:leader="none" w:pos="31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 See the “Selected Items Impacting Comparability” table for additional information.</w:t>
      </w:r>
    </w:p>
    <w:p>
      <w:pPr>
        <w:spacing w:after="0" w:line="34" w:lineRule="exact"/>
        <w:rPr>
          <w:rFonts w:ascii="Arial" w:cs="Arial" w:eastAsia="Arial" w:hAnsi="Arial"/>
          <w:sz w:val="19"/>
          <w:szCs w:val="19"/>
          <w:color w:val="auto"/>
          <w:vertAlign w:val="superscript"/>
        </w:rPr>
      </w:pPr>
    </w:p>
    <w:p>
      <w:pPr>
        <w:ind w:left="320" w:right="160" w:hanging="317"/>
        <w:spacing w:after="0" w:line="217" w:lineRule="auto"/>
        <w:tabs>
          <w:tab w:leader="none" w:pos="31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The possible conversion of our Series A preferred units was excluded from the calculation of diluted net income per common unit for the three and six months ended June 30, 2022 and 2021 as the effect was antidilutive.</w:t>
      </w:r>
    </w:p>
    <w:p>
      <w:pPr>
        <w:spacing w:after="0" w:line="34" w:lineRule="exact"/>
        <w:rPr>
          <w:rFonts w:ascii="Arial" w:cs="Arial" w:eastAsia="Arial" w:hAnsi="Arial"/>
          <w:sz w:val="19"/>
          <w:szCs w:val="19"/>
          <w:color w:val="auto"/>
          <w:vertAlign w:val="superscript"/>
        </w:rPr>
      </w:pPr>
    </w:p>
    <w:p>
      <w:pPr>
        <w:ind w:left="320" w:right="120" w:hanging="317"/>
        <w:spacing w:after="0" w:line="226" w:lineRule="auto"/>
        <w:tabs>
          <w:tab w:leader="none" w:pos="31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six months ended June 30, 2022 and 2021, the effect of equity-indexed compensation plan awards was antidilutive, or did not change the presentation of diluted weighted average common units outstanding or diluted adjusted net income per common unit.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Adjusted Net Income Per Common Unit Reconciliation: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0.08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5"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See the “Selected Items Impacting Comparability” and the “Computation of Basic and Diluted Adjusted Net Income Per Common Unit” tables for additional information.</w:t>
      </w:r>
    </w:p>
    <w:p>
      <w:pPr>
        <w:spacing w:after="0" w:line="163"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to Adjusted EBITDA attributable to PAA and Implied DCF Reconciliation: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213</w:t>
            </w: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374</w:t>
            </w: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704</w:t>
            </w:r>
          </w:p>
        </w:tc>
        <w:tc>
          <w:tcPr>
            <w:tcW w:w="100" w:type="dxa"/>
            <w:vAlign w:val="bottom"/>
          </w:tcPr>
          <w:p>
            <w:pPr>
              <w:spacing w:after="0"/>
              <w:rPr>
                <w:sz w:val="18"/>
                <w:szCs w:val="18"/>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1,125</w:t>
            </w:r>
          </w:p>
        </w:tc>
      </w:tr>
      <w:tr>
        <w:trPr>
          <w:trHeight w:val="220"/>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6280" w:type="dxa"/>
            <w:vAlign w:val="bottom"/>
            <w:gridSpan w:val="2"/>
          </w:tcPr>
          <w:p>
            <w:pPr>
              <w:ind w:left="40"/>
              <w:spacing w:after="0"/>
              <w:rPr>
                <w:sz w:val="20"/>
                <w:szCs w:val="20"/>
                <w:color w:val="auto"/>
              </w:rPr>
            </w:pPr>
            <w:r>
              <w:rPr>
                <w:rFonts w:ascii="Arial" w:cs="Arial" w:eastAsia="Arial" w:hAnsi="Arial"/>
                <w:sz w:val="16"/>
                <w:szCs w:val="16"/>
                <w:color w:val="auto"/>
              </w:rPr>
              <w:t>Adjusted EBITDA attributable to PAA</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704</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1,125</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Interest expense, net of certain non-cash items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6"/>
                <w:szCs w:val="16"/>
                <w:color w:val="auto"/>
              </w:rPr>
              <w:t>Maintenance capital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Investment capital of noncontrolling interests </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6"/>
                <w:szCs w:val="16"/>
                <w:color w:val="auto"/>
              </w:rPr>
              <w:t>Current income tax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w w:val="93"/>
              </w:rPr>
              <w:t xml:space="preserve">Distributions from unconsolidated entities in excess of/(less than) adjusted equity earnings </w:t>
            </w:r>
            <w:r>
              <w:rPr>
                <w:rFonts w:ascii="Arial" w:cs="Arial" w:eastAsia="Arial" w:hAnsi="Arial"/>
                <w:sz w:val="21"/>
                <w:szCs w:val="21"/>
                <w:color w:val="auto"/>
                <w:w w:val="93"/>
                <w:vertAlign w:val="superscript"/>
              </w:rPr>
              <w:t>(5)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6"/>
                <w:szCs w:val="16"/>
                <w:color w:val="auto"/>
              </w:rPr>
              <w:t xml:space="preserve">Distributions to noncontrolling interests </w:t>
            </w:r>
            <w:r>
              <w:rPr>
                <w:rFonts w:ascii="Arial" w:cs="Arial" w:eastAsia="Arial" w:hAnsi="Arial"/>
                <w:sz w:val="21"/>
                <w:szCs w:val="21"/>
                <w:color w:val="auto"/>
                <w:vertAlign w:val="superscript"/>
              </w:rPr>
              <w:t>(6)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Implied DCF</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w:t>
            </w: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6"/>
                <w:szCs w:val="16"/>
                <w:color w:val="auto"/>
              </w:rPr>
              <w:t xml:space="preserve">Preferred unit distributions paid </w:t>
            </w:r>
            <w:r>
              <w:rPr>
                <w:rFonts w:ascii="Arial" w:cs="Arial" w:eastAsia="Arial" w:hAnsi="Arial"/>
                <w:sz w:val="21"/>
                <w:szCs w:val="21"/>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Implied DCF Available to Common Unitholders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Units and Common Unit Equivalents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792</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(7)</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and Common Unit Equivalent </w:t>
            </w:r>
            <w:r>
              <w:rPr>
                <w:rFonts w:ascii="Arial" w:cs="Arial" w:eastAsia="Arial" w:hAnsi="Arial"/>
                <w:sz w:val="21"/>
                <w:szCs w:val="21"/>
                <w:color w:val="auto"/>
                <w:vertAlign w:val="superscript"/>
              </w:rPr>
              <w:t>(8)</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Distribution Paid per Common Unit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(6)</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260</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Unit Distribution Coverage Ratio</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2.61x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2.87x</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2.86x</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2.86x</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Implied DCF Excess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98"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19"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See the “Selected Items Impacting Comparability” table for additional information.</w:t>
      </w:r>
    </w:p>
    <w:p>
      <w:pPr>
        <w:spacing w:after="0" w:line="32"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32"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Investment capital expenditures attributable to noncontrolling interests that reduce Implied DCF available to PAA common unitholders.</w:t>
      </w:r>
    </w:p>
    <w:p>
      <w:pPr>
        <w:spacing w:after="0" w:line="20" w:lineRule="exact"/>
        <w:rPr>
          <w:rFonts w:ascii="Arial" w:cs="Arial" w:eastAsia="Arial" w:hAnsi="Arial"/>
          <w:sz w:val="16"/>
          <w:szCs w:val="16"/>
          <w:color w:val="auto"/>
          <w:vertAlign w:val="superscript"/>
        </w:rPr>
      </w:pPr>
    </w:p>
    <w:p>
      <w:pPr>
        <w:ind w:left="320" w:right="340" w:hanging="317"/>
        <w:spacing w:after="0" w:line="208" w:lineRule="auto"/>
        <w:tabs>
          <w:tab w:leader="none" w:pos="312"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1" w:lineRule="exact"/>
        <w:rPr>
          <w:rFonts w:ascii="Arial" w:cs="Arial" w:eastAsia="Arial" w:hAnsi="Arial"/>
          <w:sz w:val="16"/>
          <w:szCs w:val="16"/>
          <w:color w:val="auto"/>
          <w:vertAlign w:val="superscript"/>
        </w:rPr>
      </w:pPr>
    </w:p>
    <w:p>
      <w:pPr>
        <w:ind w:left="300" w:hanging="297"/>
        <w:spacing w:after="0" w:line="235" w:lineRule="auto"/>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Cash distributions paid during the period presented.</w:t>
      </w:r>
    </w:p>
    <w:p>
      <w:pPr>
        <w:spacing w:after="0" w:line="33"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20" w:lineRule="exact"/>
        <w:rPr>
          <w:rFonts w:ascii="Arial" w:cs="Arial" w:eastAsia="Arial" w:hAnsi="Arial"/>
          <w:sz w:val="16"/>
          <w:szCs w:val="16"/>
          <w:color w:val="auto"/>
          <w:vertAlign w:val="superscript"/>
        </w:rPr>
      </w:pPr>
    </w:p>
    <w:p>
      <w:pPr>
        <w:ind w:left="320" w:right="40" w:hanging="317"/>
        <w:spacing w:after="0" w:line="214" w:lineRule="auto"/>
        <w:tabs>
          <w:tab w:leader="none" w:pos="312"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9" w:lineRule="exact"/>
        <w:rPr>
          <w:rFonts w:ascii="Arial" w:cs="Arial" w:eastAsia="Arial" w:hAnsi="Arial"/>
          <w:sz w:val="16"/>
          <w:szCs w:val="16"/>
          <w:color w:val="auto"/>
          <w:vertAlign w:val="superscript"/>
        </w:rPr>
      </w:pPr>
    </w:p>
    <w:p>
      <w:pPr>
        <w:ind w:left="5440" w:hanging="93"/>
        <w:spacing w:after="0"/>
        <w:tabs>
          <w:tab w:leader="none" w:pos="54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ind w:left="100"/>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Income/(Loss) Per Common Unit to Implied DCF Per Common Unit and Common Unit Equivalent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r>
      <w:tr>
        <w:trPr>
          <w:trHeight w:val="173"/>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15"/>
        </w:trPr>
        <w:tc>
          <w:tcPr>
            <w:tcW w:w="5460" w:type="dxa"/>
            <w:vAlign w:val="bottom"/>
            <w:gridSpan w:val="3"/>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0.22</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6"/>
              </w:rPr>
              <w:t>(0.37)$</w:t>
            </w:r>
          </w:p>
        </w:tc>
        <w:tc>
          <w:tcPr>
            <w:tcW w:w="1160" w:type="dxa"/>
            <w:vAlign w:val="bottom"/>
          </w:tcPr>
          <w:p>
            <w:pPr>
              <w:jc w:val="right"/>
              <w:spacing w:after="0"/>
              <w:rPr>
                <w:sz w:val="20"/>
                <w:szCs w:val="20"/>
                <w:color w:val="auto"/>
              </w:rPr>
            </w:pPr>
            <w:r>
              <w:rPr>
                <w:rFonts w:ascii="Arial" w:cs="Arial" w:eastAsia="Arial" w:hAnsi="Arial"/>
                <w:sz w:val="17"/>
                <w:szCs w:val="17"/>
                <w:color w:val="auto"/>
              </w:rPr>
              <w:t>0.41</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0.14</w:t>
            </w:r>
          </w:p>
        </w:tc>
      </w:tr>
      <w:tr>
        <w:trPr>
          <w:trHeight w:val="220"/>
        </w:trPr>
        <w:tc>
          <w:tcPr>
            <w:tcW w:w="5460" w:type="dxa"/>
            <w:vAlign w:val="bottom"/>
            <w:gridSpan w:val="3"/>
          </w:tcPr>
          <w:p>
            <w:pPr>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0.89</w:t>
            </w: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mplied DCF per common unit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24"/>
        </w:trPr>
        <w:tc>
          <w:tcPr>
            <w:tcW w:w="5460" w:type="dxa"/>
            <w:vAlign w:val="bottom"/>
            <w:gridSpan w:val="3"/>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0.22</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6"/>
              </w:rPr>
              <w:t>(0.37)$</w:t>
            </w:r>
          </w:p>
        </w:tc>
        <w:tc>
          <w:tcPr>
            <w:tcW w:w="1160" w:type="dxa"/>
            <w:vAlign w:val="bottom"/>
          </w:tcPr>
          <w:p>
            <w:pPr>
              <w:jc w:val="right"/>
              <w:spacing w:after="0"/>
              <w:rPr>
                <w:sz w:val="20"/>
                <w:szCs w:val="20"/>
                <w:color w:val="auto"/>
              </w:rPr>
            </w:pPr>
            <w:r>
              <w:rPr>
                <w:rFonts w:ascii="Arial" w:cs="Arial" w:eastAsia="Arial" w:hAnsi="Arial"/>
                <w:sz w:val="17"/>
                <w:szCs w:val="17"/>
                <w:color w:val="auto"/>
              </w:rPr>
              <w:t>0.41</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0.14</w:t>
            </w:r>
          </w:p>
        </w:tc>
      </w:tr>
      <w:tr>
        <w:trPr>
          <w:trHeight w:val="220"/>
        </w:trPr>
        <w:tc>
          <w:tcPr>
            <w:tcW w:w="5460" w:type="dxa"/>
            <w:vAlign w:val="bottom"/>
            <w:gridSpan w:val="3"/>
          </w:tcPr>
          <w:p>
            <w:pPr>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0.89</w:t>
            </w: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mplied DCF per common unit and common unit equivalent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-1213485</wp:posOffset>
            </wp:positionV>
            <wp:extent cx="7039610"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9610"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-598170</wp:posOffset>
            </wp:positionV>
            <wp:extent cx="7039610"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9610" cy="139700"/>
                    </a:xfrm>
                    <a:prstGeom prst="rect">
                      <a:avLst/>
                    </a:prstGeom>
                    <a:noFill/>
                  </pic:spPr>
                </pic:pic>
              </a:graphicData>
            </a:graphic>
          </wp:anchor>
        </w:drawing>
      </w:r>
    </w:p>
    <w:p>
      <w:pPr>
        <w:spacing w:after="0" w:line="110" w:lineRule="exact"/>
        <w:rPr>
          <w:sz w:val="20"/>
          <w:szCs w:val="20"/>
          <w:color w:val="auto"/>
        </w:rPr>
      </w:pPr>
    </w:p>
    <w:p>
      <w:pPr>
        <w:ind w:left="420" w:right="80" w:hanging="317"/>
        <w:spacing w:after="0" w:line="228" w:lineRule="auto"/>
        <w:tabs>
          <w:tab w:leader="none" w:pos="4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Income/(Loss) to calculate Implied DCF Available to Common Unitholders. See the “Net Income/(Loss) to Adjusted EBITDA attributable to PAA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702 million, 720 million, 703 million and 721 million, respectively.</w:t>
      </w:r>
    </w:p>
    <w:p>
      <w:pPr>
        <w:spacing w:after="0" w:line="52" w:lineRule="exact"/>
        <w:rPr>
          <w:rFonts w:ascii="Arial" w:cs="Arial" w:eastAsia="Arial" w:hAnsi="Arial"/>
          <w:sz w:val="22"/>
          <w:szCs w:val="22"/>
          <w:color w:val="auto"/>
          <w:vertAlign w:val="superscript"/>
        </w:rPr>
      </w:pPr>
    </w:p>
    <w:p>
      <w:pPr>
        <w:ind w:left="420" w:right="120" w:hanging="317"/>
        <w:spacing w:after="0" w:line="220" w:lineRule="auto"/>
        <w:tabs>
          <w:tab w:leader="none" w:pos="4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9"/>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Borders>
              <w:top w:val="single" w:sz="8" w:color="auto"/>
            </w:tcBorders>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738</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(215)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17" w:lineRule="exact"/>
        <w:rPr>
          <w:sz w:val="20"/>
          <w:szCs w:val="20"/>
          <w:color w:val="auto"/>
        </w:rPr>
      </w:pPr>
    </w:p>
    <w:p>
      <w:pPr>
        <w:ind w:left="420" w:right="320" w:hanging="317"/>
        <w:spacing w:after="0" w:line="228" w:lineRule="auto"/>
        <w:tabs>
          <w:tab w:leader="none" w:pos="40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400" w:hanging="297"/>
        <w:spacing w:after="0" w:line="194" w:lineRule="auto"/>
        <w:tabs>
          <w:tab w:leader="none" w:pos="4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preferred and common unitholders during the period.</w:t>
      </w:r>
    </w:p>
    <w:p>
      <w:pPr>
        <w:spacing w:after="0" w:line="169" w:lineRule="exact"/>
        <w:rPr>
          <w:rFonts w:ascii="Arial" w:cs="Arial" w:eastAsia="Arial" w:hAnsi="Arial"/>
          <w:sz w:val="22"/>
          <w:szCs w:val="22"/>
          <w:color w:val="auto"/>
          <w:vertAlign w:val="superscript"/>
        </w:rPr>
      </w:pPr>
    </w:p>
    <w:p>
      <w:pPr>
        <w:ind w:left="5540" w:hanging="93"/>
        <w:spacing w:after="0"/>
        <w:tabs>
          <w:tab w:leader="none" w:pos="5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r>
      <w:tr>
        <w:trPr>
          <w:trHeight w:val="188"/>
        </w:trPr>
        <w:tc>
          <w:tcPr>
            <w:tcW w:w="628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7"/>
        </w:trPr>
        <w:tc>
          <w:tcPr>
            <w:tcW w:w="628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760" w:type="dxa"/>
            <w:vAlign w:val="bottom"/>
          </w:tcPr>
          <w:p>
            <w:pPr>
              <w:jc w:val="right"/>
              <w:ind w:right="5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7"/>
        </w:trPr>
        <w:tc>
          <w:tcPr>
            <w:tcW w:w="62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7"/>
        </w:trPr>
        <w:tc>
          <w:tcPr>
            <w:tcW w:w="628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62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628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gain/(loss) on foreign currency revaluation </w:t>
            </w:r>
            <w:r>
              <w:rPr>
                <w:rFonts w:ascii="Arial" w:cs="Arial" w:eastAsia="Arial" w:hAnsi="Arial"/>
                <w:sz w:val="21"/>
                <w:szCs w:val="21"/>
                <w:color w:val="auto"/>
                <w:vertAlign w:val="superscript"/>
              </w:rPr>
              <w:t>(6)</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62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8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(8)</w:t>
            </w:r>
          </w:p>
        </w:tc>
        <w:tc>
          <w:tcPr>
            <w:tcW w:w="8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6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800" w:type="dxa"/>
            <w:vAlign w:val="bottom"/>
            <w:tcBorders>
              <w:top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Gains from derivative activities</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07"/>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25"/>
        </w:trPr>
        <w:tc>
          <w:tcPr>
            <w:tcW w:w="6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27" w:lineRule="exact"/>
        <w:rPr>
          <w:sz w:val="20"/>
          <w:szCs w:val="20"/>
          <w:color w:val="auto"/>
        </w:rPr>
      </w:pPr>
    </w:p>
    <w:p>
      <w:pPr>
        <w:ind w:left="320" w:hanging="317"/>
        <w:spacing w:after="0" w:line="266" w:lineRule="auto"/>
        <w:tabs>
          <w:tab w:leader="none" w:pos="318"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4" w:lineRule="exact"/>
        <w:rPr>
          <w:rFonts w:ascii="Arial" w:cs="Arial" w:eastAsia="Arial" w:hAnsi="Arial"/>
          <w:sz w:val="15"/>
          <w:szCs w:val="15"/>
          <w:color w:val="auto"/>
          <w:vertAlign w:val="superscript"/>
        </w:rPr>
      </w:pPr>
    </w:p>
    <w:p>
      <w:pPr>
        <w:ind w:left="320" w:right="40" w:hanging="317"/>
        <w:spacing w:after="0" w:line="265" w:lineRule="auto"/>
        <w:tabs>
          <w:tab w:leader="none" w:pos="318"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1" w:lineRule="exact"/>
        <w:rPr>
          <w:rFonts w:ascii="Arial" w:cs="Arial" w:eastAsia="Arial" w:hAnsi="Arial"/>
          <w:sz w:val="15"/>
          <w:szCs w:val="15"/>
          <w:color w:val="auto"/>
          <w:vertAlign w:val="superscript"/>
        </w:rPr>
      </w:pPr>
    </w:p>
    <w:p>
      <w:pPr>
        <w:ind w:left="320" w:right="60" w:hanging="317"/>
        <w:spacing w:after="0" w:line="237" w:lineRule="auto"/>
        <w:tabs>
          <w:tab w:leader="none" w:pos="318"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3" w:lineRule="exact"/>
        <w:rPr>
          <w:rFonts w:ascii="Arial" w:cs="Arial" w:eastAsia="Arial" w:hAnsi="Arial"/>
          <w:sz w:val="17"/>
          <w:szCs w:val="17"/>
          <w:color w:val="auto"/>
          <w:vertAlign w:val="superscript"/>
        </w:rPr>
      </w:pPr>
    </w:p>
    <w:p>
      <w:pPr>
        <w:ind w:left="320" w:right="60" w:hanging="317"/>
        <w:spacing w:after="0" w:line="244" w:lineRule="auto"/>
        <w:tabs>
          <w:tab w:leader="none" w:pos="318"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9" w:lineRule="exact"/>
        <w:rPr>
          <w:rFonts w:ascii="Arial" w:cs="Arial" w:eastAsia="Arial" w:hAnsi="Arial"/>
          <w:sz w:val="17"/>
          <w:szCs w:val="17"/>
          <w:color w:val="auto"/>
          <w:vertAlign w:val="superscript"/>
        </w:rPr>
      </w:pPr>
    </w:p>
    <w:p>
      <w:pPr>
        <w:jc w:val="both"/>
        <w:ind w:left="320" w:right="220" w:hanging="317"/>
        <w:spacing w:after="0" w:line="237" w:lineRule="auto"/>
        <w:tabs>
          <w:tab w:leader="none" w:pos="318"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0" w:lineRule="exact"/>
        <w:rPr>
          <w:rFonts w:ascii="Arial" w:cs="Arial" w:eastAsia="Arial" w:hAnsi="Arial"/>
          <w:sz w:val="17"/>
          <w:szCs w:val="17"/>
          <w:color w:val="auto"/>
          <w:vertAlign w:val="superscript"/>
        </w:rPr>
      </w:pPr>
    </w:p>
    <w:p>
      <w:pPr>
        <w:jc w:val="both"/>
        <w:ind w:left="320" w:right="200" w:hanging="317"/>
        <w:spacing w:after="0" w:line="233" w:lineRule="auto"/>
        <w:tabs>
          <w:tab w:leader="none" w:pos="318"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7"/>
          <w:szCs w:val="17"/>
          <w:color w:val="auto"/>
          <w:vertAlign w:val="superscript"/>
        </w:rPr>
      </w:pPr>
    </w:p>
    <w:p>
      <w:pPr>
        <w:ind w:left="320" w:hanging="317"/>
        <w:spacing w:after="0" w:line="237" w:lineRule="auto"/>
        <w:tabs>
          <w:tab w:leader="none" w:pos="32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34" w:lineRule="exact"/>
        <w:rPr>
          <w:rFonts w:ascii="Arial" w:cs="Arial" w:eastAsia="Arial" w:hAnsi="Arial"/>
          <w:sz w:val="17"/>
          <w:szCs w:val="17"/>
          <w:color w:val="auto"/>
          <w:vertAlign w:val="superscript"/>
        </w:rPr>
      </w:pPr>
    </w:p>
    <w:p>
      <w:pPr>
        <w:ind w:left="320" w:hanging="317"/>
        <w:spacing w:after="0" w:line="196" w:lineRule="auto"/>
        <w:tabs>
          <w:tab w:leader="none" w:pos="32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Permian Basin joint venture transaction announced in July 2021.</w:t>
      </w:r>
    </w:p>
    <w:p>
      <w:pPr>
        <w:spacing w:after="0" w:line="154"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r>
      <w:tr>
        <w:trPr>
          <w:trHeight w:val="180"/>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780" w:type="dxa"/>
            <w:vAlign w:val="bottom"/>
            <w:tcBorders>
              <w:bottom w:val="single" w:sz="8" w:color="auto"/>
            </w:tcBorders>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60" w:type="dxa"/>
            <w:vAlign w:val="bottom"/>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(229)</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(gain)/loss on 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Significant transaction-related expenses</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18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Permian JV (beginning October 2021) and Red River Pipeline LLC.</w:t>
      </w:r>
    </w:p>
    <w:p>
      <w:pPr>
        <w:spacing w:after="0" w:line="52" w:lineRule="exact"/>
        <w:rPr>
          <w:rFonts w:ascii="Arial" w:cs="Arial" w:eastAsia="Arial" w:hAnsi="Arial"/>
          <w:sz w:val="22"/>
          <w:szCs w:val="22"/>
          <w:color w:val="auto"/>
          <w:vertAlign w:val="superscript"/>
        </w:rPr>
      </w:pPr>
    </w:p>
    <w:p>
      <w:pPr>
        <w:ind w:left="320" w:right="220" w:hanging="317"/>
        <w:spacing w:after="0" w:line="245" w:lineRule="auto"/>
        <w:tabs>
          <w:tab w:leader="none" w:pos="30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5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224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780" w:type="dxa"/>
            <w:vAlign w:val="bottom"/>
            <w:tcBorders>
              <w:bottom w:val="single" w:sz="8" w:color="auto"/>
            </w:tcBorders>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00" w:type="dxa"/>
            <w:vAlign w:val="bottom"/>
          </w:tcPr>
          <w:p>
            <w:pPr>
              <w:spacing w:after="0"/>
              <w:rPr>
                <w:sz w:val="16"/>
                <w:szCs w:val="16"/>
                <w:color w:val="auto"/>
              </w:rPr>
            </w:pPr>
          </w:p>
        </w:tc>
        <w:tc>
          <w:tcPr>
            <w:tcW w:w="760" w:type="dxa"/>
            <w:vAlign w:val="bottom"/>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29,019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(683)</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(gain)/loss on 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Significant transaction-related expenses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Permian JV (beginning October 2021) and Red River Pipeline LLC.</w:t>
      </w:r>
    </w:p>
    <w:p>
      <w:pPr>
        <w:spacing w:after="0" w:line="52" w:lineRule="exact"/>
        <w:rPr>
          <w:rFonts w:ascii="Arial" w:cs="Arial" w:eastAsia="Arial" w:hAnsi="Arial"/>
          <w:sz w:val="22"/>
          <w:szCs w:val="22"/>
          <w:color w:val="auto"/>
          <w:vertAlign w:val="superscript"/>
        </w:rPr>
      </w:pPr>
    </w:p>
    <w:p>
      <w:pPr>
        <w:ind w:left="320" w:right="220" w:hanging="317"/>
        <w:spacing w:after="0" w:line="245" w:lineRule="auto"/>
        <w:tabs>
          <w:tab w:leader="none" w:pos="30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tbl>
      <w:tblPr>
        <w:tblLayout w:type="fixed"/>
        <w:tblInd w:w="0" w:type="dxa"/>
        <w:tblCellMar>
          <w:top w:w="0" w:type="dxa"/>
          <w:left w:w="0" w:type="dxa"/>
          <w:bottom w:w="0" w:type="dxa"/>
          <w:right w:w="0" w:type="dxa"/>
        </w:tblCellMar>
      </w:tblPr>
      <w:tr>
        <w:trPr>
          <w:trHeight w:val="130"/>
        </w:trPr>
        <w:tc>
          <w:tcPr>
            <w:tcW w:w="38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540" w:type="dxa"/>
            <w:vAlign w:val="bottom"/>
            <w:gridSpan w:val="5"/>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757"/>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pipeline tariff volumes (by region)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3"/>
        </w:trPr>
        <w:tc>
          <w:tcPr>
            <w:tcW w:w="6280" w:type="dxa"/>
            <w:vAlign w:val="bottom"/>
            <w:gridSpan w:val="2"/>
          </w:tcPr>
          <w:p>
            <w:pPr>
              <w:ind w:left="120"/>
              <w:spacing w:after="0" w:line="212" w:lineRule="exact"/>
              <w:rPr>
                <w:sz w:val="20"/>
                <w:szCs w:val="20"/>
                <w:color w:val="auto"/>
              </w:rPr>
            </w:pPr>
            <w:r>
              <w:rPr>
                <w:rFonts w:ascii="Arial" w:cs="Arial" w:eastAsia="Arial" w:hAnsi="Arial"/>
                <w:sz w:val="17"/>
                <w:szCs w:val="17"/>
                <w:color w:val="auto"/>
                <w:w w:val="92"/>
              </w:rPr>
              <w:t xml:space="preserve">Crude oil pipeline tariff volumes (average volumes in thousands of barrels per day) </w:t>
            </w:r>
            <w:r>
              <w:rPr>
                <w:rFonts w:ascii="Arial" w:cs="Arial" w:eastAsia="Arial" w:hAnsi="Arial"/>
                <w:sz w:val="22"/>
                <w:szCs w:val="22"/>
                <w:color w:val="auto"/>
                <w:w w:val="92"/>
                <w:vertAlign w:val="superscript"/>
              </w:rPr>
              <w:t>(1) (2)</w:t>
            </w:r>
          </w:p>
        </w:tc>
        <w:tc>
          <w:tcPr>
            <w:tcW w:w="1160" w:type="dxa"/>
            <w:vAlign w:val="bottom"/>
          </w:tcPr>
          <w:p>
            <w:pPr>
              <w:jc w:val="right"/>
              <w:spacing w:after="0"/>
              <w:rPr>
                <w:sz w:val="20"/>
                <w:szCs w:val="20"/>
                <w:color w:val="auto"/>
              </w:rPr>
            </w:pPr>
            <w:r>
              <w:rPr>
                <w:rFonts w:ascii="Arial" w:cs="Arial" w:eastAsia="Arial" w:hAnsi="Arial"/>
                <w:sz w:val="17"/>
                <w:szCs w:val="17"/>
                <w:color w:val="auto"/>
              </w:rPr>
              <w:t>7,417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6,006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5,719</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280" w:type="dxa"/>
            <w:vAlign w:val="bottom"/>
            <w:gridSpan w:val="2"/>
          </w:tcPr>
          <w:p>
            <w:pPr>
              <w:ind w:left="120"/>
              <w:spacing w:after="0" w:line="168" w:lineRule="exact"/>
              <w:rPr>
                <w:sz w:val="20"/>
                <w:szCs w:val="20"/>
                <w:color w:val="auto"/>
              </w:rPr>
            </w:pPr>
            <w:r>
              <w:rPr>
                <w:rFonts w:ascii="Arial" w:cs="Arial" w:eastAsia="Arial" w:hAnsi="Arial"/>
                <w:sz w:val="17"/>
                <w:szCs w:val="17"/>
                <w:color w:val="auto"/>
                <w:w w:val="94"/>
              </w:rPr>
              <w:t>Commercial crude oil storage capacity (average monthly volumes in millions of barrels)</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52"/>
        </w:trPr>
        <w:tc>
          <w:tcPr>
            <w:tcW w:w="3880" w:type="dxa"/>
            <w:vAlign w:val="bottom"/>
            <w:vMerge w:val="restart"/>
          </w:tcPr>
          <w:p>
            <w:pPr>
              <w:ind w:left="120"/>
              <w:spacing w:after="0"/>
              <w:rPr>
                <w:sz w:val="20"/>
                <w:szCs w:val="20"/>
                <w:color w:val="auto"/>
              </w:rPr>
            </w:pPr>
            <w:r>
              <w:rPr>
                <w:rFonts w:ascii="Arial" w:cs="Arial" w:eastAsia="Arial" w:hAnsi="Arial"/>
                <w:sz w:val="11"/>
                <w:szCs w:val="11"/>
                <w:color w:val="auto"/>
              </w:rPr>
              <w:t>(2) (3)</w:t>
            </w:r>
          </w:p>
        </w:tc>
        <w:tc>
          <w:tcPr>
            <w:tcW w:w="24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388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w w:val="90"/>
              </w:rPr>
              <w:t xml:space="preserve">Crude oil lease gathering purchases (average volumes in thousands of barrels per day) </w:t>
            </w:r>
            <w:r>
              <w:rPr>
                <w:rFonts w:ascii="Arial" w:cs="Arial" w:eastAsia="Arial" w:hAnsi="Arial"/>
                <w:sz w:val="22"/>
                <w:szCs w:val="22"/>
                <w:color w:val="auto"/>
                <w:w w:val="90"/>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1,352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b w:val="1"/>
                <w:bCs w:val="1"/>
                <w:color w:val="auto"/>
              </w:rPr>
              <w:t>NGL Segment Volumes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fractionation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w w:val="99"/>
              </w:rPr>
              <w:t xml:space="preserve">NGL pipeline tariff volumes (average volumes in thousands of barrels per day) </w:t>
            </w:r>
            <w:r>
              <w:rPr>
                <w:rFonts w:ascii="Arial" w:cs="Arial" w:eastAsia="Arial" w:hAnsi="Arial"/>
                <w:sz w:val="22"/>
                <w:szCs w:val="22"/>
                <w:color w:val="auto"/>
                <w:w w:val="99"/>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sales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100" w:hanging="317"/>
        <w:spacing w:after="0" w:line="235"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Average daily volumes calculated as the total volumes (attributable to our interest for pipelines owned by unconsolidated entities or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assets owned by unconsolidated entities.</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8" w:name="page19"/>
    <w:bookmarkEnd w:id="18"/>
    <w:p>
      <w:pPr>
        <w:ind w:left="100"/>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Segment Adjusted EBITDA to Adjusted EBITDA attributable to PAA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3980" w:type="dxa"/>
            <w:vAlign w:val="bottom"/>
            <w:gridSpan w:val="2"/>
          </w:tcPr>
          <w:p>
            <w:pPr>
              <w:spacing w:after="0"/>
              <w:rPr>
                <w:sz w:val="20"/>
                <w:szCs w:val="20"/>
                <w:color w:val="auto"/>
              </w:rPr>
            </w:pPr>
            <w:r>
              <w:rPr>
                <w:rFonts w:ascii="Arial" w:cs="Arial" w:eastAsia="Arial" w:hAnsi="Arial"/>
                <w:sz w:val="17"/>
                <w:szCs w:val="17"/>
                <w:color w:val="auto"/>
              </w:rPr>
              <w:t>Crude Oil Segment Adjusted EBITDA</w:t>
            </w:r>
          </w:p>
        </w:tc>
        <w:tc>
          <w:tcPr>
            <w:tcW w:w="23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NGL Segment Adjusted EBITDA</w:t>
            </w:r>
          </w:p>
        </w:tc>
        <w:tc>
          <w:tcPr>
            <w:tcW w:w="2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Segment Adjusted EBITDA</w:t>
            </w:r>
          </w:p>
        </w:tc>
        <w:tc>
          <w:tcPr>
            <w:tcW w:w="2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23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2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3880" w:type="dxa"/>
            <w:vAlign w:val="bottom"/>
            <w:shd w:val="clear" w:color="auto" w:fill="CCEEFF"/>
          </w:tcPr>
          <w:p>
            <w:pPr>
              <w:spacing w:after="0" w:line="21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-893445</wp:posOffset>
            </wp:positionV>
            <wp:extent cx="7039610" cy="147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9610" cy="147955"/>
                    </a:xfrm>
                    <a:prstGeom prst="rect">
                      <a:avLst/>
                    </a:prstGeom>
                    <a:noFill/>
                  </pic:spPr>
                </pic:pic>
              </a:graphicData>
            </a:graphic>
          </wp:anchor>
        </w:drawing>
      </w:r>
    </w:p>
    <w:p>
      <w:pPr>
        <w:spacing w:after="0" w:line="110" w:lineRule="exact"/>
        <w:rPr>
          <w:sz w:val="20"/>
          <w:szCs w:val="20"/>
          <w:color w:val="auto"/>
        </w:rPr>
      </w:pPr>
    </w:p>
    <w:p>
      <w:pPr>
        <w:ind w:left="420" w:right="160" w:hanging="317"/>
        <w:spacing w:after="0" w:line="258" w:lineRule="auto"/>
        <w:tabs>
          <w:tab w:leader="none" w:pos="40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“Other income/(expense), net” as reported on our Condensed Consolidated Statements of Operations, adjusted for selected items impacting comparability of $119 million and $(83) million for the three months ended June 30, 2022 and 2021, respectively and $156 million and $(22) million for the six months ended June 30, 2022 and 2021, respectively. See the “Selected Items Impacting Comparability” table for additional information. Adjusted other income/(expense), net attributable to noncontrolling interests is less than $1 million for each of the periods presented.</w:t>
      </w:r>
    </w:p>
    <w:p>
      <w:pPr>
        <w:ind w:left="400" w:hanging="297"/>
        <w:spacing w:after="0"/>
        <w:tabs>
          <w:tab w:leader="none" w:pos="4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attributable to PAA and Implied DCF Reconciliation” table for reconciliation to Net Income.</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0"/>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r>
      <w:tr>
        <w:trPr>
          <w:trHeight w:val="180"/>
        </w:trPr>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124"/>
              <w:spacing w:after="0"/>
              <w:rPr>
                <w:sz w:val="20"/>
                <w:szCs w:val="20"/>
                <w:color w:val="auto"/>
              </w:rPr>
            </w:pPr>
            <w:r>
              <w:rPr>
                <w:rFonts w:ascii="Arial" w:cs="Arial" w:eastAsia="Arial" w:hAnsi="Arial"/>
                <w:sz w:val="14"/>
                <w:szCs w:val="14"/>
                <w:b w:val="1"/>
                <w:bCs w:val="1"/>
                <w:color w:val="auto"/>
                <w:w w:val="87"/>
              </w:rPr>
              <w:t>June 30, 2022</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5"/>
              </w:rPr>
              <w:t>June 30, 2021</w:t>
            </w:r>
          </w:p>
        </w:tc>
        <w:tc>
          <w:tcPr>
            <w:tcW w:w="780" w:type="dxa"/>
            <w:vAlign w:val="bottom"/>
            <w:tcBorders>
              <w:bottom w:val="single" w:sz="8" w:color="auto"/>
            </w:tcBorders>
          </w:tcPr>
          <w:p>
            <w:pPr>
              <w:spacing w:after="0"/>
              <w:rPr>
                <w:sz w:val="15"/>
                <w:szCs w:val="15"/>
                <w:color w:val="auto"/>
              </w:rPr>
            </w:pPr>
          </w:p>
        </w:tc>
      </w:tr>
      <w:tr>
        <w:trPr>
          <w:trHeight w:val="186"/>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NGL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40"/>
              <w:spacing w:after="0"/>
              <w:rPr>
                <w:sz w:val="20"/>
                <w:szCs w:val="20"/>
                <w:color w:val="auto"/>
              </w:rPr>
            </w:pPr>
            <w:r>
              <w:rPr>
                <w:rFonts w:ascii="Arial" w:cs="Arial" w:eastAsia="Arial" w:hAnsi="Arial"/>
                <w:sz w:val="15"/>
                <w:szCs w:val="15"/>
                <w:b w:val="1"/>
                <w:bCs w:val="1"/>
                <w:color w:val="auto"/>
              </w:rPr>
              <w:t>NGL</w:t>
            </w:r>
          </w:p>
        </w:tc>
      </w:tr>
      <w:tr>
        <w:trPr>
          <w:trHeight w:val="201"/>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618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82"/>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3"/>
          </w:tcPr>
          <w:p>
            <w:pPr>
              <w:jc w:val="center"/>
              <w:ind w:left="124"/>
              <w:spacing w:after="0"/>
              <w:rPr>
                <w:sz w:val="20"/>
                <w:szCs w:val="20"/>
                <w:color w:val="auto"/>
              </w:rPr>
            </w:pPr>
            <w:r>
              <w:rPr>
                <w:rFonts w:ascii="Arial" w:cs="Arial" w:eastAsia="Arial" w:hAnsi="Arial"/>
                <w:sz w:val="14"/>
                <w:szCs w:val="14"/>
                <w:b w:val="1"/>
                <w:bCs w:val="1"/>
                <w:color w:val="auto"/>
                <w:w w:val="88"/>
              </w:rPr>
              <w:t>Six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Six Months Ended</w:t>
            </w:r>
          </w:p>
        </w:tc>
      </w:tr>
      <w:tr>
        <w:trPr>
          <w:trHeight w:val="180"/>
        </w:trPr>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124"/>
              <w:spacing w:after="0"/>
              <w:rPr>
                <w:sz w:val="20"/>
                <w:szCs w:val="20"/>
                <w:color w:val="auto"/>
              </w:rPr>
            </w:pPr>
            <w:r>
              <w:rPr>
                <w:rFonts w:ascii="Arial" w:cs="Arial" w:eastAsia="Arial" w:hAnsi="Arial"/>
                <w:sz w:val="14"/>
                <w:szCs w:val="14"/>
                <w:b w:val="1"/>
                <w:bCs w:val="1"/>
                <w:color w:val="auto"/>
                <w:w w:val="87"/>
              </w:rPr>
              <w:t>June 30, 2022</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5"/>
              </w:rPr>
              <w:t>June 30, 2021</w:t>
            </w:r>
          </w:p>
        </w:tc>
        <w:tc>
          <w:tcPr>
            <w:tcW w:w="780" w:type="dxa"/>
            <w:vAlign w:val="bottom"/>
            <w:tcBorders>
              <w:bottom w:val="single" w:sz="8" w:color="auto"/>
            </w:tcBorders>
          </w:tcPr>
          <w:p>
            <w:pPr>
              <w:spacing w:after="0"/>
              <w:rPr>
                <w:sz w:val="15"/>
                <w:szCs w:val="15"/>
                <w:color w:val="auto"/>
              </w:rPr>
            </w:pPr>
          </w:p>
        </w:tc>
      </w:tr>
      <w:tr>
        <w:trPr>
          <w:trHeight w:val="186"/>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NGL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40"/>
              <w:spacing w:after="0"/>
              <w:rPr>
                <w:sz w:val="20"/>
                <w:szCs w:val="20"/>
                <w:color w:val="auto"/>
              </w:rPr>
            </w:pPr>
            <w:r>
              <w:rPr>
                <w:rFonts w:ascii="Arial" w:cs="Arial" w:eastAsia="Arial" w:hAnsi="Arial"/>
                <w:sz w:val="15"/>
                <w:szCs w:val="15"/>
                <w:b w:val="1"/>
                <w:bCs w:val="1"/>
                <w:color w:val="auto"/>
              </w:rPr>
              <w:t>NGL</w:t>
            </w:r>
          </w:p>
        </w:tc>
      </w:tr>
      <w:tr>
        <w:trPr>
          <w:trHeight w:val="201"/>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7"/>
        </w:trPr>
        <w:tc>
          <w:tcPr>
            <w:tcW w:w="618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238125</wp:posOffset>
            </wp:positionV>
            <wp:extent cx="2461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20" w:right="40" w:hanging="317"/>
        <w:spacing w:after="0" w:line="205" w:lineRule="auto"/>
        <w:tabs>
          <w:tab w:leader="none" w:pos="408"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Estimated impact of divestitures completed during 2021, assuming an effective date of January 1, 2021. Divested assets primarily included natural gas storage facilities previously included in our Crude Oil segment. Note: The natural gas storage business captured one-time benefits from Winter Storm Uri in the first quarter 2021.</w:t>
      </w:r>
    </w:p>
    <w:p>
      <w:pPr>
        <w:spacing w:after="0" w:line="144" w:lineRule="exact"/>
        <w:rPr>
          <w:rFonts w:ascii="Arial" w:cs="Arial" w:eastAsia="Arial" w:hAnsi="Arial"/>
          <w:sz w:val="25"/>
          <w:szCs w:val="25"/>
          <w:color w:val="auto"/>
          <w:vertAlign w:val="superscript"/>
        </w:rPr>
      </w:pPr>
    </w:p>
    <w:p>
      <w:pPr>
        <w:ind w:left="5540" w:hanging="93"/>
        <w:spacing w:after="0"/>
        <w:tabs>
          <w:tab w:leader="none" w:pos="5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2022</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16,359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15,324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9,277</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9"/>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15,948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10,169</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NET INCOME/(LOSS)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8" w:lineRule="exact"/>
              <w:rPr>
                <w:sz w:val="20"/>
                <w:szCs w:val="20"/>
                <w:color w:val="auto"/>
              </w:rPr>
            </w:pPr>
            <w:r>
              <w:rPr>
                <w:rFonts w:ascii="Arial" w:cs="Arial" w:eastAsia="Arial" w:hAnsi="Arial"/>
                <w:sz w:val="17"/>
                <w:szCs w:val="17"/>
                <w:b w:val="1"/>
                <w:bCs w:val="1"/>
                <w:color w:val="auto"/>
              </w:rPr>
              <w:t>NET INCOME/(LOSS) ATTRIBUTABLE</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203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right w:val="single" w:sz="8" w:color="auto"/>
            </w:tcBorders>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4"/>
        </w:trPr>
        <w:tc>
          <w:tcPr>
            <w:tcW w:w="3380" w:type="dxa"/>
            <w:vAlign w:val="bottom"/>
          </w:tcPr>
          <w:p>
            <w:pPr>
              <w:ind w:left="180"/>
              <w:spacing w:after="0" w:line="194" w:lineRule="exact"/>
              <w:rPr>
                <w:sz w:val="20"/>
                <w:szCs w:val="20"/>
                <w:color w:val="auto"/>
              </w:rPr>
            </w:pPr>
            <w:r>
              <w:rPr>
                <w:rFonts w:ascii="Arial" w:cs="Arial" w:eastAsia="Arial" w:hAnsi="Arial"/>
                <w:sz w:val="17"/>
                <w:szCs w:val="17"/>
                <w:b w:val="1"/>
                <w:bCs w:val="1"/>
                <w:color w:val="auto"/>
              </w:rPr>
              <w:t>TO PAGP</w:t>
            </w:r>
          </w:p>
        </w:tc>
        <w:tc>
          <w:tcPr>
            <w:tcW w:w="2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20" w:type="dxa"/>
            <w:vAlign w:val="bottom"/>
            <w:gridSpan w:val="8"/>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338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80" w:type="dxa"/>
            <w:vAlign w:val="bottom"/>
            <w:gridSpan w:val="3"/>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020" w:type="dxa"/>
            <w:vAlign w:val="bottom"/>
            <w:gridSpan w:val="8"/>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2022</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30,053</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18,313</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28,109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28,109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16,669</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19"/>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29,354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18,027</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NET INCOME ATTRIBUTABLE TO PAGP </w:t>
            </w: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right w:val="single" w:sz="8" w:color="auto"/>
            </w:tcBorders>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20" w:type="dxa"/>
            <w:vAlign w:val="bottom"/>
            <w:gridSpan w:val="8"/>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338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80" w:type="dxa"/>
            <w:vAlign w:val="bottom"/>
            <w:gridSpan w:val="3"/>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800" w:type="dxa"/>
            <w:vAlign w:val="bottom"/>
            <w:gridSpan w:val="6"/>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2022</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December 31,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6"/>
                <w:szCs w:val="16"/>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16"/>
                <w:szCs w:val="16"/>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6,661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6,140</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14,909</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line="168" w:lineRule="exact"/>
              <w:rPr>
                <w:sz w:val="20"/>
                <w:szCs w:val="20"/>
                <w:color w:val="auto"/>
              </w:rPr>
            </w:pPr>
            <w:r>
              <w:rPr>
                <w:rFonts w:ascii="Arial" w:cs="Arial" w:eastAsia="Arial" w:hAnsi="Arial"/>
                <w:sz w:val="17"/>
                <w:szCs w:val="17"/>
                <w:color w:val="auto"/>
                <w:w w:val="95"/>
              </w:rPr>
              <w:t>Long-term operating lease right-of-use assets,</w:t>
            </w:r>
          </w:p>
        </w:tc>
        <w:tc>
          <w:tcPr>
            <w:tcW w:w="28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19"/>
        </w:trPr>
        <w:tc>
          <w:tcPr>
            <w:tcW w:w="3360" w:type="dxa"/>
            <w:vAlign w:val="bottom"/>
          </w:tcPr>
          <w:p>
            <w:pPr>
              <w:ind w:left="180"/>
              <w:spacing w:after="0"/>
              <w:rPr>
                <w:sz w:val="20"/>
                <w:szCs w:val="20"/>
                <w:color w:val="auto"/>
              </w:rPr>
            </w:pPr>
            <w:r>
              <w:rPr>
                <w:rFonts w:ascii="Arial" w:cs="Arial" w:eastAsia="Arial" w:hAnsi="Arial"/>
                <w:sz w:val="17"/>
                <w:szCs w:val="17"/>
                <w:color w:val="auto"/>
              </w:rPr>
              <w:t>net</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30,228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6,874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6,876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6,234</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w w:val="96"/>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16,167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15,801</w:t>
            </w: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9,931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12,542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12,644</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12,719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14,177</w:t>
            </w:r>
          </w:p>
        </w:tc>
        <w:tc>
          <w:tcPr>
            <w:tcW w:w="0" w:type="dxa"/>
            <w:vAlign w:val="bottom"/>
          </w:tcPr>
          <w:p>
            <w:pPr>
              <w:spacing w:after="0"/>
              <w:rPr>
                <w:sz w:val="1"/>
                <w:szCs w:val="1"/>
                <w:color w:val="auto"/>
              </w:rPr>
            </w:pPr>
          </w:p>
        </w:tc>
      </w:tr>
      <w:tr>
        <w:trPr>
          <w:trHeight w:val="253"/>
        </w:trPr>
        <w:tc>
          <w:tcPr>
            <w:tcW w:w="3360" w:type="dxa"/>
            <w:vAlign w:val="bottom"/>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28,886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30,228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c>
          <w:tcPr>
            <w:tcW w:w="0" w:type="dxa"/>
            <w:vAlign w:val="bottom"/>
          </w:tcPr>
          <w:p>
            <w:pPr>
              <w:spacing w:after="0"/>
              <w:rPr>
                <w:sz w:val="1"/>
                <w:szCs w:val="1"/>
                <w:color w:val="auto"/>
              </w:rPr>
            </w:pP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CLASS A SHARE</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3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r>
      <w:tr>
        <w:trPr>
          <w:trHeight w:val="201"/>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6080" w:type="dxa"/>
            <w:vAlign w:val="bottom"/>
            <w:gridSpan w:val="2"/>
          </w:tcPr>
          <w:p>
            <w:pPr>
              <w:ind w:left="140"/>
              <w:spacing w:after="0"/>
              <w:rPr>
                <w:sz w:val="20"/>
                <w:szCs w:val="20"/>
                <w:color w:val="auto"/>
              </w:rPr>
            </w:pPr>
            <w:r>
              <w:rPr>
                <w:rFonts w:ascii="Arial" w:cs="Arial" w:eastAsia="Arial" w:hAnsi="Arial"/>
                <w:sz w:val="17"/>
                <w:szCs w:val="17"/>
                <w:color w:val="auto"/>
              </w:rPr>
              <w:t>Net income/(loss) attributable to PAGP</w:t>
            </w:r>
          </w:p>
        </w:tc>
        <w:tc>
          <w:tcPr>
            <w:tcW w:w="820" w:type="dxa"/>
            <w:vAlign w:val="bottom"/>
          </w:tcPr>
          <w:p>
            <w:pPr>
              <w:jc w:val="right"/>
              <w:ind w:right="64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800" w:type="dxa"/>
            <w:vAlign w:val="bottom"/>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45"/>
        </w:trPr>
        <w:tc>
          <w:tcPr>
            <w:tcW w:w="38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5"/>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net income/(loss) per Class A share</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3" w:lineRule="exact"/>
        <w:rPr>
          <w:sz w:val="20"/>
          <w:szCs w:val="20"/>
          <w:color w:val="auto"/>
        </w:rPr>
      </w:pPr>
    </w:p>
    <w:p>
      <w:pPr>
        <w:ind w:left="320" w:right="220" w:hanging="317"/>
        <w:spacing w:after="0" w:line="226" w:lineRule="auto"/>
        <w:tabs>
          <w:tab w:leader="none" w:pos="315"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For each of the three and six months ended June 30, 2022 and 2021, the possible exchange of AAP units and AAP Management units would not have had a dilutive effect on basic net income/(loss) per Class A share.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96"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7" w:lineRule="exact"/>
        <w:rPr>
          <w:sz w:val="20"/>
          <w:szCs w:val="20"/>
          <w:color w:val="auto"/>
        </w:rPr>
      </w:pPr>
    </w:p>
    <w:p>
      <w:pPr>
        <w:ind w:left="620" w:right="180" w:hanging="307"/>
        <w:spacing w:after="0" w:line="244" w:lineRule="auto"/>
        <w:tabs>
          <w:tab w:leader="none" w:pos="615" w:val="left"/>
        </w:tabs>
        <w:numPr>
          <w:ilvl w:val="0"/>
          <w:numId w:val="23"/>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growth, and the timing, pace and extent of economic recovery) that impact demand for crude oil, drilling and production activities and therefore the demand for the midstream services we provide and commercial opportunities available to us;</w:t>
      </w:r>
    </w:p>
    <w:p>
      <w:pPr>
        <w:spacing w:after="0" w:line="127" w:lineRule="exact"/>
        <w:rPr>
          <w:rFonts w:ascii="Arial" w:cs="Arial" w:eastAsia="Arial" w:hAnsi="Arial"/>
          <w:sz w:val="21"/>
          <w:szCs w:val="21"/>
          <w:color w:val="auto"/>
        </w:rPr>
      </w:pPr>
    </w:p>
    <w:p>
      <w:pPr>
        <w:ind w:left="620" w:right="160" w:hanging="307"/>
        <w:spacing w:after="0" w:line="248" w:lineRule="auto"/>
        <w:tabs>
          <w:tab w:leader="none" w:pos="615" w:val="left"/>
        </w:tabs>
        <w:numPr>
          <w:ilvl w:val="0"/>
          <w:numId w:val="23"/>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23" w:lineRule="exact"/>
        <w:rPr>
          <w:rFonts w:ascii="Arial" w:cs="Arial" w:eastAsia="Arial" w:hAnsi="Arial"/>
          <w:sz w:val="21"/>
          <w:szCs w:val="21"/>
          <w:color w:val="auto"/>
        </w:rPr>
      </w:pPr>
    </w:p>
    <w:p>
      <w:pPr>
        <w:ind w:left="620" w:right="480" w:hanging="307"/>
        <w:spacing w:after="0" w:line="234" w:lineRule="auto"/>
        <w:tabs>
          <w:tab w:leader="none" w:pos="615" w:val="left"/>
        </w:tabs>
        <w:numPr>
          <w:ilvl w:val="0"/>
          <w:numId w:val="23"/>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29" w:lineRule="exact"/>
        <w:rPr>
          <w:rFonts w:ascii="Arial" w:cs="Arial" w:eastAsia="Arial" w:hAnsi="Arial"/>
          <w:sz w:val="21"/>
          <w:szCs w:val="21"/>
          <w:color w:val="auto"/>
        </w:rPr>
      </w:pPr>
    </w:p>
    <w:p>
      <w:pPr>
        <w:ind w:left="620" w:right="460" w:hanging="307"/>
        <w:spacing w:after="0" w:line="305"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5"/>
          <w:szCs w:val="15"/>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color w:val="auto"/>
        </w:rPr>
      </w:pPr>
    </w:p>
    <w:p>
      <w:pPr>
        <w:ind w:left="620" w:right="240" w:hanging="307"/>
        <w:spacing w:after="0" w:line="234" w:lineRule="auto"/>
        <w:tabs>
          <w:tab w:leader="none" w:pos="615" w:val="left"/>
        </w:tabs>
        <w:numPr>
          <w:ilvl w:val="0"/>
          <w:numId w:val="23"/>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63" w:lineRule="exact"/>
        <w:rPr>
          <w:sz w:val="20"/>
          <w:szCs w:val="20"/>
          <w:color w:val="auto"/>
        </w:rPr>
      </w:pPr>
    </w:p>
    <w:p>
      <w:pPr>
        <w:ind w:left="620" w:right="36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9" w:lineRule="exact"/>
        <w:rPr>
          <w:rFonts w:ascii="Arial" w:cs="Arial" w:eastAsia="Arial" w:hAnsi="Arial"/>
          <w:sz w:val="21"/>
          <w:szCs w:val="21"/>
          <w:color w:val="auto"/>
        </w:rPr>
      </w:pPr>
    </w:p>
    <w:p>
      <w:pPr>
        <w:ind w:left="620" w:hanging="307"/>
        <w:spacing w:after="0" w:line="260" w:lineRule="auto"/>
        <w:tabs>
          <w:tab w:leader="none" w:pos="615" w:val="left"/>
        </w:tabs>
        <w:numPr>
          <w:ilvl w:val="0"/>
          <w:numId w:val="24"/>
        </w:numPr>
        <w:rPr>
          <w:rFonts w:ascii="Arial" w:cs="Arial" w:eastAsia="Arial" w:hAnsi="Arial"/>
          <w:sz w:val="20"/>
          <w:szCs w:val="20"/>
          <w:color w:val="auto"/>
        </w:rPr>
      </w:pPr>
      <w:r>
        <w:rPr>
          <w:rFonts w:ascii="Arial" w:cs="Arial" w:eastAsia="Arial" w:hAnsi="Arial"/>
          <w:sz w:val="16"/>
          <w:szCs w:val="16"/>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92" w:lineRule="exact"/>
        <w:rPr>
          <w:rFonts w:ascii="Arial" w:cs="Arial" w:eastAsia="Arial" w:hAnsi="Arial"/>
          <w:sz w:val="20"/>
          <w:szCs w:val="20"/>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loss of key personnel and inability to attract and retain new talent;</w:t>
      </w:r>
    </w:p>
    <w:p>
      <w:pPr>
        <w:spacing w:after="0" w:line="129" w:lineRule="exact"/>
        <w:rPr>
          <w:rFonts w:ascii="Arial" w:cs="Arial" w:eastAsia="Arial" w:hAnsi="Arial"/>
          <w:sz w:val="21"/>
          <w:szCs w:val="21"/>
          <w:color w:val="auto"/>
        </w:rPr>
      </w:pPr>
    </w:p>
    <w:p>
      <w:pPr>
        <w:ind w:left="620" w:right="42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29" w:lineRule="exact"/>
        <w:rPr>
          <w:rFonts w:ascii="Arial" w:cs="Arial" w:eastAsia="Arial" w:hAnsi="Arial"/>
          <w:sz w:val="21"/>
          <w:szCs w:val="21"/>
          <w:color w:val="auto"/>
        </w:rPr>
      </w:pPr>
    </w:p>
    <w:p>
      <w:pPr>
        <w:ind w:left="620" w:right="300" w:hanging="307"/>
        <w:spacing w:after="0" w:line="255" w:lineRule="auto"/>
        <w:tabs>
          <w:tab w:leader="none" w:pos="615" w:val="left"/>
        </w:tabs>
        <w:numPr>
          <w:ilvl w:val="0"/>
          <w:numId w:val="24"/>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15" w:lineRule="exact"/>
        <w:rPr>
          <w:rFonts w:ascii="Arial" w:cs="Arial" w:eastAsia="Arial" w:hAnsi="Arial"/>
          <w:sz w:val="20"/>
          <w:szCs w:val="20"/>
          <w:color w:val="auto"/>
        </w:rPr>
      </w:pPr>
    </w:p>
    <w:p>
      <w:pPr>
        <w:ind w:left="62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29" w:lineRule="exact"/>
        <w:rPr>
          <w:rFonts w:ascii="Arial" w:cs="Arial" w:eastAsia="Arial" w:hAnsi="Arial"/>
          <w:sz w:val="21"/>
          <w:szCs w:val="21"/>
          <w:color w:val="auto"/>
        </w:rPr>
      </w:pPr>
    </w:p>
    <w:p>
      <w:pPr>
        <w:ind w:left="620" w:right="20" w:hanging="307"/>
        <w:spacing w:after="0" w:line="263" w:lineRule="auto"/>
        <w:tabs>
          <w:tab w:leader="none" w:pos="615" w:val="left"/>
        </w:tabs>
        <w:numPr>
          <w:ilvl w:val="0"/>
          <w:numId w:val="24"/>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2" w:lineRule="exact"/>
        <w:rPr>
          <w:rFonts w:ascii="Arial" w:cs="Arial" w:eastAsia="Arial" w:hAnsi="Arial"/>
          <w:sz w:val="20"/>
          <w:szCs w:val="20"/>
          <w:color w:val="auto"/>
        </w:rPr>
      </w:pPr>
    </w:p>
    <w:p>
      <w:pPr>
        <w:ind w:left="620" w:right="120" w:hanging="307"/>
        <w:spacing w:after="0" w:line="255" w:lineRule="auto"/>
        <w:tabs>
          <w:tab w:leader="none" w:pos="615" w:val="left"/>
        </w:tabs>
        <w:numPr>
          <w:ilvl w:val="0"/>
          <w:numId w:val="24"/>
        </w:numPr>
        <w:rPr>
          <w:rFonts w:ascii="Arial" w:cs="Arial" w:eastAsia="Arial" w:hAnsi="Arial"/>
          <w:sz w:val="20"/>
          <w:szCs w:val="20"/>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 or events;</w:t>
      </w:r>
    </w:p>
    <w:p>
      <w:pPr>
        <w:spacing w:after="0" w:line="93" w:lineRule="exact"/>
        <w:rPr>
          <w:rFonts w:ascii="Arial" w:cs="Arial" w:eastAsia="Arial" w:hAnsi="Arial"/>
          <w:sz w:val="20"/>
          <w:szCs w:val="20"/>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9" w:lineRule="exact"/>
        <w:rPr>
          <w:rFonts w:ascii="Arial" w:cs="Arial" w:eastAsia="Arial" w:hAnsi="Arial"/>
          <w:sz w:val="21"/>
          <w:szCs w:val="21"/>
          <w:color w:val="auto"/>
        </w:rPr>
      </w:pPr>
    </w:p>
    <w:p>
      <w:pPr>
        <w:ind w:left="620" w:right="100" w:hanging="307"/>
        <w:spacing w:after="0" w:line="234" w:lineRule="auto"/>
        <w:tabs>
          <w:tab w:leader="none" w:pos="615" w:val="left"/>
        </w:tabs>
        <w:numPr>
          <w:ilvl w:val="0"/>
          <w:numId w:val="24"/>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63" w:lineRule="exact"/>
        <w:rPr>
          <w:sz w:val="20"/>
          <w:szCs w:val="20"/>
          <w:color w:val="auto"/>
        </w:rPr>
      </w:pPr>
    </w:p>
    <w:p>
      <w:pPr>
        <w:ind w:left="620" w:right="620" w:hanging="307"/>
        <w:spacing w:after="0" w:line="23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29" w:lineRule="exact"/>
        <w:rPr>
          <w:rFonts w:ascii="Arial" w:cs="Arial" w:eastAsia="Arial" w:hAnsi="Arial"/>
          <w:sz w:val="21"/>
          <w:szCs w:val="21"/>
          <w:color w:val="auto"/>
        </w:rPr>
      </w:pPr>
    </w:p>
    <w:p>
      <w:pPr>
        <w:ind w:left="620" w:right="60" w:hanging="307"/>
        <w:spacing w:after="0" w:line="255" w:lineRule="auto"/>
        <w:tabs>
          <w:tab w:leader="none" w:pos="615" w:val="left"/>
        </w:tabs>
        <w:numPr>
          <w:ilvl w:val="0"/>
          <w:numId w:val="25"/>
        </w:numPr>
        <w:rPr>
          <w:rFonts w:ascii="Arial" w:cs="Arial" w:eastAsia="Arial" w:hAnsi="Arial"/>
          <w:sz w:val="20"/>
          <w:szCs w:val="20"/>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70" w:lineRule="exact"/>
        <w:rPr>
          <w:sz w:val="20"/>
          <w:szCs w:val="20"/>
          <w:color w:val="auto"/>
        </w:rPr>
      </w:pPr>
    </w:p>
    <w:p>
      <w:pPr>
        <w:jc w:val="both"/>
        <w:ind w:right="120" w:firstLine="620"/>
        <w:spacing w:after="0" w:line="285"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86"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 Communications and Government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Gladstein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lowerRoman"/>
      <w:start w:val="5"/>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
      <w:numFmt w:val="bullet"/>
      <w:start w:val="1"/>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3"/>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lvl w:ilvl="1">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2022-08-03T16:12:37Z</dcterms:created>
  <dcterms:modified xsi:type="dcterms:W3CDTF">2022-08-03T16:12:37Z</dcterms:modified>
</cp:coreProperties>
</file>