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DIVISION OF</w:t>
      </w:r>
    </w:p>
    <w:p>
      <w:pPr>
        <w:spacing w:after="0" w:line="238" w:lineRule="auto"/>
        <w:rPr>
          <w:sz w:val="20"/>
          <w:szCs w:val="20"/>
          <w:color w:val="auto"/>
        </w:rPr>
      </w:pPr>
      <w:r>
        <w:rPr>
          <w:rFonts w:ascii="Courier New" w:cs="Courier New" w:eastAsia="Courier New" w:hAnsi="Courier New"/>
          <w:sz w:val="18"/>
          <w:szCs w:val="18"/>
          <w:color w:val="auto"/>
        </w:rPr>
        <w:t>CORPORATION FINANCE</w:t>
      </w:r>
    </w:p>
    <w:p>
      <w:pPr>
        <w:spacing w:after="0"/>
        <w:rPr>
          <w:sz w:val="20"/>
          <w:szCs w:val="20"/>
          <w:color w:val="auto"/>
        </w:rPr>
      </w:pPr>
      <w:r>
        <w:rPr>
          <w:rFonts w:ascii="Courier New" w:cs="Courier New" w:eastAsia="Courier New" w:hAnsi="Courier New"/>
          <w:sz w:val="18"/>
          <w:szCs w:val="18"/>
          <w:color w:val="auto"/>
        </w:rPr>
        <w:t>Mail Stop 7010</w:t>
      </w:r>
    </w:p>
    <w:p>
      <w:pPr>
        <w:spacing w:after="0" w:line="200"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August 11, 2006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 U.S. mail</w:t>
      </w:r>
    </w:p>
    <w:p>
      <w:pPr>
        <w:spacing w:after="0" w:line="238" w:lineRule="auto"/>
        <w:rPr>
          <w:sz w:val="20"/>
          <w:szCs w:val="20"/>
          <w:color w:val="auto"/>
        </w:rPr>
      </w:pPr>
      <w:r>
        <w:rPr>
          <w:rFonts w:ascii="Courier New" w:cs="Courier New" w:eastAsia="Courier New" w:hAnsi="Courier New"/>
          <w:sz w:val="18"/>
          <w:szCs w:val="18"/>
          <w:color w:val="auto"/>
        </w:rPr>
        <w:t>Mr. Tim Moore</w:t>
      </w:r>
    </w:p>
    <w:p>
      <w:pPr>
        <w:spacing w:after="0"/>
        <w:rPr>
          <w:sz w:val="20"/>
          <w:szCs w:val="20"/>
          <w:color w:val="auto"/>
        </w:rPr>
      </w:pPr>
      <w:r>
        <w:rPr>
          <w:rFonts w:ascii="Courier New" w:cs="Courier New" w:eastAsia="Courier New" w:hAnsi="Courier New"/>
          <w:sz w:val="18"/>
          <w:szCs w:val="18"/>
          <w:color w:val="auto"/>
        </w:rPr>
        <w:t>Vice President and General Counsel</w:t>
      </w:r>
    </w:p>
    <w:p>
      <w:pPr>
        <w:spacing w:after="0" w:line="237" w:lineRule="auto"/>
        <w:rPr>
          <w:sz w:val="20"/>
          <w:szCs w:val="20"/>
          <w:color w:val="auto"/>
        </w:rPr>
      </w:pPr>
      <w:r>
        <w:rPr>
          <w:rFonts w:ascii="Courier New" w:cs="Courier New" w:eastAsia="Courier New" w:hAnsi="Courier New"/>
          <w:sz w:val="18"/>
          <w:szCs w:val="18"/>
          <w:color w:val="auto"/>
        </w:rPr>
        <w:t>Plains All American Pipeline, L.P.</w:t>
      </w:r>
    </w:p>
    <w:p>
      <w:pPr>
        <w:spacing w:after="0" w:line="238" w:lineRule="auto"/>
        <w:rPr>
          <w:sz w:val="20"/>
          <w:szCs w:val="20"/>
          <w:color w:val="auto"/>
        </w:rPr>
      </w:pPr>
      <w:r>
        <w:rPr>
          <w:rFonts w:ascii="Courier New" w:cs="Courier New" w:eastAsia="Courier New" w:hAnsi="Courier New"/>
          <w:sz w:val="18"/>
          <w:szCs w:val="18"/>
          <w:color w:val="auto"/>
        </w:rPr>
        <w:t>333 Clay Street, Suite 1600</w:t>
      </w:r>
    </w:p>
    <w:p>
      <w:pPr>
        <w:spacing w:after="0"/>
        <w:rPr>
          <w:sz w:val="20"/>
          <w:szCs w:val="20"/>
          <w:color w:val="auto"/>
        </w:rPr>
      </w:pPr>
      <w:r>
        <w:rPr>
          <w:rFonts w:ascii="Courier New" w:cs="Courier New" w:eastAsia="Courier New" w:hAnsi="Courier New"/>
          <w:sz w:val="18"/>
          <w:szCs w:val="18"/>
          <w:color w:val="auto"/>
        </w:rPr>
        <w:t>Houston, Texas 77002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640"/>
        <w:spacing w:after="0"/>
        <w:tabs>
          <w:tab w:leader="none" w:pos="16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Plains All American Pipeline, L.P.</w:t>
      </w:r>
    </w:p>
    <w:p>
      <w:pPr>
        <w:ind w:left="1700"/>
        <w:spacing w:after="0" w:line="238" w:lineRule="auto"/>
        <w:rPr>
          <w:sz w:val="20"/>
          <w:szCs w:val="20"/>
          <w:color w:val="auto"/>
        </w:rPr>
      </w:pPr>
      <w:r>
        <w:rPr>
          <w:rFonts w:ascii="Courier New" w:cs="Courier New" w:eastAsia="Courier New" w:hAnsi="Courier New"/>
          <w:sz w:val="18"/>
          <w:szCs w:val="18"/>
          <w:color w:val="auto"/>
        </w:rPr>
        <w:t>Registration Statement on Form S-4</w:t>
      </w:r>
    </w:p>
    <w:p>
      <w:pPr>
        <w:ind w:left="640"/>
        <w:spacing w:after="0"/>
        <w:rPr>
          <w:sz w:val="20"/>
          <w:szCs w:val="20"/>
          <w:color w:val="auto"/>
        </w:rPr>
      </w:pPr>
      <w:r>
        <w:rPr>
          <w:rFonts w:ascii="Courier New" w:cs="Courier New" w:eastAsia="Courier New" w:hAnsi="Courier New"/>
          <w:sz w:val="18"/>
          <w:szCs w:val="18"/>
          <w:color w:val="auto"/>
        </w:rPr>
        <w:t>Filed July 12, 2006</w:t>
      </w:r>
    </w:p>
    <w:p>
      <w:pPr>
        <w:ind w:left="1700"/>
        <w:spacing w:after="0" w:line="237" w:lineRule="auto"/>
        <w:rPr>
          <w:sz w:val="20"/>
          <w:szCs w:val="20"/>
          <w:color w:val="auto"/>
        </w:rPr>
      </w:pPr>
      <w:r>
        <w:rPr>
          <w:rFonts w:ascii="Courier New" w:cs="Courier New" w:eastAsia="Courier New" w:hAnsi="Courier New"/>
          <w:sz w:val="18"/>
          <w:szCs w:val="18"/>
          <w:color w:val="auto"/>
        </w:rPr>
        <w:t>File No. 333-135712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Moore:</w:t>
      </w:r>
    </w:p>
    <w:p>
      <w:pPr>
        <w:spacing w:after="0" w:line="207" w:lineRule="exact"/>
        <w:rPr>
          <w:sz w:val="24"/>
          <w:szCs w:val="24"/>
          <w:color w:val="auto"/>
        </w:rPr>
      </w:pPr>
    </w:p>
    <w:p>
      <w:pPr>
        <w:ind w:right="3259" w:firstLine="632"/>
        <w:spacing w:after="0" w:line="236" w:lineRule="auto"/>
        <w:rPr>
          <w:sz w:val="20"/>
          <w:szCs w:val="20"/>
          <w:color w:val="auto"/>
        </w:rPr>
      </w:pPr>
      <w:r>
        <w:rPr>
          <w:rFonts w:ascii="Courier New" w:cs="Courier New" w:eastAsia="Courier New" w:hAnsi="Courier New"/>
          <w:sz w:val="18"/>
          <w:szCs w:val="18"/>
          <w:color w:val="auto"/>
        </w:rPr>
        <w:t>We have limited our review of your filing to those issues we have addressed in our comments. Where indicated, we think you should</w:t>
      </w:r>
    </w:p>
    <w:p>
      <w:pPr>
        <w:spacing w:after="0" w:line="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revise your document in response to these comments. If you disagree,</w:t>
      </w:r>
    </w:p>
    <w:p>
      <w:pPr>
        <w:spacing w:after="0" w:line="6" w:lineRule="exact"/>
        <w:rPr>
          <w:sz w:val="24"/>
          <w:szCs w:val="24"/>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we will consider your explanation as to why our comment is inapplicable or a revision is unnecessary. Please be as detailed as</w:t>
      </w:r>
    </w:p>
    <w:p>
      <w:pPr>
        <w:spacing w:after="0" w:line="6"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necessary in your explanation. In some of our comments, we may ask</w:t>
      </w:r>
    </w:p>
    <w:p>
      <w:pPr>
        <w:spacing w:after="0" w:line="6" w:lineRule="exact"/>
        <w:rPr>
          <w:sz w:val="24"/>
          <w:szCs w:val="24"/>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you to provide us with information so we may better understand your</w:t>
      </w:r>
    </w:p>
    <w:p>
      <w:pPr>
        <w:spacing w:after="0" w:line="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disclosure. After reviewing this information, we may raise additional comments.</w:t>
      </w:r>
    </w:p>
    <w:p>
      <w:pPr>
        <w:spacing w:after="0" w:line="208"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Please understand that the purpose of our review process 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on any other aspect</w:t>
      </w:r>
    </w:p>
    <w:p>
      <w:pPr>
        <w:spacing w:after="0" w:line="6"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of our review. Feel free to call us at the telephone numbers listed</w:t>
      </w:r>
    </w:p>
    <w:p>
      <w:pPr>
        <w:spacing w:after="0"/>
        <w:rPr>
          <w:sz w:val="20"/>
          <w:szCs w:val="20"/>
          <w:color w:val="auto"/>
        </w:rPr>
      </w:pPr>
      <w:r>
        <w:rPr>
          <w:rFonts w:ascii="Courier New" w:cs="Courier New" w:eastAsia="Courier New" w:hAnsi="Courier New"/>
          <w:sz w:val="18"/>
          <w:szCs w:val="18"/>
          <w:color w:val="auto"/>
        </w:rPr>
        <w:t>at the end of this letter.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S-4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Material Federal Income Tax Consequences, page 156</w:t>
      </w:r>
    </w:p>
    <w:p>
      <w:pPr>
        <w:spacing w:after="0" w:line="207"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have additional comments once you file both tax opinions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w:t>
      </w:r>
    </w:p>
    <w:p>
      <w:pPr>
        <w:spacing w:after="0" w:line="4" w:lineRule="exact"/>
        <w:rPr>
          <w:rFonts w:ascii="Courier New" w:cs="Courier New" w:eastAsia="Courier New" w:hAnsi="Courier New"/>
          <w:sz w:val="16"/>
          <w:szCs w:val="16"/>
          <w:color w:val="auto"/>
        </w:rPr>
      </w:pPr>
    </w:p>
    <w:p>
      <w:pPr>
        <w:ind w:right="33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exhibits. Please make corresponding changes to both opinions and to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corresponding text throughout this section, as appropriate.</w:t>
      </w:r>
    </w:p>
    <w:p>
      <w:pPr>
        <w:spacing w:after="0" w:line="207" w:lineRule="exact"/>
        <w:rPr>
          <w:rFonts w:ascii="Courier New" w:cs="Courier New" w:eastAsia="Courier New" w:hAnsi="Courier New"/>
          <w:sz w:val="16"/>
          <w:szCs w:val="16"/>
          <w:color w:val="auto"/>
        </w:rPr>
      </w:pPr>
    </w:p>
    <w:p>
      <w:pPr>
        <w:ind w:right="3779" w:firstLine="8"/>
        <w:spacing w:after="0" w:line="236"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that the receipt of the tax opinions is a waivable condition. Accordingly, the tax opinions must be filed as exhibits</w:t>
      </w:r>
    </w:p>
    <w:p>
      <w:pPr>
        <w:spacing w:after="0" w:line="6"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effectiveness. If the condition is later waived and the changes to the tax consequences would be material, an amended proxy</w:t>
      </w:r>
    </w:p>
    <w:p>
      <w:pPr>
        <w:spacing w:after="0" w:line="6"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 prospectus must be recirculated and shareholder approval</w:t>
      </w:r>
    </w:p>
    <w:p>
      <w:pPr>
        <w:spacing w:after="0" w:line="5"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resolicited. Revise the disclosure throughout to make clear that you</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have in fact received the tax opinions to which you refer.</w:t>
      </w:r>
    </w:p>
    <w:p>
      <w:pPr>
        <w:spacing w:after="0" w:line="207" w:lineRule="exact"/>
        <w:rPr>
          <w:rFonts w:ascii="Courier New" w:cs="Courier New" w:eastAsia="Courier New" w:hAnsi="Courier New"/>
          <w:sz w:val="18"/>
          <w:szCs w:val="18"/>
          <w:color w:val="auto"/>
        </w:rPr>
      </w:pPr>
    </w:p>
    <w:p>
      <w:pPr>
        <w:ind w:right="399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revise your disclosure throughout this section to clarify</w:t>
      </w:r>
    </w:p>
    <w:p>
      <w:pPr>
        <w:spacing w:after="0" w:line="5"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which are the matters upon which counsel is opining. As currently drafted, the text at times suggests that the registrant, rather than</w:t>
      </w:r>
    </w:p>
    <w:p>
      <w:pPr>
        <w:sectPr>
          <w:pgSz w:w="11900" w:h="16853" w:orient="portrait"/>
          <w:cols w:equalWidth="0" w:num="1">
            <w:col w:w="10219"/>
          </w:cols>
          <w:pgMar w:left="240" w:top="244" w:right="1440" w:bottom="0" w:gutter="0" w:footer="0" w:header="0"/>
        </w:sectPr>
      </w:pPr>
    </w:p>
    <w:bookmarkStart w:id="1" w:name="page2"/>
    <w:bookmarkEnd w:id="1"/>
    <w:p>
      <w:pPr>
        <w:ind w:right="3679"/>
        <w:spacing w:after="0" w:line="237" w:lineRule="auto"/>
        <w:rPr>
          <w:sz w:val="20"/>
          <w:szCs w:val="20"/>
          <w:color w:val="auto"/>
        </w:rPr>
      </w:pPr>
      <w:r>
        <w:rPr>
          <w:rFonts w:ascii="Courier New" w:cs="Courier New" w:eastAsia="Courier New" w:hAnsi="Courier New"/>
          <w:sz w:val="18"/>
          <w:szCs w:val="18"/>
          <w:color w:val="auto"/>
        </w:rPr>
        <w:t>counsel, is providing legal conclusions. Also, revise the introductory paragraphs to clarify that this is not merely a discussion of the tax consequences, but rather constitutes the opinions of named counsel.</w:t>
      </w:r>
    </w:p>
    <w:p>
      <w:pPr>
        <w:spacing w:after="0" w:line="5" w:lineRule="exact"/>
        <w:rPr>
          <w:sz w:val="20"/>
          <w:szCs w:val="20"/>
          <w:color w:val="auto"/>
        </w:rPr>
      </w:pPr>
    </w:p>
    <w:p>
      <w:pPr>
        <w:ind w:right="367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indicate at page 168 that counsel is unable to opine on your</w:t>
      </w:r>
    </w:p>
    <w:p>
      <w:pPr>
        <w:spacing w:after="0" w:line="5"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making allocations because "use of this method may not be</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under existing Treasury regulations." In light of counsel`s non-opinion in these circumstances, explain in necessary detail why your management feels justified making allocations in this</w:t>
      </w:r>
    </w:p>
    <w:p>
      <w:pPr>
        <w:spacing w:after="0" w:line="4"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manner. Also explain further the nature of counsel`s uncertainty in</w:t>
      </w:r>
    </w:p>
    <w:p>
      <w:pPr>
        <w:spacing w:after="0" w:line="5"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that regard. Make clear whether it believes that there is a problem</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use of this method.</w:t>
      </w:r>
    </w:p>
    <w:p>
      <w:pPr>
        <w:spacing w:after="0" w:line="4" w:lineRule="exact"/>
        <w:rPr>
          <w:rFonts w:ascii="Courier New" w:cs="Courier New" w:eastAsia="Courier New" w:hAnsi="Courier New"/>
          <w:sz w:val="18"/>
          <w:szCs w:val="18"/>
          <w:color w:val="auto"/>
        </w:rPr>
      </w:pPr>
    </w:p>
    <w:p>
      <w:pPr>
        <w:ind w:right="367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an opinion on all material tax matters, or provide a more</w:t>
      </w:r>
    </w:p>
    <w:p>
      <w:pPr>
        <w:spacing w:after="0" w:line="5" w:lineRule="exact"/>
        <w:rPr>
          <w:rFonts w:ascii="Courier New" w:cs="Courier New" w:eastAsia="Courier New" w:hAnsi="Courier New"/>
          <w:sz w:val="18"/>
          <w:szCs w:val="18"/>
          <w:color w:val="auto"/>
        </w:rPr>
      </w:pPr>
    </w:p>
    <w:p>
      <w:pPr>
        <w:ind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detailed explanation regarding any failure to include such opinions.</w:t>
      </w:r>
    </w:p>
    <w:p>
      <w:pPr>
        <w:spacing w:after="0" w:line="5"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example, if counsel can rely on indirect authority and other necessary means to render an opinion regarding likely tax consequences, it would be insufficient to state that there is no clear authority on an issue.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 * *</w:t>
      </w:r>
    </w:p>
    <w:p>
      <w:pPr>
        <w:spacing w:after="0" w:line="238" w:lineRule="auto"/>
        <w:rPr>
          <w:sz w:val="20"/>
          <w:szCs w:val="20"/>
          <w:color w:val="auto"/>
        </w:rPr>
      </w:pPr>
      <w:r>
        <w:rPr>
          <w:rFonts w:ascii="Courier New" w:cs="Courier New" w:eastAsia="Courier New" w:hAnsi="Courier New"/>
          <w:sz w:val="18"/>
          <w:szCs w:val="18"/>
          <w:color w:val="auto"/>
        </w:rPr>
        <w:t>Closing Comments</w:t>
      </w:r>
    </w:p>
    <w:p>
      <w:pPr>
        <w:spacing w:after="0" w:line="207" w:lineRule="exact"/>
        <w:rPr>
          <w:sz w:val="20"/>
          <w:szCs w:val="20"/>
          <w:color w:val="auto"/>
        </w:rPr>
      </w:pPr>
    </w:p>
    <w:p>
      <w:pPr>
        <w:ind w:right="3359" w:firstLine="632"/>
        <w:spacing w:after="0" w:line="236" w:lineRule="auto"/>
        <w:rPr>
          <w:sz w:val="20"/>
          <w:szCs w:val="20"/>
          <w:color w:val="auto"/>
        </w:rPr>
      </w:pPr>
      <w:r>
        <w:rPr>
          <w:rFonts w:ascii="Courier New" w:cs="Courier New" w:eastAsia="Courier New" w:hAnsi="Courier New"/>
          <w:sz w:val="18"/>
          <w:szCs w:val="18"/>
          <w:color w:val="auto"/>
        </w:rPr>
        <w:t>As appropriate, please amend your registration statement in response to these comments. You may wish to provide us with marked</w:t>
      </w:r>
    </w:p>
    <w:p>
      <w:pPr>
        <w:spacing w:after="0" w:line="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copies of the amendment to expedite our review. Please furnish a cover letter with your amendment that keys your responses to our comments and provides any requested information. Detailed cover letters greatly facilitate our review. Please understand that we may</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have additional comments after reviewing your amendment and responses</w:t>
      </w:r>
    </w:p>
    <w:p>
      <w:pPr>
        <w:spacing w:after="0"/>
        <w:rPr>
          <w:sz w:val="20"/>
          <w:szCs w:val="20"/>
          <w:color w:val="auto"/>
        </w:rPr>
      </w:pPr>
      <w:r>
        <w:rPr>
          <w:rFonts w:ascii="Courier New" w:cs="Courier New" w:eastAsia="Courier New" w:hAnsi="Courier New"/>
          <w:sz w:val="18"/>
          <w:szCs w:val="18"/>
          <w:color w:val="auto"/>
        </w:rPr>
        <w:t>to our comments.</w:t>
      </w:r>
    </w:p>
    <w:p>
      <w:pPr>
        <w:spacing w:after="0" w:line="207" w:lineRule="exact"/>
        <w:rPr>
          <w:sz w:val="20"/>
          <w:szCs w:val="20"/>
          <w:color w:val="auto"/>
        </w:rPr>
      </w:pPr>
    </w:p>
    <w:p>
      <w:pPr>
        <w:ind w:right="3259" w:firstLine="632"/>
        <w:spacing w:after="0" w:line="237" w:lineRule="auto"/>
        <w:rPr>
          <w:sz w:val="20"/>
          <w:szCs w:val="20"/>
          <w:color w:val="auto"/>
        </w:rPr>
      </w:pPr>
      <w:r>
        <w:rPr>
          <w:rFonts w:ascii="Courier New" w:cs="Courier New" w:eastAsia="Courier New" w:hAnsi="Courier New"/>
          <w:sz w:val="18"/>
          <w:szCs w:val="18"/>
          <w:color w:val="auto"/>
        </w:rPr>
        <w:t>We urge all persons who are responsible for the accuracy and adequacy of the disclosure in the filing to be certain that the filing includes all information required under the Securities Act of</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1933 and that they have provided all information investors require for an informed investment decision. Since the company and its management are in possession of all facts relating to a company`s disclosure, they are responsible for the accuracy and adequacy of the</w:t>
      </w:r>
    </w:p>
    <w:p>
      <w:pPr>
        <w:spacing w:after="0"/>
        <w:rPr>
          <w:sz w:val="20"/>
          <w:szCs w:val="20"/>
          <w:color w:val="auto"/>
        </w:rPr>
      </w:pPr>
      <w:r>
        <w:rPr>
          <w:rFonts w:ascii="Courier New" w:cs="Courier New" w:eastAsia="Courier New" w:hAnsi="Courier New"/>
          <w:sz w:val="18"/>
          <w:szCs w:val="18"/>
          <w:color w:val="auto"/>
        </w:rPr>
        <w:t>disclosures they have made.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Notwithstanding our comments, in the event the company</w:t>
      </w:r>
    </w:p>
    <w:p>
      <w:pPr>
        <w:spacing w:after="0" w:line="238" w:lineRule="auto"/>
        <w:rPr>
          <w:sz w:val="20"/>
          <w:szCs w:val="20"/>
          <w:color w:val="auto"/>
        </w:rPr>
      </w:pPr>
      <w:r>
        <w:rPr>
          <w:rFonts w:ascii="Courier New" w:cs="Courier New" w:eastAsia="Courier New" w:hAnsi="Courier New"/>
          <w:sz w:val="18"/>
          <w:szCs w:val="18"/>
          <w:color w:val="auto"/>
        </w:rPr>
        <w:t>requests</w:t>
      </w:r>
    </w:p>
    <w:p>
      <w:pPr>
        <w:spacing w:after="0"/>
        <w:rPr>
          <w:sz w:val="20"/>
          <w:szCs w:val="20"/>
          <w:color w:val="auto"/>
        </w:rPr>
      </w:pPr>
      <w:r>
        <w:rPr>
          <w:rFonts w:ascii="Courier New" w:cs="Courier New" w:eastAsia="Courier New" w:hAnsi="Courier New"/>
          <w:sz w:val="18"/>
          <w:szCs w:val="18"/>
          <w:color w:val="auto"/>
        </w:rPr>
        <w:t>acceleration of the effective date of the pending registration</w:t>
      </w:r>
    </w:p>
    <w:p>
      <w:pPr>
        <w:spacing w:after="0" w:line="237" w:lineRule="auto"/>
        <w:rPr>
          <w:sz w:val="20"/>
          <w:szCs w:val="20"/>
          <w:color w:val="auto"/>
        </w:rPr>
      </w:pPr>
      <w:r>
        <w:rPr>
          <w:rFonts w:ascii="Courier New" w:cs="Courier New" w:eastAsia="Courier New" w:hAnsi="Courier New"/>
          <w:sz w:val="18"/>
          <w:szCs w:val="18"/>
          <w:color w:val="auto"/>
        </w:rPr>
        <w:t>statement, it should furnish a letter, at the time of such</w:t>
      </w:r>
    </w:p>
    <w:p>
      <w:pPr>
        <w:spacing w:after="0" w:line="238" w:lineRule="auto"/>
        <w:rPr>
          <w:sz w:val="20"/>
          <w:szCs w:val="20"/>
          <w:color w:val="auto"/>
        </w:rPr>
      </w:pPr>
      <w:r>
        <w:rPr>
          <w:rFonts w:ascii="Courier New" w:cs="Courier New" w:eastAsia="Courier New" w:hAnsi="Courier New"/>
          <w:sz w:val="18"/>
          <w:szCs w:val="18"/>
          <w:color w:val="auto"/>
        </w:rPr>
        <w:t>request,</w:t>
      </w:r>
    </w:p>
    <w:p>
      <w:pPr>
        <w:spacing w:after="0"/>
        <w:rPr>
          <w:sz w:val="20"/>
          <w:szCs w:val="20"/>
          <w:color w:val="auto"/>
        </w:rPr>
      </w:pPr>
      <w:r>
        <w:rPr>
          <w:rFonts w:ascii="Courier New" w:cs="Courier New" w:eastAsia="Courier New" w:hAnsi="Courier New"/>
          <w:sz w:val="18"/>
          <w:szCs w:val="18"/>
          <w:color w:val="auto"/>
        </w:rPr>
        <w:t>acknowledging that:</w:t>
      </w:r>
    </w:p>
    <w:p>
      <w:pPr>
        <w:spacing w:after="0" w:line="206" w:lineRule="exact"/>
        <w:rPr>
          <w:sz w:val="20"/>
          <w:szCs w:val="20"/>
          <w:color w:val="auto"/>
        </w:rPr>
      </w:pPr>
    </w:p>
    <w:p>
      <w:pPr>
        <w:ind w:right="3679" w:firstLine="8"/>
        <w:spacing w:after="0" w:line="235"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the Commission or the staff, acting pursuant to delegated</w:t>
      </w:r>
    </w:p>
    <w:p>
      <w:pPr>
        <w:spacing w:after="0" w:line="5" w:lineRule="exact"/>
        <w:rPr>
          <w:rFonts w:ascii="Courier New" w:cs="Courier New" w:eastAsia="Courier New" w:hAnsi="Courier New"/>
          <w:sz w:val="18"/>
          <w:szCs w:val="18"/>
          <w:color w:val="auto"/>
        </w:rPr>
      </w:pPr>
    </w:p>
    <w:p>
      <w:pPr>
        <w:ind w:right="32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authority, declare the filing effective, it does not foreclose the Commission from taking any action with respect to the filing;</w:t>
      </w:r>
    </w:p>
    <w:p>
      <w:pPr>
        <w:spacing w:after="0" w:line="169" w:lineRule="exact"/>
        <w:rPr>
          <w:rFonts w:ascii="Courier New" w:cs="Courier New" w:eastAsia="Courier New" w:hAnsi="Courier New"/>
          <w:sz w:val="18"/>
          <w:szCs w:val="18"/>
          <w:color w:val="auto"/>
        </w:rPr>
      </w:pPr>
    </w:p>
    <w:p>
      <w:pPr>
        <w:ind w:right="293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action of the Commission or the staff, acting pursuant to delegated authority, in declaring the filing effective, does not relieve the company from its full responsibility for the adequacy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accuracy of the disclosure in the filing; and</w:t>
      </w:r>
    </w:p>
    <w:p>
      <w:pPr>
        <w:spacing w:after="0" w:line="207"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not assert staff comments and the declaration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w:t>
      </w:r>
    </w:p>
    <w:p>
      <w:pPr>
        <w:spacing w:after="0" w:line="4" w:lineRule="exact"/>
        <w:rPr>
          <w:rFonts w:ascii="Courier New" w:cs="Courier New" w:eastAsia="Courier New" w:hAnsi="Courier New"/>
          <w:sz w:val="16"/>
          <w:szCs w:val="16"/>
          <w:color w:val="auto"/>
        </w:rPr>
      </w:pPr>
    </w:p>
    <w:p>
      <w:pPr>
        <w:ind w:right="33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effectiveness as a defense in any proceeding initiated by the Commission or any person under the federal securities laws of the United States.</w:t>
      </w:r>
    </w:p>
    <w:p>
      <w:pPr>
        <w:spacing w:after="0" w:line="209" w:lineRule="exact"/>
        <w:rPr>
          <w:sz w:val="20"/>
          <w:szCs w:val="20"/>
          <w:color w:val="auto"/>
        </w:rPr>
      </w:pPr>
    </w:p>
    <w:p>
      <w:pPr>
        <w:ind w:right="3999" w:firstLine="843"/>
        <w:spacing w:after="0" w:line="235" w:lineRule="auto"/>
        <w:rPr>
          <w:sz w:val="20"/>
          <w:szCs w:val="20"/>
          <w:color w:val="auto"/>
        </w:rPr>
      </w:pPr>
      <w:r>
        <w:rPr>
          <w:rFonts w:ascii="Courier New" w:cs="Courier New" w:eastAsia="Courier New" w:hAnsi="Courier New"/>
          <w:sz w:val="18"/>
          <w:szCs w:val="18"/>
          <w:color w:val="auto"/>
        </w:rPr>
        <w:t>In addition, please be advised that the Division of Enforcement</w:t>
      </w:r>
    </w:p>
    <w:p>
      <w:pPr>
        <w:spacing w:after="0" w:line="6"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has access to all information you provide to the staff of the Division of Corporation Finance in connection with our review of your</w:t>
      </w:r>
    </w:p>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filing or in response to our comments on your filing.</w:t>
      </w:r>
    </w:p>
    <w:p>
      <w:pPr>
        <w:spacing w:after="0" w:line="207" w:lineRule="exact"/>
        <w:rPr>
          <w:sz w:val="20"/>
          <w:szCs w:val="20"/>
          <w:color w:val="auto"/>
        </w:rPr>
      </w:pPr>
    </w:p>
    <w:p>
      <w:pPr>
        <w:ind w:right="3359" w:firstLine="632"/>
        <w:spacing w:after="0" w:line="236" w:lineRule="auto"/>
        <w:rPr>
          <w:sz w:val="20"/>
          <w:szCs w:val="20"/>
          <w:color w:val="auto"/>
        </w:rPr>
      </w:pPr>
      <w:r>
        <w:rPr>
          <w:rFonts w:ascii="Courier New" w:cs="Courier New" w:eastAsia="Courier New" w:hAnsi="Courier New"/>
          <w:sz w:val="18"/>
          <w:szCs w:val="18"/>
          <w:color w:val="auto"/>
        </w:rPr>
        <w:t>We will consider a written request for acceleration of the effective date of the registration statement as a confirmation of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fact that those requesting acceleration are aware of their respective</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responsibilities under the Securities Act of 1933 and the Securities</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Exchange Act of 1934 as they relate to the proposed public offering</w:t>
      </w:r>
    </w:p>
    <w:p>
      <w:pPr>
        <w:spacing w:after="0"/>
        <w:rPr>
          <w:sz w:val="20"/>
          <w:szCs w:val="20"/>
          <w:color w:val="auto"/>
        </w:rPr>
      </w:pPr>
      <w:r>
        <w:rPr>
          <w:rFonts w:ascii="Courier New" w:cs="Courier New" w:eastAsia="Courier New" w:hAnsi="Courier New"/>
          <w:sz w:val="18"/>
          <w:szCs w:val="18"/>
          <w:color w:val="auto"/>
        </w:rPr>
        <w:t>of the securities specified in the above registration statement.</w:t>
      </w:r>
    </w:p>
    <w:p>
      <w:pPr>
        <w:spacing w:after="0" w:line="238" w:lineRule="auto"/>
        <w:rPr>
          <w:sz w:val="20"/>
          <w:szCs w:val="20"/>
          <w:color w:val="auto"/>
        </w:rPr>
      </w:pPr>
      <w:r>
        <w:rPr>
          <w:rFonts w:ascii="Courier New" w:cs="Courier New" w:eastAsia="Courier New" w:hAnsi="Courier New"/>
          <w:sz w:val="18"/>
          <w:szCs w:val="18"/>
          <w:color w:val="auto"/>
        </w:rPr>
        <w:t>We</w:t>
      </w:r>
    </w:p>
    <w:p>
      <w:pPr>
        <w:spacing w:after="0" w:line="5"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will act on the request and, pursuant to delegated authority, grant</w:t>
      </w:r>
    </w:p>
    <w:p>
      <w:pPr>
        <w:spacing w:after="0"/>
        <w:rPr>
          <w:sz w:val="20"/>
          <w:szCs w:val="20"/>
          <w:color w:val="auto"/>
        </w:rPr>
      </w:pPr>
      <w:r>
        <w:rPr>
          <w:rFonts w:ascii="Courier New" w:cs="Courier New" w:eastAsia="Courier New" w:hAnsi="Courier New"/>
          <w:sz w:val="18"/>
          <w:szCs w:val="18"/>
          <w:color w:val="auto"/>
        </w:rPr>
        <w:t>acceleration of the effective date.</w:t>
      </w:r>
    </w:p>
    <w:p>
      <w:pPr>
        <w:spacing w:after="0" w:line="207" w:lineRule="exact"/>
        <w:rPr>
          <w:sz w:val="20"/>
          <w:szCs w:val="20"/>
          <w:color w:val="auto"/>
        </w:rPr>
      </w:pPr>
    </w:p>
    <w:p>
      <w:pPr>
        <w:ind w:right="3259" w:firstLine="632"/>
        <w:spacing w:after="0" w:line="237" w:lineRule="auto"/>
        <w:rPr>
          <w:sz w:val="20"/>
          <w:szCs w:val="20"/>
          <w:color w:val="auto"/>
        </w:rPr>
      </w:pPr>
      <w:r>
        <w:rPr>
          <w:rFonts w:ascii="Courier New" w:cs="Courier New" w:eastAsia="Courier New" w:hAnsi="Courier New"/>
          <w:sz w:val="18"/>
          <w:szCs w:val="18"/>
          <w:color w:val="auto"/>
        </w:rPr>
        <w:t>We direct your attention to Rules 460 and 461 regarding requesting acceleration of a registration statement. Please allow adequate time after the filing of any amendment for further review before submitting a request for acceleration. Please provide this request at least two business days in advance of the requested effective date.</w:t>
      </w:r>
    </w:p>
    <w:p>
      <w:pPr>
        <w:spacing w:after="0" w:line="210" w:lineRule="exact"/>
        <w:rPr>
          <w:sz w:val="20"/>
          <w:szCs w:val="20"/>
          <w:color w:val="auto"/>
        </w:rPr>
      </w:pPr>
    </w:p>
    <w:p>
      <w:pPr>
        <w:jc w:val="both"/>
        <w:ind w:right="3259" w:firstLine="632"/>
        <w:spacing w:after="0" w:line="236" w:lineRule="auto"/>
        <w:rPr>
          <w:sz w:val="20"/>
          <w:szCs w:val="20"/>
          <w:color w:val="auto"/>
        </w:rPr>
      </w:pPr>
      <w:r>
        <w:rPr>
          <w:rFonts w:ascii="Courier New" w:cs="Courier New" w:eastAsia="Courier New" w:hAnsi="Courier New"/>
          <w:sz w:val="18"/>
          <w:szCs w:val="18"/>
          <w:color w:val="auto"/>
        </w:rPr>
        <w:t>Please contact Carmen Moncada-Terry at (202) 551-3687 or, in her absence, Timothy Levenberg, Special Counsel, at (202) 551-3707 with any questions on these comments.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H. Roger Schwall</w:t>
      </w:r>
    </w:p>
    <w:p>
      <w:pPr>
        <w:ind w:left="640"/>
        <w:spacing w:after="0" w:line="238" w:lineRule="auto"/>
        <w:rPr>
          <w:sz w:val="20"/>
          <w:szCs w:val="20"/>
          <w:color w:val="auto"/>
        </w:rPr>
      </w:pPr>
      <w:r>
        <w:rPr>
          <w:rFonts w:ascii="Courier New" w:cs="Courier New" w:eastAsia="Courier New" w:hAnsi="Courier New"/>
          <w:sz w:val="18"/>
          <w:szCs w:val="18"/>
          <w:color w:val="auto"/>
        </w:rPr>
        <w:t>Assistant Director</w:t>
      </w:r>
    </w:p>
    <w:p>
      <w:pPr>
        <w:spacing w:after="0" w:line="200" w:lineRule="exact"/>
        <w:rPr>
          <w:sz w:val="20"/>
          <w:szCs w:val="20"/>
          <w:color w:val="auto"/>
        </w:rPr>
      </w:pPr>
    </w:p>
    <w:p>
      <w:pPr>
        <w:spacing w:after="0" w:line="210" w:lineRule="exact"/>
        <w:rPr>
          <w:sz w:val="20"/>
          <w:szCs w:val="20"/>
          <w:color w:val="auto"/>
        </w:rPr>
      </w:pPr>
    </w:p>
    <w:p>
      <w:pPr>
        <w:ind w:left="860" w:right="7679" w:hanging="852"/>
        <w:spacing w:after="0" w:line="290"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 Moncada-Terry T. Levenberg</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VIA FACSIMILE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David Oelman</w:t>
      </w:r>
    </w:p>
    <w:p>
      <w:pPr>
        <w:ind w:left="860"/>
        <w:spacing w:after="0" w:line="238" w:lineRule="auto"/>
        <w:rPr>
          <w:sz w:val="20"/>
          <w:szCs w:val="20"/>
          <w:color w:val="auto"/>
        </w:rPr>
      </w:pPr>
      <w:r>
        <w:rPr>
          <w:rFonts w:ascii="Courier New" w:cs="Courier New" w:eastAsia="Courier New" w:hAnsi="Courier New"/>
          <w:sz w:val="18"/>
          <w:szCs w:val="18"/>
          <w:color w:val="auto"/>
        </w:rPr>
        <w:t>Vinson &amp; Elkins L.L.P.</w:t>
      </w:r>
    </w:p>
    <w:p>
      <w:pPr>
        <w:ind w:left="860"/>
        <w:spacing w:after="0"/>
        <w:rPr>
          <w:sz w:val="20"/>
          <w:szCs w:val="20"/>
          <w:color w:val="auto"/>
        </w:rPr>
      </w:pPr>
      <w:r>
        <w:rPr>
          <w:rFonts w:ascii="Courier New" w:cs="Courier New" w:eastAsia="Courier New" w:hAnsi="Courier New"/>
          <w:sz w:val="18"/>
          <w:szCs w:val="18"/>
          <w:color w:val="auto"/>
        </w:rPr>
        <w:t>713-615-5620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Tim Moore</w:t>
      </w:r>
    </w:p>
    <w:p>
      <w:pPr>
        <w:spacing w:after="0" w:line="238" w:lineRule="auto"/>
        <w:rPr>
          <w:sz w:val="20"/>
          <w:szCs w:val="20"/>
          <w:color w:val="auto"/>
        </w:rPr>
      </w:pPr>
      <w:r>
        <w:rPr>
          <w:rFonts w:ascii="Courier New" w:cs="Courier New" w:eastAsia="Courier New" w:hAnsi="Courier New"/>
          <w:sz w:val="18"/>
          <w:szCs w:val="18"/>
          <w:color w:val="auto"/>
        </w:rPr>
        <w:t>Plains All American Pipeline, L.P.</w:t>
      </w:r>
    </w:p>
    <w:p>
      <w:pPr>
        <w:spacing w:after="0"/>
        <w:rPr>
          <w:sz w:val="20"/>
          <w:szCs w:val="20"/>
          <w:color w:val="auto"/>
        </w:rPr>
      </w:pPr>
      <w:r>
        <w:rPr>
          <w:rFonts w:ascii="Courier New" w:cs="Courier New" w:eastAsia="Courier New" w:hAnsi="Courier New"/>
          <w:sz w:val="18"/>
          <w:szCs w:val="18"/>
          <w:color w:val="auto"/>
        </w:rPr>
        <w:t>August 11, 2006</w:t>
      </w:r>
    </w:p>
    <w:p>
      <w:pPr>
        <w:spacing w:after="0" w:line="237" w:lineRule="auto"/>
        <w:rPr>
          <w:sz w:val="20"/>
          <w:szCs w:val="20"/>
          <w:color w:val="auto"/>
        </w:rPr>
      </w:pPr>
      <w:r>
        <w:rPr>
          <w:rFonts w:ascii="Courier New" w:cs="Courier New" w:eastAsia="Courier New" w:hAnsi="Courier New"/>
          <w:sz w:val="18"/>
          <w:szCs w:val="18"/>
          <w:color w:val="auto"/>
        </w:rPr>
        <w:t>Page 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2020-02-17T23:52:17Z</dcterms:created>
  <dcterms:modified xsi:type="dcterms:W3CDTF">2020-02-17T23:52:17Z</dcterms:modified>
</cp:coreProperties>
</file>