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Two)*</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Plains All American Pipeline,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6"/>
          <w:szCs w:val="16"/>
          <w:u w:val="single" w:color="auto"/>
          <w:color w:val="auto"/>
        </w:rPr>
        <w:t>Common Units Representing Limited Partner Interests</w:t>
      </w:r>
      <w:r>
        <w:rPr>
          <w:rFonts w:ascii="Arial" w:cs="Arial" w:eastAsia="Arial" w:hAnsi="Arial"/>
          <w:sz w:val="16"/>
          <w:szCs w:val="16"/>
          <w:color w:val="auto"/>
        </w:rPr>
        <w:t>(Title of Class of Securities)</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726503105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020" w:hanging="1012"/>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ectPr>
          <w:pgSz w:w="11900" w:h="16838" w:orient="portrait"/>
          <w:cols w:equalWidth="0" w:num="1">
            <w:col w:w="11420"/>
          </w:cols>
          <w:pgMar w:left="240" w:top="544" w:right="239" w:bottom="1440" w:gutter="0" w:footer="0" w:header="0"/>
        </w:sectPr>
      </w:pP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Rule 13d-1(c)</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Rule 13d-1(d)</w:t>
      </w:r>
    </w:p>
    <w:p>
      <w:pPr>
        <w:spacing w:after="0" w:line="222" w:lineRule="exact"/>
        <w:rPr>
          <w:sz w:val="24"/>
          <w:szCs w:val="24"/>
          <w:color w:val="auto"/>
        </w:rPr>
      </w:pPr>
    </w:p>
    <w:p>
      <w:pPr>
        <w:sectPr>
          <w:pgSz w:w="11900" w:h="16838" w:orient="portrait"/>
          <w:cols w:equalWidth="0" w:num="2">
            <w:col w:w="300" w:space="720"/>
            <w:col w:w="10400"/>
          </w:cols>
          <w:pgMar w:left="240" w:top="544" w:right="239" w:bottom="1440" w:gutter="0" w:footer="0" w:header="0"/>
          <w:type w:val="continuous"/>
        </w:sectPr>
      </w:pPr>
    </w:p>
    <w:p>
      <w:pPr>
        <w:spacing w:after="0" w:line="3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1014095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tabs>
          <w:tab w:leader="none" w:pos="5640" w:val="left"/>
          <w:tab w:leader="none" w:pos="10120" w:val="left"/>
        </w:tabs>
        <w:rPr>
          <w:sz w:val="20"/>
          <w:szCs w:val="20"/>
          <w:color w:val="auto"/>
        </w:rPr>
      </w:pPr>
      <w:r>
        <w:rPr>
          <w:rFonts w:ascii="Arial" w:cs="Arial" w:eastAsia="Arial" w:hAnsi="Arial"/>
          <w:sz w:val="18"/>
          <w:szCs w:val="18"/>
          <w:color w:val="auto"/>
        </w:rPr>
        <w:t>CUSIP No. 726503105</w:t>
      </w:r>
      <w:r>
        <w:rPr>
          <w:sz w:val="20"/>
          <w:szCs w:val="20"/>
          <w:color w:val="auto"/>
        </w:rPr>
        <w:tab/>
      </w:r>
      <w:r>
        <w:rPr>
          <w:rFonts w:ascii="Arial" w:cs="Arial" w:eastAsia="Arial" w:hAnsi="Arial"/>
          <w:sz w:val="18"/>
          <w:szCs w:val="18"/>
          <w:color w:val="auto"/>
        </w:rPr>
        <w:t>13G/A</w:t>
      </w:r>
      <w:r>
        <w:rPr>
          <w:sz w:val="20"/>
          <w:szCs w:val="20"/>
          <w:color w:val="auto"/>
        </w:rPr>
        <w:tab/>
      </w:r>
      <w:r>
        <w:rPr>
          <w:rFonts w:ascii="Arial" w:cs="Arial" w:eastAsia="Arial" w:hAnsi="Arial"/>
          <w:sz w:val="15"/>
          <w:szCs w:val="15"/>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5299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529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940" w:right="6900" w:hanging="1092"/>
        <w:spacing w:after="0" w:line="342" w:lineRule="auto"/>
        <w:tabs>
          <w:tab w:leader="none" w:pos="194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NAME OF REPORTING PERSON Tortoise Capital Advisors, L.L.C.</w:t>
      </w:r>
    </w:p>
    <w:p>
      <w:pPr>
        <w:spacing w:after="0" w:line="151" w:lineRule="exact"/>
        <w:rPr>
          <w:sz w:val="20"/>
          <w:szCs w:val="20"/>
          <w:color w:val="auto"/>
        </w:rPr>
      </w:pPr>
    </w:p>
    <w:p>
      <w:pPr>
        <w:ind w:left="1940" w:hanging="1092"/>
        <w:spacing w:after="0"/>
        <w:tabs>
          <w:tab w:leader="none" w:pos="19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b w:val="1"/>
          <w:bCs w:val="1"/>
          <w:color w:val="auto"/>
        </w:rPr>
      </w:pPr>
    </w:p>
    <w:p>
      <w:pPr>
        <w:ind w:left="2180" w:hanging="241"/>
        <w:spacing w:after="0"/>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2200" w:hanging="261"/>
        <w:spacing w:after="0"/>
        <w:tabs>
          <w:tab w:leader="none" w:pos="2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(See Instructions)</w:t>
            </w:r>
          </w:p>
        </w:tc>
        <w:tc>
          <w:tcPr>
            <w:tcW w:w="7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9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SEC USE ONLY</w:t>
            </w:r>
          </w:p>
        </w:tc>
        <w:tc>
          <w:tcPr>
            <w:tcW w:w="7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9640" w:type="dxa"/>
            <w:vAlign w:val="bottom"/>
            <w:gridSpan w:val="3"/>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Delaware</w:t>
            </w:r>
          </w:p>
        </w:tc>
        <w:tc>
          <w:tcPr>
            <w:tcW w:w="7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8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ind w:left="84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4"/>
                <w:szCs w:val="24"/>
                <w:color w:val="auto"/>
              </w:rPr>
            </w:pPr>
          </w:p>
        </w:tc>
        <w:tc>
          <w:tcPr>
            <w:tcW w:w="770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780" w:type="dxa"/>
            <w:vAlign w:val="bottom"/>
            <w:tcBorders>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513,260</w:t>
            </w:r>
          </w:p>
        </w:tc>
        <w:tc>
          <w:tcPr>
            <w:tcW w:w="0" w:type="dxa"/>
            <w:vAlign w:val="bottom"/>
          </w:tcPr>
          <w:p>
            <w:pPr>
              <w:spacing w:after="0"/>
              <w:rPr>
                <w:sz w:val="1"/>
                <w:szCs w:val="1"/>
                <w:color w:val="auto"/>
              </w:rPr>
            </w:pPr>
          </w:p>
        </w:tc>
      </w:tr>
      <w:tr>
        <w:trPr>
          <w:trHeight w:val="323"/>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1840" w:type="dxa"/>
            <w:vAlign w:val="bottom"/>
            <w:tcBorders>
              <w:right w:val="single" w:sz="8" w:color="auto"/>
            </w:tcBorders>
            <w:vMerge w:val="restart"/>
          </w:tcPr>
          <w:p>
            <w:pPr>
              <w:ind w:left="84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4"/>
                <w:szCs w:val="24"/>
                <w:color w:val="auto"/>
              </w:rPr>
            </w:pPr>
          </w:p>
        </w:tc>
        <w:tc>
          <w:tcPr>
            <w:tcW w:w="770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18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7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8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700" w:type="dxa"/>
            <w:vAlign w:val="bottom"/>
            <w:vMerge w:val="restart"/>
          </w:tcPr>
          <w:p>
            <w:pPr>
              <w:ind w:left="60"/>
              <w:spacing w:after="0"/>
              <w:rPr>
                <w:sz w:val="20"/>
                <w:szCs w:val="20"/>
                <w:color w:val="auto"/>
              </w:rPr>
            </w:pPr>
            <w:r>
              <w:rPr>
                <w:rFonts w:ascii="Arial" w:cs="Arial" w:eastAsia="Arial" w:hAnsi="Arial"/>
                <w:sz w:val="18"/>
                <w:szCs w:val="18"/>
                <w:color w:val="auto"/>
              </w:rPr>
              <w:t>29,272,535 (see Item 4)</w:t>
            </w:r>
          </w:p>
        </w:tc>
        <w:tc>
          <w:tcPr>
            <w:tcW w:w="0" w:type="dxa"/>
            <w:vAlign w:val="bottom"/>
          </w:tcPr>
          <w:p>
            <w:pPr>
              <w:spacing w:after="0"/>
              <w:rPr>
                <w:sz w:val="1"/>
                <w:szCs w:val="1"/>
                <w:color w:val="auto"/>
              </w:rPr>
            </w:pPr>
          </w:p>
        </w:tc>
      </w:tr>
      <w:tr>
        <w:trPr>
          <w:trHeight w:val="116"/>
        </w:trPr>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184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80" w:type="dxa"/>
            <w:vAlign w:val="bottom"/>
            <w:tcBorders>
              <w:right w:val="single" w:sz="8" w:color="auto"/>
            </w:tcBorders>
            <w:vMerge w:val="continue"/>
          </w:tcPr>
          <w:p>
            <w:pPr>
              <w:spacing w:after="0"/>
              <w:rPr>
                <w:sz w:val="6"/>
                <w:szCs w:val="6"/>
                <w:color w:val="auto"/>
              </w:rPr>
            </w:pPr>
          </w:p>
        </w:tc>
        <w:tc>
          <w:tcPr>
            <w:tcW w:w="18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 EACH</w:t>
            </w:r>
          </w:p>
        </w:tc>
        <w:tc>
          <w:tcPr>
            <w:tcW w:w="1840" w:type="dxa"/>
            <w:vAlign w:val="bottom"/>
            <w:tcBorders>
              <w:right w:val="single" w:sz="8" w:color="auto"/>
            </w:tcBorders>
            <w:vMerge w:val="restart"/>
          </w:tcPr>
          <w:p>
            <w:pPr>
              <w:ind w:left="84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8"/>
                <w:szCs w:val="18"/>
                <w:color w:val="auto"/>
              </w:rPr>
            </w:pPr>
          </w:p>
        </w:tc>
        <w:tc>
          <w:tcPr>
            <w:tcW w:w="770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2"/>
        </w:trPr>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84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7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780" w:type="dxa"/>
            <w:vAlign w:val="bottom"/>
            <w:tcBorders>
              <w:right w:val="single" w:sz="8" w:color="auto"/>
            </w:tcBorders>
            <w:vMerge w:val="continue"/>
          </w:tcPr>
          <w:p>
            <w:pPr>
              <w:spacing w:after="0"/>
              <w:rPr>
                <w:sz w:val="8"/>
                <w:szCs w:val="8"/>
                <w:color w:val="auto"/>
              </w:rPr>
            </w:pPr>
          </w:p>
        </w:tc>
        <w:tc>
          <w:tcPr>
            <w:tcW w:w="18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700" w:type="dxa"/>
            <w:vAlign w:val="bottom"/>
            <w:vMerge w:val="restart"/>
          </w:tcPr>
          <w:p>
            <w:pPr>
              <w:ind w:left="60"/>
              <w:spacing w:after="0"/>
              <w:rPr>
                <w:sz w:val="20"/>
                <w:szCs w:val="20"/>
                <w:color w:val="auto"/>
              </w:rPr>
            </w:pPr>
            <w:r>
              <w:rPr>
                <w:rFonts w:ascii="Arial" w:cs="Arial" w:eastAsia="Arial" w:hAnsi="Arial"/>
                <w:sz w:val="18"/>
                <w:szCs w:val="18"/>
                <w:color w:val="auto"/>
              </w:rPr>
              <w:t>513,260</w:t>
            </w:r>
          </w:p>
        </w:tc>
        <w:tc>
          <w:tcPr>
            <w:tcW w:w="0" w:type="dxa"/>
            <w:vAlign w:val="bottom"/>
          </w:tcPr>
          <w:p>
            <w:pPr>
              <w:spacing w:after="0"/>
              <w:rPr>
                <w:sz w:val="1"/>
                <w:szCs w:val="1"/>
                <w:color w:val="auto"/>
              </w:rPr>
            </w:pPr>
          </w:p>
        </w:tc>
      </w:tr>
      <w:tr>
        <w:trPr>
          <w:trHeight w:val="143"/>
        </w:trPr>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w:t>
            </w:r>
          </w:p>
        </w:tc>
        <w:tc>
          <w:tcPr>
            <w:tcW w:w="184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1780" w:type="dxa"/>
            <w:vAlign w:val="bottom"/>
            <w:tcBorders>
              <w:right w:val="single" w:sz="8" w:color="auto"/>
            </w:tcBorders>
            <w:vMerge w:val="continue"/>
          </w:tcPr>
          <w:p>
            <w:pPr>
              <w:spacing w:after="0"/>
              <w:rPr>
                <w:sz w:val="4"/>
                <w:szCs w:val="4"/>
                <w:color w:val="auto"/>
              </w:rPr>
            </w:pPr>
          </w:p>
        </w:tc>
        <w:tc>
          <w:tcPr>
            <w:tcW w:w="18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1840" w:type="dxa"/>
            <w:vAlign w:val="bottom"/>
            <w:tcBorders>
              <w:right w:val="single" w:sz="8" w:color="auto"/>
            </w:tcBorders>
            <w:vMerge w:val="restart"/>
          </w:tcPr>
          <w:p>
            <w:pPr>
              <w:ind w:left="84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p>
        </w:tc>
        <w:tc>
          <w:tcPr>
            <w:tcW w:w="7700" w:type="dxa"/>
            <w:vAlign w:val="bottom"/>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178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7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78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7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32,225,437 (see Item 4)</w:t>
            </w:r>
          </w:p>
        </w:tc>
        <w:tc>
          <w:tcPr>
            <w:tcW w:w="0" w:type="dxa"/>
            <w:vAlign w:val="bottom"/>
          </w:tcPr>
          <w:p>
            <w:pPr>
              <w:spacing w:after="0"/>
              <w:rPr>
                <w:sz w:val="1"/>
                <w:szCs w:val="1"/>
                <w:color w:val="auto"/>
              </w:rPr>
            </w:pPr>
          </w:p>
        </w:tc>
      </w:tr>
      <w:tr>
        <w:trPr>
          <w:trHeight w:val="418"/>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9</w:t>
            </w:r>
          </w:p>
        </w:tc>
        <w:tc>
          <w:tcPr>
            <w:tcW w:w="9640" w:type="dxa"/>
            <w:vAlign w:val="bottom"/>
            <w:gridSpan w:val="3"/>
          </w:tcPr>
          <w:p>
            <w:pPr>
              <w:ind w:left="1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2"/>
              </w:rPr>
              <w:t>32,738,697 (see Item 4)</w:t>
            </w:r>
          </w:p>
        </w:tc>
        <w:tc>
          <w:tcPr>
            <w:tcW w:w="7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9640" w:type="dxa"/>
            <w:vAlign w:val="bottom"/>
            <w:gridSpan w:val="3"/>
          </w:tcPr>
          <w:p>
            <w:pPr>
              <w:ind w:left="1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Not Applicable</w:t>
            </w:r>
          </w:p>
        </w:tc>
        <w:tc>
          <w:tcPr>
            <w:tcW w:w="7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9640" w:type="dxa"/>
            <w:vAlign w:val="bottom"/>
            <w:gridSpan w:val="3"/>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8.2% (see Item 4)</w:t>
            </w:r>
          </w:p>
        </w:tc>
        <w:tc>
          <w:tcPr>
            <w:tcW w:w="7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9640" w:type="dxa"/>
            <w:vAlign w:val="bottom"/>
            <w:gridSpan w:val="3"/>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7"/>
        </w:trPr>
        <w:tc>
          <w:tcPr>
            <w:tcW w:w="17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IA</w:t>
            </w:r>
          </w:p>
        </w:tc>
        <w:tc>
          <w:tcPr>
            <w:tcW w:w="7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59"/>
        </w:trPr>
        <w:tc>
          <w:tcPr>
            <w:tcW w:w="17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7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2" w:name="page3"/>
    <w:bookmarkEnd w:id="2"/>
    <w:p>
      <w:pPr>
        <w:ind w:left="10140"/>
        <w:spacing w:after="0"/>
        <w:rPr>
          <w:sz w:val="20"/>
          <w:szCs w:val="20"/>
          <w:color w:val="auto"/>
        </w:rPr>
      </w:pPr>
      <w:r>
        <w:rPr>
          <w:rFonts w:ascii="Arial" w:cs="Arial" w:eastAsia="Arial" w:hAnsi="Arial"/>
          <w:sz w:val="15"/>
          <w:szCs w:val="15"/>
          <w:color w:val="auto"/>
        </w:rPr>
        <w:t>Page 3 of 5 Pages</w:t>
      </w:r>
    </w:p>
    <w:p>
      <w:pPr>
        <w:spacing w:after="0" w:line="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 Houston, Texas 77002</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2(a).</w:t>
      </w:r>
      <w:r>
        <w:rPr>
          <w:sz w:val="20"/>
          <w:szCs w:val="20"/>
          <w:color w:val="auto"/>
        </w:rPr>
        <w:tab/>
      </w:r>
      <w:r>
        <w:rPr>
          <w:rFonts w:ascii="Arial" w:cs="Arial" w:eastAsia="Arial" w:hAnsi="Arial"/>
          <w:sz w:val="16"/>
          <w:szCs w:val="16"/>
          <w:b w:val="1"/>
          <w:bCs w:val="1"/>
          <w:u w:val="single" w:color="auto"/>
          <w:color w:val="auto"/>
        </w:rPr>
        <w:t>Name of Person Filing</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13G is being filed by Tortoise Capital Advisors, L.L.C., a Delaware limited liability company (“TCA”).</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address is 11550 Ash Street, Suite 300, Leawood, Kansas 66211.</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TCA is a Delaware limited liability company.</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Common Units Representing Limited Partner Interests</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726503105</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The Reporting Person is</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TCA is an investment adviser in accordance with Rule 13d-1(b)(1)(ii)(E) .</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TCA acts as an investment adviser to certain investment companies registered under the Investment Company Act of 1940. TCA, by virtue of investment advisory agreements with these investment companies, has all investment and voting power over securities owned of record by these investment companies. However, despite their delegation of investment and voting power to TCA, these investment companies may be deemed to be the beneficial owners under Rule 13d-3 of the Act, of the securities they own of record because they have the right to acquire investment and voting power through termination of their investment advisory agreement with TCA. Thus, TCA has reported that it shares voting power and dispositive power over the securities owned of record by these investment companies. TCA also acts as an investment adviser to certain managed accounts. Under contractual agreements with these managed account clients, TCA, with respect to the securities held in these client accounts, has investment and voting power with respect to certain of these client accounts, and has investment power but no voting power with respect to certain other of these client accounts. TCA has reported that it shares voting and/or investment power over the securities held by these client managed accounts despite a delegation of voting and/or investment power to TCA because the clients have the right to acquire investment and voting power through termination of their agreements with TCA. TCA may be deemed the beneficial owner of the securities covered by this statement under Rule 13d-3 of the Act that are held by its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ind w:left="10140"/>
        <w:spacing w:after="0"/>
        <w:rPr>
          <w:sz w:val="20"/>
          <w:szCs w:val="20"/>
          <w:color w:val="auto"/>
        </w:rPr>
      </w:pPr>
      <w:r>
        <w:rPr>
          <w:rFonts w:ascii="Arial" w:cs="Arial" w:eastAsia="Arial" w:hAnsi="Arial"/>
          <w:sz w:val="15"/>
          <w:szCs w:val="15"/>
          <w:color w:val="auto"/>
        </w:rPr>
        <w:t>Page 4 of 5 Pages</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231"/>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640" w:hanging="26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640" w:hanging="251"/>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980" w:hanging="223"/>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980" w:hanging="273"/>
        <w:spacing w:after="0"/>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direct the vote:</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28"/>
          <w:szCs w:val="28"/>
          <w:color w:val="auto"/>
          <w:vertAlign w:val="subscript"/>
        </w:rPr>
        <w:t>(iii)of:</w:t>
      </w:r>
      <w:r>
        <w:rPr>
          <w:rFonts w:ascii="Arial" w:cs="Arial" w:eastAsia="Arial" w:hAnsi="Arial"/>
          <w:sz w:val="15"/>
          <w:szCs w:val="15"/>
          <w:color w:val="auto"/>
        </w:rPr>
        <w:t>Sole power to dispose or to direct the disposition</w:t>
      </w:r>
    </w:p>
    <w:p>
      <w:pPr>
        <w:spacing w:after="0" w:line="200" w:lineRule="exact"/>
        <w:rPr>
          <w:sz w:val="20"/>
          <w:szCs w:val="20"/>
          <w:color w:val="auto"/>
        </w:rPr>
      </w:pPr>
    </w:p>
    <w:p>
      <w:pPr>
        <w:spacing w:after="0" w:line="259" w:lineRule="exact"/>
        <w:rPr>
          <w:sz w:val="20"/>
          <w:szCs w:val="20"/>
          <w:color w:val="auto"/>
        </w:rPr>
      </w:pPr>
    </w:p>
    <w:p>
      <w:pPr>
        <w:ind w:left="920" w:right="660" w:hanging="253"/>
        <w:spacing w:after="0" w:line="190" w:lineRule="auto"/>
        <w:tabs>
          <w:tab w:leader="none" w:pos="965" w:val="left"/>
        </w:tabs>
        <w:numPr>
          <w:ilvl w:val="0"/>
          <w:numId w:val="5"/>
        </w:numPr>
        <w:rPr>
          <w:rFonts w:ascii="Arial" w:cs="Arial" w:eastAsia="Arial" w:hAnsi="Arial"/>
          <w:sz w:val="32"/>
          <w:szCs w:val="32"/>
          <w:color w:val="auto"/>
          <w:vertAlign w:val="subscript"/>
        </w:rPr>
      </w:pPr>
      <w:r>
        <w:rPr>
          <w:rFonts w:ascii="Arial" w:cs="Arial" w:eastAsia="Arial" w:hAnsi="Arial"/>
          <w:sz w:val="17"/>
          <w:szCs w:val="17"/>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32,738,697</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513,260</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29,272,535</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513,260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32,225,437</w:t>
      </w:r>
    </w:p>
    <w:p>
      <w:pPr>
        <w:spacing w:after="0" w:line="365" w:lineRule="exact"/>
        <w:rPr>
          <w:sz w:val="20"/>
          <w:szCs w:val="20"/>
          <w:color w:val="auto"/>
        </w:rPr>
      </w:pPr>
    </w:p>
    <w:p>
      <w:pPr>
        <w:sectPr>
          <w:pgSz w:w="11900" w:h="16838" w:orient="portrait"/>
          <w:cols w:equalWidth="0" w:num="2">
            <w:col w:w="4500" w:space="120"/>
            <w:col w:w="6800"/>
          </w:cols>
          <w:pgMar w:left="240" w:top="517" w:right="239" w:bottom="1440" w:gutter="0" w:footer="0" w:header="0"/>
          <w:type w:val="continuous"/>
        </w:sectPr>
      </w:pP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TCA’s clients have the right to receive all dividends from, and the proceeds from the sale of, the securities held in their respective accounts. The interest of any one such person does not exceed 5% of the class of securities.</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6"/>
          <w:szCs w:val="16"/>
          <w:b w:val="1"/>
          <w:bCs w:val="1"/>
          <w:u w:val="single" w:color="auto"/>
          <w:color w:val="auto"/>
        </w:rPr>
        <w:t>Identification and Classification of the Subsidiary Which Acquired the Security Being</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Reported on By the Parent Holding Company or Control Person</w:t>
      </w:r>
      <w:r>
        <w:rPr>
          <w:rFonts w:ascii="Arial" w:cs="Arial" w:eastAsia="Arial" w:hAnsi="Arial"/>
          <w:sz w:val="18"/>
          <w:szCs w:val="18"/>
          <w:b w:val="1"/>
          <w:bCs w:val="1"/>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b w:val="1"/>
          <w:bCs w:val="1"/>
          <w:u w:val="single" w:color="auto"/>
          <w:color w:val="auto"/>
        </w:rPr>
        <w:t>Certifications</w:t>
      </w:r>
      <w:r>
        <w:rPr>
          <w:rFonts w:ascii="Arial" w:cs="Arial" w:eastAsia="Arial" w:hAnsi="Arial"/>
          <w:sz w:val="18"/>
          <w:szCs w:val="18"/>
          <w:b w:val="1"/>
          <w:bCs w:val="1"/>
          <w:color w:val="auto"/>
        </w:rPr>
        <w: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color w:val="auto"/>
        </w:rPr>
        <w:t>Page 5 of 5 Pages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TORTOISE CAPITAL ADVISORS, L.L.C.</w:t>
      </w:r>
    </w:p>
    <w:p>
      <w:pPr>
        <w:spacing w:after="0" w:line="229"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Dated: February 9, 2016</w:t>
      </w:r>
      <w:r>
        <w:rPr>
          <w:sz w:val="20"/>
          <w:szCs w:val="20"/>
          <w:color w:val="auto"/>
        </w:rPr>
        <w:tab/>
      </w:r>
      <w:r>
        <w:rPr>
          <w:rFonts w:ascii="Arial" w:cs="Arial" w:eastAsia="Arial" w:hAnsi="Arial"/>
          <w:sz w:val="16"/>
          <w:szCs w:val="16"/>
          <w:color w:val="auto"/>
        </w:rPr>
        <w:t>/s/ P. Bradley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P. Bradley Adams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2379345</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lvl w:ilvl="1">
      <w:lvlJc w:val="left"/>
      <w:lvlText w:val="(%2)"/>
      <w:numFmt w:val="lowerLetter"/>
      <w:start w:val="1"/>
    </w:lvl>
  </w:abstractNum>
  <w:abstractNum w:abstractNumId="3">
    <w:nsid w:val="238E1F29"/>
    <w:multiLevelType w:val="hybridMultilevel"/>
    <w:lvl w:ilvl="0">
      <w:lvlJc w:val="left"/>
      <w:lvlText w:val="(%1)"/>
      <w:numFmt w:val="lowerLetter"/>
      <w:start w:val="1"/>
    </w:lvl>
    <w:lvl w:ilvl="1">
      <w:lvlJc w:val="left"/>
      <w:lvlText w:val="(%2)"/>
      <w:numFmt w:val="lowerRoman"/>
      <w:start w:val="1"/>
    </w:lvl>
  </w:abstractNum>
  <w:abstractNum w:abstractNumId="4">
    <w:nsid w:val="46E87CC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2020-01-19T13:39:10Z</dcterms:created>
  <dcterms:modified xsi:type="dcterms:W3CDTF">2020-01-19T13:39:10Z</dcterms:modified>
</cp:coreProperties>
</file>