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Plains GP Holdings, L.P.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72651A108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12/31/2013</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72651A108</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Capital Management LLC EIN #75-3019302</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7,109,560**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7,109,560**</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7,109,560**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Plains GP Holdings, L.P. ("Plains GP")</w:t>
      </w:r>
    </w:p>
    <w:p>
      <w:pPr>
        <w:spacing w:after="0" w:line="206" w:lineRule="exact"/>
        <w:rPr>
          <w:rFonts w:ascii="Courier New" w:cs="Courier New" w:eastAsia="Courier New" w:hAnsi="Courier New"/>
          <w:sz w:val="18"/>
          <w:szCs w:val="18"/>
          <w:color w:val="auto"/>
        </w:rPr>
      </w:pPr>
    </w:p>
    <w:p>
      <w:pPr>
        <w:ind w:right="46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Address of Issuer's Principal Executive Offices: 333 Clay Street, Suite 1600 Houston, TX 77002</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9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 Denver, Colorado 80206 Citizenship: Delaware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Class A Common Stock</w:t>
      </w:r>
    </w:p>
    <w:p>
      <w:pPr>
        <w:sectPr>
          <w:pgSz w:w="11900" w:h="1685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 CUSIP Number: 72651A108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Janus Capital has a direct 96.74% ownership stake in INTECH Investment Management ("INTECH") and a direct 99.61% ownership stake in Perkins Investment Management LLC ("Perkins").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Perkins may be deemed to be the beneficial owner of 7,109,560 shares or 5.4% of the shares outstanding of Plains GP Class A Common Stock held by such Managed Portfolios. However, Perkins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Perkins is a direct subsidiary of Janus Capital (Janus Capital has a direct 99.61% ownership stake) and is a registered investment adviser furnishing investment advice to various investment companies registered under Section 8 of the Investment Company Act of 1940 and to individual and institutional clients.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By /s/ David R. Kowalski 2/14/2014 David R. Kowalski, Date Senior Vice President and CCO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PERKINS INVESTMENT MANAGEMENT LLC</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By /s/ David R. Kowalski 2/14/2014 David R. Kowalski, Date Vice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2020-01-26T00:49:19Z</dcterms:created>
  <dcterms:modified xsi:type="dcterms:W3CDTF">2020-01-26T00:49:19Z</dcterms:modified>
</cp:coreProperties>
</file>