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1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2"/>
          <w:szCs w:val="22"/>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95"/>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Arial" w:cs="Arial" w:eastAsia="Arial" w:hAnsi="Arial"/>
                <w:sz w:val="16"/>
                <w:szCs w:val="16"/>
                <w:color w:val="auto"/>
                <w:w w:val="93"/>
              </w:rPr>
              <w:t>(State or other jurisdiction of</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3"/>
              </w:rPr>
              <w:t>incorporation or organization)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411"/>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20" w:type="dxa"/>
            <w:vAlign w:val="bottom"/>
          </w:tcPr>
          <w:p>
            <w:pPr>
              <w:jc w:val="right"/>
              <w:ind w:right="295"/>
              <w:spacing w:after="0"/>
              <w:rPr>
                <w:sz w:val="20"/>
                <w:szCs w:val="20"/>
                <w:color w:val="auto"/>
              </w:rPr>
            </w:pPr>
            <w:r>
              <w:rPr>
                <w:rFonts w:ascii="Arial" w:cs="Arial" w:eastAsia="Arial" w:hAnsi="Arial"/>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4"/>
              </w:rPr>
              <w:t>(Address of principal executive offices)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383"/>
        </w:trPr>
        <w:tc>
          <w:tcPr>
            <w:tcW w:w="6680" w:type="dxa"/>
            <w:vAlign w:val="bottom"/>
          </w:tcPr>
          <w:p>
            <w:pPr>
              <w:jc w:val="right"/>
              <w:ind w:right="1253"/>
              <w:spacing w:after="0"/>
              <w:rPr>
                <w:sz w:val="20"/>
                <w:szCs w:val="20"/>
                <w:color w:val="auto"/>
              </w:rPr>
            </w:pPr>
            <w:r>
              <w:rPr>
                <w:rFonts w:ascii="Arial" w:cs="Arial" w:eastAsia="Arial" w:hAnsi="Arial"/>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Arial" w:cs="Arial" w:eastAsia="Arial" w:hAnsi="Arial"/>
                <w:sz w:val="18"/>
                <w:szCs w:val="18"/>
                <w:color w:val="auto"/>
                <w:w w:val="89"/>
              </w:rPr>
              <w:t>(Registrant’s telephone number, including area code)</w:t>
            </w:r>
          </w:p>
        </w:tc>
        <w:tc>
          <w:tcPr>
            <w:tcW w:w="122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 Yes o No</w:t>
      </w:r>
    </w:p>
    <w:p>
      <w:pPr>
        <w:spacing w:after="0" w:line="2" w:lineRule="exact"/>
        <w:rPr>
          <w:sz w:val="24"/>
          <w:szCs w:val="24"/>
          <w:color w:val="auto"/>
        </w:rPr>
      </w:pPr>
    </w:p>
    <w:p>
      <w:pPr>
        <w:ind w:left="360" w:right="188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31, 2017, there were 724,696,735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7"/>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2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2017 and December 31, 2016</w:t>
              </w:r>
            </w:hyperlink>
          </w:p>
        </w:tc>
        <w:tc>
          <w:tcPr>
            <w:tcW w:w="39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4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2017 and 2016</w:t>
              </w:r>
            </w:hyperlink>
          </w:p>
        </w:tc>
        <w:tc>
          <w:tcPr>
            <w:tcW w:w="218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96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2017 and 2016</w:t>
              </w:r>
            </w:hyperlink>
          </w:p>
        </w:tc>
        <w:tc>
          <w:tcPr>
            <w:tcW w:w="12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6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3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2016</w:t>
              </w:r>
            </w:hyperlink>
          </w:p>
        </w:tc>
        <w:tc>
          <w:tcPr>
            <w:tcW w:w="102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2017 and 2016</w:t>
              </w:r>
            </w:hyperlink>
          </w:p>
        </w:tc>
        <w:tc>
          <w:tcPr>
            <w:tcW w:w="284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0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six months ended June 30, 2017 and 2016</w:t>
              </w:r>
            </w:hyperlink>
          </w:p>
        </w:tc>
        <w:tc>
          <w:tcPr>
            <w:tcW w:w="162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9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19"/>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5"/>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180" w:type="dxa"/>
            <w:vAlign w:val="bottom"/>
            <w:gridSpan w:val="11"/>
          </w:tcPr>
          <w:p>
            <w:pPr>
              <w:ind w:left="20"/>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Net Income Per Common Unit</w:t>
              </w:r>
            </w:hyperlink>
          </w:p>
        </w:tc>
        <w:tc>
          <w:tcPr>
            <w:tcW w:w="500" w:type="dxa"/>
            <w:vAlign w:val="bottom"/>
            <w:gridSpan w:val="4"/>
          </w:tcPr>
          <w:p>
            <w:pPr>
              <w:spacing w:after="0"/>
              <w:rPr>
                <w:sz w:val="21"/>
                <w:szCs w:val="21"/>
                <w:color w:val="auto"/>
              </w:rPr>
            </w:pPr>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4.</w:t>
              </w:r>
            </w:hyperlink>
          </w:p>
        </w:tc>
        <w:tc>
          <w:tcPr>
            <w:tcW w:w="2180" w:type="dxa"/>
            <w:vAlign w:val="bottom"/>
            <w:gridSpan w:val="1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Accounts Receivable, Net</w:t>
              </w:r>
            </w:hyperlink>
          </w:p>
        </w:tc>
        <w:tc>
          <w:tcPr>
            <w:tcW w:w="768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5.</w:t>
              </w:r>
            </w:hyperlink>
          </w:p>
        </w:tc>
        <w:tc>
          <w:tcPr>
            <w:tcW w:w="4240" w:type="dxa"/>
            <w:vAlign w:val="bottom"/>
            <w:gridSpan w:val="20"/>
          </w:tcPr>
          <w:p>
            <w:pPr>
              <w:ind w:left="2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6.</w:t>
              </w:r>
            </w:hyperlink>
          </w:p>
        </w:tc>
        <w:tc>
          <w:tcPr>
            <w:tcW w:w="4240" w:type="dxa"/>
            <w:vAlign w:val="bottom"/>
            <w:gridSpan w:val="20"/>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Acquisitions and Dispositions</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7.</w:t>
              </w:r>
            </w:hyperlink>
          </w:p>
        </w:tc>
        <w:tc>
          <w:tcPr>
            <w:tcW w:w="218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Goodwill</w:t>
              </w:r>
            </w:hyperlink>
          </w:p>
        </w:tc>
        <w:tc>
          <w:tcPr>
            <w:tcW w:w="768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916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Partners’ Capital and Distributions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18"/>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11. Related Party Transactions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12. Commitments and Contingencies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13. Operating Segments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3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7"/>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8"/>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6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718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1A. RISK FACTORS</w:t>
              </w:r>
            </w:hyperlink>
          </w:p>
        </w:tc>
        <w:tc>
          <w:tcPr>
            <w:tcW w:w="794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19"/>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74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4. MINE SAFETY DISCLOSURES</w:t>
              </w:r>
            </w:hyperlink>
          </w:p>
        </w:tc>
        <w:tc>
          <w:tcPr>
            <w:tcW w:w="740" w:type="dxa"/>
            <w:vAlign w:val="bottom"/>
            <w:gridSpan w:val="3"/>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20" w:type="dxa"/>
            <w:vAlign w:val="bottom"/>
            <w:gridSpan w:val="2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7920" w:type="dxa"/>
            <w:vAlign w:val="bottom"/>
            <w:gridSpan w:val="2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7"/>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260" w:type="dxa"/>
            <w:vAlign w:val="bottom"/>
            <w:gridSpan w:val="19"/>
          </w:tcPr>
          <w:p>
            <w:pPr>
              <w:jc w:val="right"/>
              <w:ind w:right="6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4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25,004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10,746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(66,990,153 and 64,388,853 units outstanding, respectively)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unitholders (724,696,735 and 669,194,419 units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25,004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7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8,467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9,060</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7,571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Interest expense (net of capitalized interest of $9, $12, $15 and $26,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PER COMMON UNIT (NOTE 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income/(loss)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foreign currency revaluation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commercial paper program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borrowings/(repayments) under senior secured hedged inventory facility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senior notes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Series A preferred units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common units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Contributions from general partner</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general partner</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57"/>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40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Limited Partners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95"/>
              </w:rPr>
              <w:t>Unitholders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88"/>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Sales of common units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Acquisition of interest in Advantage Joint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 (Note 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w w:val="88"/>
              </w:rPr>
              <w:t>1,507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Limited Partners</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Partners’ Capital</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13"/>
                <w:szCs w:val="13"/>
                <w:color w:val="auto"/>
              </w:rPr>
            </w:pPr>
          </w:p>
        </w:tc>
        <w:tc>
          <w:tcPr>
            <w:tcW w:w="112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Unitholders</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Unitholders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8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1,509</w:t>
            </w:r>
          </w:p>
        </w:tc>
        <w:tc>
          <w:tcPr>
            <w:tcW w:w="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7,085</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non-economic general partner interest is held by PAA GP LLC (“PAA GP”), a Delaware limited liability company, whose sole member is Plains AAP, L.P. (“AAP”), a Delaware limited partnership. In addition to its ownership of PAA GP, as of June 30, 2017, AAP also owned an approximate 36% limited partner interest in us represented by approximately 288.3 million of our common units. Plains All American GP LLC (“GP LLC”), a Delaware limited liability company, is AAP’s general partner. Plains GP Holdings, L.P. (“PAGP”) is the sole and managing member of GP LLC, and, at June 30, 2017, owned, directly and indirectly, an approximate 53% limited partner interest in AAP. PAA GP Holdings LLC (“PAGP GP”) is the general partner of PAGP.</w:t>
      </w:r>
    </w:p>
    <w:p>
      <w:pPr>
        <w:spacing w:after="0" w:line="15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w:t>
      </w:r>
    </w:p>
    <w:p>
      <w:pPr>
        <w:spacing w:after="0" w:line="16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jc w:val="both"/>
        <w:ind w:left="660" w:right="2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annual PAGP shareholder meetings beginning in 2018 for the purpose of electing certain directors with expiring terms in 2018, and the participation of our common unitholders and Series A preferred unitholders in such elections through our ownership of newly issued Class C shares in PAGP, which provide us, as the sole holder of such Class C shares, the right to vote in elections of eligible PAGP directors together with the holders of PAGP Class A and Class B shares;</w:t>
      </w:r>
    </w:p>
    <w:p>
      <w:pPr>
        <w:spacing w:after="0" w:line="186"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by AAP of a reverse split to adjust the number of AAP Class A units (“AAP units”) such that the number of outstanding AAP units (assuming the conversion of AAP Class B units (the “AAP Management Units”) into AAP units) equaled the number of our common units received by AAP at the closing of the Simplification Transactions. Simultaneously, PAGP executed a reverse split to adjust the number of PAGP Class A and Class B shares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04" w:lineRule="auto"/>
        <w:rPr>
          <w:sz w:val="20"/>
          <w:szCs w:val="20"/>
          <w:color w:val="auto"/>
        </w:rPr>
      </w:pPr>
      <w:r>
        <w:rPr>
          <w:rFonts w:ascii="Arial" w:cs="Arial" w:eastAsia="Arial" w:hAnsi="Arial"/>
          <w:sz w:val="18"/>
          <w:szCs w:val="18"/>
          <w:color w:val="auto"/>
        </w:rPr>
        <w:t>to equal the number of AAP units it owns following AAP’s reverse unit split. These reverse splits, along with the Omnibus Agreement, resulted in economic alignment between our common unitholders and PAGP’s Class A shareholders, such that the number of outstanding PAGP Class A shares equals the number of AAP units owned by PAGP, which in turn equals the number of our common units held by AAP that are attributable to PAGP’s interest in AAP. The Plains Entities also entered into an Omnibus Agreement, pursuant to which such one-to-one relationship will be maintained subsequent to the closing of the Simplification Transactions; and</w:t>
      </w:r>
    </w:p>
    <w:p>
      <w:pPr>
        <w:spacing w:after="0" w:line="161"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creation of a right for certain holders of the AAP units to cause AAP to redeem such AAP units in exchange for an equal number of our common units held by 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Simplification Transactions were between and among consolidated subsidiaries of PAGP that are considered entities under common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equity transactions did not result in a change in the carrying value of the underlying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statements, but does not include all disclosures required by GAAP. The results of operations for the three and six months ended June 30, 2017 should not be taken as indicative of results to be expected for the entire year.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six months ended June 30,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units directly withheld for tax-withholding purposes as a financing activity on our Condensed Consolidated Statement of Cash Flows for all periods presented. Our adoption did not have a material impact on our financial position, results of operations or cash flows for the periods presented.</w:t>
      </w:r>
    </w:p>
    <w:p>
      <w:pPr>
        <w:spacing w:after="0" w:line="1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annual periods beginning after December 15, 2019, and interim periods within those annual periods, with early adoption permitted. We early adopted this ASU in the first quarter of 2017 and applied the amendments therein to our 2017 annual goodwill impairment test.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becomes effective for fiscal years and interim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40" w:firstLine="8"/>
        <w:spacing w:after="0" w:line="281"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beginning after December 15, 2017, including interim periods within those periods and must be adopted at the same time as ASC 606. We will adopt this guidance on January 1, 2018 and are currently evaluating the impact of the adoption on our financial position, results of operations and cash flows.</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will become effective for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interim and annual periods beginning after December 31, 2017, with early adoption permitted, and prospective application required. We expect to adopt this guidance on January 1, 2018, and we do not currently anticipate that our adoption will have a material impact on our financial position,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the underlying principle that an entity will recognize revenue to reflect amounts expected to be received in exchange for the provision of goods and services to customers upon the transfer of those goods or services. This ASU also requires additional disclosures. This ASU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this ASU on each type of revenue contract entered into with customers and our implementation team is in the process of determining appropriate changes to our business processes, systems and controls to support recognition and disclosure under the new standard. We have not identified any significant revenue recognition timing differences for types of revenue streams assessed to date; however, our evaluation is not complete. In addition, we are assessing the impact of changes to disclosures and expect an increase in disclosures about the nature, amount, timing and uncertainty of revenue and the related cash flows. We will adopt this guidance on January 1, 2018, and currently anticipate that we will apply the modified retrospective approach.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calculate basic and diluted net income/(loss) per common unit by dividing net income attributable to PAA (after deducting amounts allocated to the preferred unitholders and participating securities, and for periods prior to the closing of the Simplification Transactions, the 2% general partner’s interest and IDRs)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5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Diluted net income/(loss) per common unit is computed based on the weighted-average number of common units plus the effect of potentially dilutive securities outstanding during the period, which include (i) our Series A preferred units, (ii) our LTIP awards and (iii) common units that are issuable to AAP when certain AAP Management Units become earned. When applying the if-converted method prescribed by FASB guidance, the possible conversion of our Series A preferred units was excluded from the calculation of diluted net income/(loss) per common unit for the three and six months ended June 30, 2017 and 2016 as the effect was antidilutive. 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that were deemed to be dilutive were reduced by a hypothetical common unit repurchase based on the remaining unamortized fair value, as prescribed by the treasury stock method in guidance issued by the FASB. LTIP awards were excluded from the computation of diluted net loss per common unit for the three and six months ended June 30, 2016 as the effect was antidilutive. As none of the necessary conditions for the remaining AAP Management Units to become earned had been satisfied by June 30, 2017, no common units issuable to AAP were contemplated in the calculation of diluted net income/(loss) per common unit. See Note 16 to our Consolidated Financial Statements included in Part IV of our 2016 Annual Report on Form 10-K for a complete discussion of our LTIP awards including specific discussion regarding 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income/(loss) per common unit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income/(loss) allocated to common unitholders</w:t>
            </w: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net income/(loss) per common unit</w:t>
            </w: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1"/>
              </w:rPr>
              <w:t>0.21</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(0.20)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income/(loss) allocated to common unitholders</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LTIP units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60" w:type="dxa"/>
            <w:vAlign w:val="bottom"/>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1"/>
              </w:rPr>
              <w:t>0.21</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(0.20)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54"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Therefore, beginning with the distribution pertaining to the fourth quarter of 2016, our general partner is no longer entitled to receive distributions or allocations on such interests.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June 30, 2017 and December 31, 2016, we had received $92 million and $89 million, respectively, of advance cash payments from third parties to mitigate credit risk. We also received $50 million and $66 million as of June 30,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net-cash settled arrangements.</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2017 and December 31, 2016, substantially all of our trade accounts receivable (net of allowance for doubtful accounts) were less than 30 days past their scheduled invoice date. Our allowance for doubtful accounts receivable totaled $3 million at both June 30, 2017 and December 31, 2016.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14,854</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45.44</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3.16</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27.69</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1,863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21.47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three and six months ended June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in our accompanying Condensed Consolidated Statements of Operations. See Note 10 for discussion of our derivative and risk management activities. We recorded an inventory valuation adjustment of $3 million during the six months ended June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9 for additional information.</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“Alpha Crude Connector” (the “ACC System”) located in the Northern Delaware Basin in Southeastern New Mexico and West Texas. The ACC System comprises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and include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vMerge w:val="continue"/>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36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360" w:type="dxa"/>
            <w:vAlign w:val="bottom"/>
            <w:gridSpan w:val="3"/>
          </w:tcPr>
          <w:p>
            <w:pPr>
              <w:jc w:val="right"/>
              <w:ind w:right="6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w w:val="96"/>
              </w:rPr>
              <w:t>Other assets and liabilities, net (including $4 million of cash acquired)</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$4 million for the period from February 14, 2017 through June 30, 2017, and the future amortization expense is estimated as follows for the next five years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During the three and six months ended June 30, 2017, we incurred approximately $1 million and $6 million of acquisition-related costs associated with the ACC Acquisition. Such costs are reflected as a component of general and administrative expenses in our Condensed Consolidated Statements of Operations.</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common units with a value of approximately $40 million and approximately $26 million in cash. We account for our interest in the Advantage Joint Venture under the equity method of accounting.</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Noble will serve as operator and will construct a pipeline to deliver crude oil to the Advantage Pipeline from its central gathering facility in the southern Delaware Basin. We will construct a pipeline to connect our Wolfbone Ranch facility to the Advantage Pipeline near Highway 285 in Reeves County, Texas. The connections are estimated to be completed in 2017. The Advantage Pipeline is contractually supported by a third-party acreage dedication and a volume commitment from our wholly-owned marketing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Divestitures and Assets Held for Sale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six months ended June 30, 2017, we sold certain non-core assets for proceeds of approximately $389 million. These sales primarily included (i) our Bluewater natural gas storage facility located in Michigan, (ii) a non-core pipeline segment located in the Midwestern United States and (iii) a 40% undivided interest in a segment of our Red River Pipeline extending from Cushing, Oklahoma to the Hewitt Station near Ardmore, Oklahoma (the “Hewitt Segment”) for our net book value. We retained a 60% undivided interest in the Hewitt Segment and a 100% interest in the remaining portion of the Red River Pipeline that extends from Ardmore to Longview, Texas.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recognized a net gain of $36 million during the six months ended June 30, 2017 related to the sale of the non-core pipeline segment, including the write-off of a portion of the remaining book value. In addition, during the six months ended June 30, 2017, we recognized a loss of $35 million related to assets that were classified as held for sale prior to the closing of the transactions. Such gains and losses are included in “Depreciation and amortization” on our Condensed Consolidated Statements of Operations.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2017, we classified approximately $275 million of Facilities segment assets, primarily property and equipment, as held for sale on our Condensed Consolidated Balance Sheet (in “Other current assets”) related to definitive agreements to sell such assets. We expect these transactions to close during 2017.</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third quarter of 2017, we entered into a definitive agreement to sell our interests in certain non-core pipelines in the Rocky Mountains for proceeds of approximately $250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38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and goodwill was not considered impaired.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8820" w:type="dxa"/>
        <w:tblCellMar>
          <w:top w:w="0" w:type="dxa"/>
          <w:left w:w="0" w:type="dxa"/>
          <w:bottom w:w="0" w:type="dxa"/>
          <w:right w:w="0" w:type="dxa"/>
        </w:tblCellMar>
      </w:tblPr>
      <w:tr>
        <w:trPr>
          <w:trHeight w:val="161"/>
        </w:trPr>
        <w:tc>
          <w:tcPr>
            <w:tcW w:w="90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June 30,</w:t>
            </w:r>
          </w:p>
        </w:tc>
        <w:tc>
          <w:tcPr>
            <w:tcW w:w="154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86"/>
        </w:trPr>
        <w:tc>
          <w:tcPr>
            <w:tcW w:w="9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2.0% and 1.6%,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340" w:hanging="161"/>
        <w:spacing w:after="0" w:line="241" w:lineRule="auto"/>
        <w:rPr>
          <w:sz w:val="20"/>
          <w:szCs w:val="20"/>
          <w:color w:val="auto"/>
        </w:rPr>
      </w:pPr>
      <w:r>
        <w:rPr>
          <w:rFonts w:ascii="Arial" w:cs="Arial" w:eastAsia="Arial" w:hAnsi="Arial"/>
          <w:sz w:val="18"/>
          <w:szCs w:val="18"/>
          <w:color w:val="auto"/>
        </w:rPr>
        <w:t xml:space="preserve">Senior secured hedged inventory facility, bearing a weighted-average interest rate of 2.3% and 1.8%,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6.13% senior notes due January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Senior notes, net of unamortized discounts and debt issuance costs of $72 and $76, respectively </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2.0% and 1.6%, respectively </w:t>
      </w:r>
      <w:r>
        <w:rPr>
          <w:rFonts w:ascii="Arial" w:cs="Arial" w:eastAsia="Arial" w:hAnsi="Arial"/>
          <w:sz w:val="22"/>
          <w:szCs w:val="22"/>
          <w:color w:val="auto"/>
          <w:vertAlign w:val="superscript"/>
        </w:rPr>
        <w:t>(3)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080" w:val="left"/>
          <w:tab w:leader="none" w:pos="160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677</w:t>
        <w:tab/>
        <w:t>$</w:t>
      </w:r>
      <w:r>
        <w:rPr>
          <w:sz w:val="20"/>
          <w:szCs w:val="20"/>
          <w:color w:val="auto"/>
        </w:rPr>
        <w:tab/>
      </w:r>
      <w:r>
        <w:rPr>
          <w:rFonts w:ascii="Arial" w:cs="Arial" w:eastAsia="Arial" w:hAnsi="Arial"/>
          <w:sz w:val="16"/>
          <w:szCs w:val="16"/>
          <w:color w:val="auto"/>
        </w:rPr>
        <w:t>563</w:t>
      </w:r>
    </w:p>
    <w:p>
      <w:pPr>
        <w:spacing w:after="0" w:line="279"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750</w:t>
      </w:r>
    </w:p>
    <w:p>
      <w:pPr>
        <w:spacing w:after="0" w:line="33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r>
    </w:p>
    <w:p>
      <w:pPr>
        <w:spacing w:after="0" w:line="63" w:lineRule="exact"/>
        <w:rPr>
          <w:sz w:val="20"/>
          <w:szCs w:val="20"/>
          <w:color w:val="auto"/>
        </w:rPr>
      </w:pPr>
    </w:p>
    <w:p>
      <w:pPr>
        <w:jc w:val="both"/>
        <w:ind w:left="1100"/>
        <w:spacing w:after="0"/>
        <w:tabs>
          <w:tab w:leader="none" w:pos="28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2</w:t>
      </w:r>
    </w:p>
    <w:p>
      <w:pPr>
        <w:spacing w:after="0" w:line="7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1,715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9,878</w:t>
      </w:r>
      <w:r>
        <w:rPr>
          <w:sz w:val="20"/>
          <w:szCs w:val="20"/>
          <w:color w:val="auto"/>
        </w:rPr>
        <w:tab/>
      </w:r>
      <w:r>
        <w:rPr>
          <w:rFonts w:ascii="Arial" w:cs="Arial" w:eastAsia="Arial" w:hAnsi="Arial"/>
          <w:sz w:val="18"/>
          <w:szCs w:val="18"/>
          <w:color w:val="auto"/>
        </w:rPr>
        <w:t>9,874</w:t>
      </w:r>
    </w:p>
    <w:p>
      <w:pPr>
        <w:spacing w:after="0" w:line="63"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247</w:t>
      </w:r>
    </w:p>
    <w:p>
      <w:pPr>
        <w:spacing w:after="0" w:line="63" w:lineRule="exact"/>
        <w:rPr>
          <w:sz w:val="20"/>
          <w:szCs w:val="20"/>
          <w:color w:val="auto"/>
        </w:rPr>
      </w:pPr>
    </w:p>
    <w:p>
      <w:pPr>
        <w:jc w:val="both"/>
        <w:ind w:left="1280"/>
        <w:spacing w:after="0"/>
        <w:tabs>
          <w:tab w:leader="none" w:pos="2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80"/>
        <w:spacing w:after="0"/>
        <w:tabs>
          <w:tab w:leader="none" w:pos="2440" w:val="left"/>
        </w:tabs>
        <w:rPr>
          <w:sz w:val="20"/>
          <w:szCs w:val="20"/>
          <w:color w:val="auto"/>
        </w:rPr>
      </w:pPr>
      <w:r>
        <w:rPr>
          <w:rFonts w:ascii="Arial" w:cs="Arial" w:eastAsia="Arial" w:hAnsi="Arial"/>
          <w:sz w:val="18"/>
          <w:szCs w:val="18"/>
          <w:color w:val="auto"/>
        </w:rPr>
        <w:t>10,040</w:t>
      </w:r>
      <w:r>
        <w:rPr>
          <w:sz w:val="20"/>
          <w:szCs w:val="20"/>
          <w:color w:val="auto"/>
        </w:rPr>
        <w:tab/>
      </w:r>
      <w:r>
        <w:rPr>
          <w:rFonts w:ascii="Arial" w:cs="Arial" w:eastAsia="Arial" w:hAnsi="Arial"/>
          <w:sz w:val="18"/>
          <w:szCs w:val="18"/>
          <w:color w:val="auto"/>
        </w:rPr>
        <w:t>10,124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11,154</w:t>
        <w:tab/>
        <w:t>$</w:t>
      </w:r>
      <w:r>
        <w:rPr>
          <w:sz w:val="20"/>
          <w:szCs w:val="20"/>
          <w:color w:val="auto"/>
        </w:rPr>
        <w:tab/>
      </w:r>
      <w:r>
        <w:rPr>
          <w:rFonts w:ascii="Arial" w:cs="Arial" w:eastAsia="Arial" w:hAnsi="Arial"/>
          <w:sz w:val="16"/>
          <w:szCs w:val="16"/>
          <w:color w:val="auto"/>
        </w:rPr>
        <w:t>11,839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100" w:hanging="652"/>
        <w:spacing w:after="0" w:line="22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June 30,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June 30, 2017 and December 31, 2016, balance includes borrowings of $12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60" w:hanging="652"/>
        <w:spacing w:after="0" w:line="22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June 30, 2017, we have classified our $600 million, 6.50% senior notes due May 2018 as long-term and as of June 30, 2017 and December 31, 2016, we have classified a portion of our commercial paper notes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Our fixed-rate senior notes (including current maturities) had a face value of approximately $9.9 billion and $10.3 billion as of June 30, 2017 and December 31, 2016, respectively. We estimated the aggregate fair value of these notes as of June 30, 2017 and December 31, 2016 to be approximately $10.1 billion and $10.4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borrowings under our credit facilities and commercial paper program for the six months ended June 30, 2017 and 2016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$36.8 billion and $23.0 billion, respectively. Total repayments under our credit facilities and commercial paper program were approximately $37.2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$23.6 billion for the six months ended June 30, 2017 and 2016, respectively. The variance in total gross borrowings and repayments is impacted by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2017 and December 31, 2016, we had outstanding letters of credit of $105 million and $73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$400 million, 6.13% senior notes were repaid in January 2017. We utilized cash on hand and available capacity under our commercial paper program and credit facilities to repay these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Series A preferred units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1033"/>
              <w:spacing w:after="0"/>
              <w:rPr>
                <w:sz w:val="20"/>
                <w:szCs w:val="20"/>
                <w:color w:val="auto"/>
              </w:rPr>
            </w:pPr>
            <w:r>
              <w:rPr>
                <w:rFonts w:ascii="Arial" w:cs="Arial" w:eastAsia="Arial" w:hAnsi="Arial"/>
                <w:sz w:val="14"/>
                <w:szCs w:val="14"/>
                <w:b w:val="1"/>
                <w:bCs w:val="1"/>
                <w:color w:val="auto"/>
              </w:rPr>
              <w:t>Limited Partners</w:t>
            </w: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Preferred Units</w:t>
            </w: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rPr>
              <w:t>Common Units</w:t>
            </w:r>
          </w:p>
        </w:tc>
      </w:tr>
      <w:tr>
        <w:trPr>
          <w:trHeight w:val="263"/>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64,388,853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669,194,419</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2,601,300</w:t>
            </w:r>
          </w:p>
        </w:tc>
        <w:tc>
          <w:tcPr>
            <w:tcW w:w="12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54,119,893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6"/>
              </w:rPr>
              <w:t>Issuance of common units in connection with acquisition of interest in Advantage Joint Venture (Note 6)</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1,252,269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common units under LTIP</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130,154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66,990,153</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724,696,735</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35"/>
        </w:trPr>
        <w:tc>
          <w:tcPr>
            <w:tcW w:w="8120" w:type="dxa"/>
            <w:vAlign w:val="bottom"/>
          </w:tcPr>
          <w:p>
            <w:pPr>
              <w:spacing w:after="0"/>
              <w:rPr>
                <w:sz w:val="24"/>
                <w:szCs w:val="24"/>
                <w:color w:val="auto"/>
              </w:rPr>
            </w:pPr>
          </w:p>
        </w:tc>
        <w:tc>
          <w:tcPr>
            <w:tcW w:w="3300" w:type="dxa"/>
            <w:vAlign w:val="bottom"/>
            <w:tcBorders>
              <w:bottom w:val="single" w:sz="8" w:color="auto"/>
            </w:tcBorders>
            <w:gridSpan w:val="3"/>
          </w:tcPr>
          <w:p>
            <w:pPr>
              <w:jc w:val="right"/>
              <w:ind w:right="1033"/>
              <w:spacing w:after="0"/>
              <w:rPr>
                <w:sz w:val="20"/>
                <w:szCs w:val="20"/>
                <w:color w:val="auto"/>
              </w:rPr>
            </w:pPr>
            <w:r>
              <w:rPr>
                <w:rFonts w:ascii="Arial" w:cs="Arial" w:eastAsia="Arial" w:hAnsi="Arial"/>
                <w:sz w:val="14"/>
                <w:szCs w:val="14"/>
                <w:b w:val="1"/>
                <w:bCs w:val="1"/>
                <w:color w:val="auto"/>
              </w:rPr>
              <w:t>Limited Partners</w:t>
            </w:r>
          </w:p>
        </w:tc>
      </w:tr>
      <w:tr>
        <w:trPr>
          <w:trHeight w:val="264"/>
        </w:trPr>
        <w:tc>
          <w:tcPr>
            <w:tcW w:w="8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Common Units</w:t>
            </w:r>
          </w:p>
        </w:tc>
      </w:tr>
      <w:tr>
        <w:trPr>
          <w:trHeight w:val="26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397,727,624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61,030,127</w:t>
            </w:r>
          </w:p>
        </w:tc>
        <w:tc>
          <w:tcPr>
            <w:tcW w:w="12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858,439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Issuance of common units under LTIP</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9,104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61,888,566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397,736,728</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sales of common units during the six months ended June 30, 2017 (net proceeds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six months ended June 30,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The following table details the distributions paid in cash during or pertaining to the first six months of 2017 (in millions,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May 15,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20" w:type="dxa"/>
            <w:vAlign w:val="bottom"/>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2017 for the period April 1, 2017 through June 30, 2017.</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7, 2017, we announced that we were engaged in discussions with our Board of Directors regarding a reassessment of our approach to distributions, with a focus on resetting PAA's common unit distribution to a level supported by the distributable cash flow from our fee-based Transportation and Facilities segments. As of such date, no final decisions had been made regarding such potential change, but we indicated that we intended to complete our reassessment and finalize any changes over the course of the ensuing sixty day period.</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In-Kind Distributions</w:t>
      </w:r>
      <w:r>
        <w:rPr>
          <w:rFonts w:ascii="Arial" w:cs="Arial" w:eastAsia="Arial" w:hAnsi="Arial"/>
          <w:sz w:val="17"/>
          <w:szCs w:val="17"/>
          <w:color w:val="auto"/>
        </w:rPr>
        <w:t>. On February 14, 2017, we issued 1,287,773 Series A preferred units in lieu of a cash distribution of $34 million on our Series</w:t>
      </w:r>
      <w:r>
        <w:rPr>
          <w:rFonts w:ascii="Arial" w:cs="Arial" w:eastAsia="Arial" w:hAnsi="Arial"/>
          <w:sz w:val="17"/>
          <w:szCs w:val="17"/>
          <w:i w:val="1"/>
          <w:iCs w:val="1"/>
          <w:color w:val="auto"/>
        </w:rPr>
        <w:t xml:space="preserve"> </w:t>
      </w:r>
      <w:r>
        <w:rPr>
          <w:rFonts w:ascii="Arial" w:cs="Arial" w:eastAsia="Arial" w:hAnsi="Arial"/>
          <w:sz w:val="17"/>
          <w:szCs w:val="17"/>
          <w:color w:val="auto"/>
        </w:rPr>
        <w:t>A preferred units outstanding as of the record date for such distribution. On May 15, 2017, we issued 1,313,527 Series A preferred units in lieu of a cash distribution of $34 million on our Series A preferred units outstanding as of the record date for such distribution.</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14, 2017, we will issue 1,339,796 Series A preferred units in lieu of a cash distribution of $35 million on our Series A preferred units outstanding as of July 31, 2017, the record date for such distribution. Since the August 14, 2017 Series A preferred unit distribution was declared as payment-in-kind, this distribution payable was accrued to partners’ capital as of June 30, 2017 and thus had no net impact on the Series A preferred unitholders’ capital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2017, net derivative positions related to these activities included:</w:t>
      </w:r>
    </w:p>
    <w:p>
      <w:pPr>
        <w:spacing w:after="0" w:line="147" w:lineRule="exact"/>
        <w:rPr>
          <w:sz w:val="20"/>
          <w:szCs w:val="20"/>
          <w:color w:val="auto"/>
        </w:rPr>
      </w:pPr>
    </w:p>
    <w:p>
      <w:pPr>
        <w:ind w:left="980" w:right="5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long position of 1.4 million barrels associated with our crude oil purchases, which was unwound ratably during July 2017 to match monthly average pricing.</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short time spread position of 2.5 million barrels, which hedges a portion of our anticipated crude oil lease gathering purchases through October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crude oil grade basis position of 37.5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net short position of 16.7 million barrels through December 2020 related to anticipated net sales of our crude oil and NGL inventory.</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June 30, 2017, our PLA hedges included a long call option position of 0.7 million barrels through December 2018.</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2017, we had a long natural gas position of 56.6 Bcf which hedges our natural gas processing and operational needs through December 2020. We also had a short propane position of 8.5 million barrels through December 2018, a short butane position of 2.6 million barrels through December 2018 and a short WTI position of 0.7 million barrels through December 2018. In addition, we had a long power position of 0.5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terms of our outstanding interest derivatives as of June 30, 2017 (notional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16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forwards and options.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June 30,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June 30, 2017 and December 31, 2016, the fair value of this embedded derivative was a liability of approximately $35 million and $32 million, respectively. We recognized a gain of approximately $2 million during the three months ended June 30, 2017 and a net loss of approximately $2 million during the six months ended June 30, 2017. We recognized a gain of $25 million during the three and six months ended June 30, 2016. See Note 11 to our Consolidated Financial Statements included in Part IV of our 2016 Annual Report on Form 10-K for additional information regarding the Preferred Distribution Rate Reset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30, 2017</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June 30,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Six Months Ended June 30, 2017</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Six Months Ended June 30,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jc w:val="both"/>
        <w:ind w:left="660" w:right="220" w:hanging="652"/>
        <w:spacing w:after="0" w:line="232"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During the three and six months ended June 30, 2017 we reclassified a loss of approximately $2 million to Interest expense, net due to anticipated hedged transactions being probable of not occurring. During the three and six months ended June 30, 2016 we reclassified losses of approximately $2 million and $2 million to Supply and Logistics segment revenues and Interest expense, net, respectively, due to anticipated hedged transactions being probable of not occurring.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528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40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4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broker receivable/(payable)</w:t>
            </w:r>
          </w:p>
        </w:tc>
        <w:tc>
          <w:tcPr>
            <w:tcW w:w="528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25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0"/>
              </w:rPr>
              <w:t>June 30,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2017, there was a net loss of $231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2017, we expect to reclassify a net loss of $8 million to earnings in the next twelve months. The remaining deferred loss of $223 million is expected to be reclassified to earnings through 2049. A portion of these amounts is based on market prices as of June 30,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93"/>
              </w:rPr>
              <w:t>Six Months Ended</w:t>
            </w:r>
          </w:p>
        </w:tc>
        <w:tc>
          <w:tcPr>
            <w:tcW w:w="460" w:type="dxa"/>
            <w:vAlign w:val="bottom"/>
          </w:tcPr>
          <w:p>
            <w:pPr>
              <w:spacing w:after="0"/>
              <w:rPr>
                <w:sz w:val="14"/>
                <w:szCs w:val="14"/>
                <w:color w:val="auto"/>
              </w:rPr>
            </w:pP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594"/>
        <w:spacing w:after="0" w:line="264" w:lineRule="auto"/>
        <w:rPr>
          <w:sz w:val="20"/>
          <w:szCs w:val="20"/>
          <w:color w:val="auto"/>
        </w:rPr>
      </w:pPr>
      <w:r>
        <w:rPr>
          <w:rFonts w:ascii="Arial" w:cs="Arial" w:eastAsia="Arial" w:hAnsi="Arial"/>
          <w:sz w:val="18"/>
          <w:szCs w:val="18"/>
          <w:color w:val="auto"/>
        </w:rPr>
        <w:t>At June 30, 2017 and December 31, 2016,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Fair Value as of June 30, 2017</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87"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issued approximately 1.8 million units to AAP in connection with PAGP’s issuance of Class A shares under its Continuous Offering Program and 48.3 million units to AAP in connection with PAGP’s March 2017 underwritten offering. See Note 9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As of June 30, 2017, Oxy had a representative on the board of directors of PAGP GP and owned approximately 10% of the limited partner interests in AAP. During the three and six months ended June 30,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r>
      <w:tr>
        <w:trPr>
          <w:trHeight w:val="297"/>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2017, our estimated undiscounted reserve for environmental liabilities (including liabilities related to the Line 901 incident, as discussed further below) totaled $150 million, of which $64 million was classified as short-term and $86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2017, we had recorded receivables totaling $44 million for amounts probable of recovery under insurance and from third parties under indemnification agreements, of which $26 million was reflected in “Trade accounts receivable and other receivables, net” and $18 million was reflected in “Other long-term assets, net” on our Condensed Consolidated Balance Sheet. At December 31, 2016, we had recorded $56 million of such receivables, of which $39 million was reflected in “Trade accounts receivable and other receivables, net” and $17 million was reflected in “Other long-term assets, net” on our Condensed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20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of 46 counts, 36 of which were misdemeanor charges relating to wildlife allegedly taken as a result of the accidental release. The remaining 10 counts (currently three felony and seven misdemeanor charges) relate to the release of crude oil or reporting of the release. PAA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believes that the criminal charges are unwarranted and that neither PAA nor any of its employees engaged in any criminal behavior at any time in connection with this accident. PAA intends to continue to vigorously defend itself against the charges. On July 28, 2016, at an arraignment hearing held in California Superior Court in Santa Barbara County, PAA pled not guilty to all counts.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8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two remaining lawsuits claim that the Partnership suffered unspecified damages as a result of the actions of the various defendants and seek to hold the defendants liable for such damages, in addition to other remedies. The defendants deny the allegations in these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lawsuits and have responded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4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June 30, 2017, we estimate that the aggregate total costs we have incurred or will incur with respect to the Line 901 incident will be approximately $300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June 30, 2017, we had a remaining undiscounted gross liability of $78 million related to this event, of which approximately $53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2017, we had collected, subject to customary reservations, $166 million out of the approximate $205 million of release costs that we believe are probable of recovery from insurance carriers, net of deductibles. Therefore, as of June 30, 2017, we have recognized a receivable of approximately $39 million for the portion of the release costs that we believe is probable of recovery from insurance, net of deductibles and amounts already collected. Of this amount, approximately $21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i w:val="1"/>
          <w:iCs w:val="1"/>
          <w:color w:val="auto"/>
        </w:rPr>
        <w:t>Mesa to Basin Pipeline</w:t>
      </w:r>
      <w:r>
        <w:rPr>
          <w:rFonts w:ascii="Arial" w:cs="Arial" w:eastAsia="Arial" w:hAnsi="Arial"/>
          <w:sz w:val="17"/>
          <w:szCs w:val="17"/>
          <w:color w:val="auto"/>
        </w:rPr>
        <w:t>. On January 6, 2016, PHMSA issued a Notice of Probable Violation and Proposed Civil Penalty relating to an approximate</w:t>
      </w:r>
      <w:r>
        <w:rPr>
          <w:rFonts w:ascii="Arial" w:cs="Arial" w:eastAsia="Arial" w:hAnsi="Arial"/>
          <w:sz w:val="17"/>
          <w:szCs w:val="17"/>
          <w:i w:val="1"/>
          <w:iCs w:val="1"/>
          <w:color w:val="auto"/>
        </w:rPr>
        <w:t xml:space="preserve"> </w:t>
      </w:r>
      <w:r>
        <w:rPr>
          <w:rFonts w:ascii="Arial" w:cs="Arial" w:eastAsia="Arial" w:hAnsi="Arial"/>
          <w:sz w:val="17"/>
          <w:szCs w:val="17"/>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 We have since paid such penalty in full and do not anticipate any further action by PHMSA with respect to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5,781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12,176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13,580</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8,467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Gains/(losses) from derivative activities net of inventory valuation adjustments</w:t>
            </w:r>
          </w:p>
        </w:tc>
        <w:tc>
          <w:tcPr>
            <w:tcW w:w="800" w:type="dxa"/>
            <w:vAlign w:val="bottom"/>
          </w:tcPr>
          <w:p>
            <w:pPr>
              <w:spacing w:after="0"/>
              <w:rPr>
                <w:sz w:val="19"/>
                <w:szCs w:val="19"/>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0"/>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63"/>
        </w:trPr>
        <w:tc>
          <w:tcPr>
            <w:tcW w:w="6060" w:type="dxa"/>
            <w:vAlign w:val="bottom"/>
          </w:tcPr>
          <w:p>
            <w:pPr>
              <w:ind w:left="36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53"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49" w:lineRule="auto"/>
        <w:rPr>
          <w:sz w:val="20"/>
          <w:szCs w:val="20"/>
          <w:color w:val="auto"/>
        </w:rPr>
      </w:pPr>
      <w:r>
        <w:rPr>
          <w:rFonts w:ascii="Arial" w:cs="Arial" w:eastAsia="Arial" w:hAnsi="Arial"/>
          <w:sz w:val="16"/>
          <w:szCs w:val="16"/>
          <w:color w:val="auto"/>
        </w:rPr>
        <w:t>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ind w:left="660" w:hanging="652"/>
        <w:spacing w:after="0" w:line="214"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14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40" w:hanging="652"/>
        <w:spacing w:after="0" w:line="232"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and six months ended June 30,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first six months of 2017, we recognized net income attributable to PAA of $632 million as compared to net income attributable to PAA of $302 million recognized during the first six months of 2016. Our financial results for the comparative periods were impacted by:</w:t>
      </w:r>
    </w:p>
    <w:p>
      <w:pPr>
        <w:spacing w:after="0" w:line="147" w:lineRule="exact"/>
        <w:rPr>
          <w:sz w:val="20"/>
          <w:szCs w:val="20"/>
          <w:color w:val="auto"/>
        </w:rPr>
      </w:pPr>
    </w:p>
    <w:p>
      <w:pPr>
        <w:ind w:left="1300" w:right="26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gains on certain derivative instruments and contributions from our recently completed acquisitions and capital expansion projects,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depreciation and amortization expense primarily due to impairment losses recognized during the 2016 period;</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mark-to-market of our Preferred Distribution Rate Reset Option, resulting in a loss in the current period compared to a gain in the prior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6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income tax expense primarily due to higher year-over-year income as impacted by fluctuations in derivative mark-to-market valuations in our Canadian operations.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invested $614 million in midstream infrastructure projects during the six months ended June 30, 2017, with a targeted expansion capital plan for the full year of 2017 of approximately $950 million. Additionally, in February 2017, we acquired a crude oil gathering system located in the Northern Delaware Basin for approximately $1.217 billion and a marine propane terminal for $41 million. In April 2017, we completed the formation of a 50/50 joint venture, which subsequently acquired a crude oil pipeline located in the Southern Delaware Basin for $133 million. For our 50% share ($66.5 million), we contributed approximately 1.3 million common units and approximately $26 million in cash. To fund such capital activities, we sold approximately 54.1 million common units for net proceeds of approximately $1.7 billion. We also continued to advance our strategic divestiture program, completing three non-core asset sales during the first half of 2017 for cash proceeds of approximately $389 million. In addition, we entered into a definitive agreement in 2016 for an approximately $290 million sale of non-core assets for which regulatory approval is still pending. During the third quarter of 2017, we also entered into an additional definitive agreement to sell our interests in certain non-core pipelines in the Rocky Mountains for proceeds of approximately $250 million, and we are in various stages of discussion or advanced discussion and negotiations regarding additional sales of non-core assets or partial sales of assets to strategic partners for potential additional proceeds of approximately $150 million to $350 million.</w:t>
      </w:r>
    </w:p>
    <w:p>
      <w:pPr>
        <w:spacing w:after="0" w:line="1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paid approximately $770 million of cash distributions to our common unitholders during the six months ended June 30, 2017, and we declared a quarterly distribution of $0.55 per common unit to be paid on August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709</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875</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six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94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180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70"/>
        </w:trPr>
        <w:tc>
          <w:tcPr>
            <w:tcW w:w="9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STACK Projects </w:t>
            </w:r>
            <w:r>
              <w:rPr>
                <w:rFonts w:ascii="Arial" w:cs="Arial" w:eastAsia="Arial" w:hAnsi="Arial"/>
                <w:sz w:val="25"/>
                <w:szCs w:val="25"/>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St. James Terminal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270</w:t>
            </w:r>
          </w:p>
        </w:tc>
      </w:tr>
      <w:tr>
        <w:trPr>
          <w:trHeight w:val="257"/>
        </w:trPr>
        <w:tc>
          <w:tcPr>
            <w:tcW w:w="9480" w:type="dxa"/>
            <w:vAlign w:val="bottom"/>
            <w:gridSpan w:val="2"/>
          </w:tcPr>
          <w:p>
            <w:pPr>
              <w:ind w:left="200"/>
              <w:spacing w:after="0"/>
              <w:rPr>
                <w:sz w:val="20"/>
                <w:szCs w:val="20"/>
                <w:color w:val="auto"/>
              </w:rPr>
            </w:pPr>
            <w:r>
              <w:rPr>
                <w:rFonts w:ascii="Arial" w:cs="Arial" w:eastAsia="Arial" w:hAnsi="Arial"/>
                <w:sz w:val="18"/>
                <w:szCs w:val="18"/>
                <w:color w:val="auto"/>
              </w:rPr>
              <w:t>Total Projected 2017 Expansion Capital Expenditures</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$950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Transportation segment adjusted EBITDA</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Facilities segment adjusted EBITDA </w:t>
            </w:r>
            <w:r>
              <w:rPr>
                <w:rFonts w:ascii="Arial" w:cs="Arial" w:eastAsia="Arial" w:hAnsi="Arial"/>
                <w:sz w:val="25"/>
                <w:szCs w:val="25"/>
                <w:color w:val="auto"/>
                <w:w w:val="97"/>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net income/(loss) per common unit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Diluted net income/(loss) per common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Basic weighted average common units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5"/>
              </w:rPr>
              <w:t>Diluted weighted average common units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80" w:hanging="652"/>
        <w:spacing w:after="0" w:line="229"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20"/>
              <w:spacing w:after="0"/>
              <w:rPr>
                <w:sz w:val="20"/>
                <w:szCs w:val="20"/>
                <w:color w:val="auto"/>
              </w:rPr>
            </w:pPr>
            <w:r>
              <w:rPr>
                <w:rFonts w:ascii="Arial" w:cs="Arial" w:eastAsia="Arial" w:hAnsi="Arial"/>
                <w:sz w:val="18"/>
                <w:szCs w:val="18"/>
                <w:color w:val="auto"/>
                <w:w w:val="94"/>
              </w:rPr>
              <w:t>activities 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2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1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(10)</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(11)</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equity earnings 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entities, net of</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5"/>
                <w:szCs w:val="25"/>
                <w:color w:val="auto"/>
                <w:vertAlign w:val="superscript"/>
              </w:rPr>
              <w:t>(12)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Distributions to noncontrolling interests</w:t>
            </w: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63"/>
        </w:trPr>
        <w:tc>
          <w:tcPr>
            <w:tcW w:w="3120" w:type="dxa"/>
            <w:vAlign w:val="bottom"/>
          </w:tcPr>
          <w:p>
            <w:pPr>
              <w:ind w:left="360"/>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5"/>
                <w:szCs w:val="25"/>
                <w:color w:val="auto"/>
                <w:vertAlign w:val="superscript"/>
              </w:rPr>
              <w:t>(13)</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5"/>
                <w:szCs w:val="25"/>
                <w:color w:val="auto"/>
                <w:vertAlign w:val="superscript"/>
              </w:rPr>
              <w:t>(15)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left="660" w:right="40" w:hanging="652"/>
        <w:spacing w:after="0" w:line="22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or losses on significant asset sales of such unconsolidated entities when reviewing Adjusted EBITDA, similar to our consolidated assets.</w:t>
      </w:r>
    </w:p>
    <w:p>
      <w:pPr>
        <w:spacing w:after="0" w:line="149" w:lineRule="exact"/>
        <w:rPr>
          <w:rFonts w:ascii="Arial" w:cs="Arial" w:eastAsia="Arial" w:hAnsi="Arial"/>
          <w:sz w:val="25"/>
          <w:szCs w:val="25"/>
          <w:color w:val="auto"/>
          <w:vertAlign w:val="superscript"/>
        </w:rPr>
      </w:pPr>
    </w:p>
    <w:p>
      <w:pPr>
        <w:ind w:left="660" w:right="20" w:hanging="652"/>
        <w:spacing w:after="0" w:line="257"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hanging="652"/>
        <w:spacing w:after="0" w:line="273"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240" w:hanging="652"/>
        <w:spacing w:after="0" w:line="227"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discussion.</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100" w:hanging="652"/>
        <w:spacing w:after="0" w:line="214"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0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cash distributions that pertain to the current period’s net income and are paid in the subsequent period.</w:t>
      </w:r>
    </w:p>
    <w:p>
      <w:pPr>
        <w:spacing w:after="0" w:line="98" w:lineRule="exact"/>
        <w:rPr>
          <w:rFonts w:ascii="Arial" w:cs="Arial" w:eastAsia="Arial" w:hAnsi="Arial"/>
          <w:sz w:val="25"/>
          <w:szCs w:val="25"/>
          <w:color w:val="auto"/>
          <w:vertAlign w:val="superscript"/>
        </w:rPr>
      </w:pPr>
    </w:p>
    <w:p>
      <w:pPr>
        <w:ind w:left="660" w:right="20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Including net costs recognized during the periods related to the Line 901 incident that occurred in May 2015, Implied DCF would have been $277 million and $580 million for the three and six months ended June 30, 2017, respectively. See Note 12 to our Condensed Consolidated Financial Statements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100" w:hanging="652"/>
        <w:spacing w:after="0" w:line="227"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 attributable to PAA.</w:t>
      </w:r>
    </w:p>
    <w:p>
      <w:pPr>
        <w:spacing w:after="0" w:line="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Tariff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costs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Equity-indexed compensation expense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gridSpan w:val="2"/>
          </w:tcPr>
          <w:p>
            <w:pPr>
              <w:ind w:left="36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Equity-indexed compensation expense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gridSpan w:val="2"/>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Significant acquisition-related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2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2,178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4,484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4,666</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4,781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4"/>
              </w:rPr>
              <w:t>Favorable/(Unfavorable) Variance</w:t>
            </w:r>
          </w:p>
        </w:tc>
        <w:tc>
          <w:tcPr>
            <w:tcW w:w="220" w:type="dxa"/>
            <w:vAlign w:val="bottom"/>
          </w:tcPr>
          <w:p>
            <w:pPr>
              <w:spacing w:after="0"/>
              <w:rPr>
                <w:sz w:val="14"/>
                <w:szCs w:val="14"/>
                <w:color w:val="auto"/>
              </w:rPr>
            </w:pPr>
          </w:p>
        </w:tc>
        <w:tc>
          <w:tcPr>
            <w:tcW w:w="25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5"/>
              </w:rPr>
              <w:t>Favorable/(Unfavorable) Variance</w:t>
            </w: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2"/>
                <w:szCs w:val="12"/>
                <w:color w:val="auto"/>
              </w:rPr>
            </w:pPr>
          </w:p>
        </w:tc>
        <w:tc>
          <w:tcPr>
            <w:tcW w:w="252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2017-2016</w:t>
            </w: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Equity Earnings</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Rocky Mountain region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Gulf Coast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(including pipeline loss allowance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tariff activities variance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980" w:right="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2017 periods presented was largely driven by (i) higher volumes on our Cactus pipeline due to stronger demand in the Corpus Christi market and third-party export terminals, which also favorably impacted volumes on our McCamey pipeline system, (ii) results from the ACC System, which we acquired in February 2017 and (iii) increased production in the Permian Basin, which favorably impacted volumes on our takeaway pipelines.</w:t>
      </w:r>
    </w:p>
    <w:p>
      <w:pPr>
        <w:spacing w:after="0" w:line="1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Equity earnings increased due to higher earnings from our 50% interest in BridgeTex Pipeline Company, LLC resulting from higher volumes.</w:t>
      </w:r>
    </w:p>
    <w:p>
      <w:pPr>
        <w:spacing w:after="0" w:line="248"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South Texas / Eagle Ford region — Equity earnings from our 50% interest in Eagle Ford Pipeline LLC increased over the periods presented primarily due to higher volumes from our Cactus pipeline related to stronger demand in the Corpus Christi market and third-party export terminals.</w:t>
      </w:r>
    </w:p>
    <w:p>
      <w:pPr>
        <w:spacing w:after="0" w:line="181" w:lineRule="exact"/>
        <w:rPr>
          <w:rFonts w:ascii="Arial" w:cs="Arial" w:eastAsia="Arial" w:hAnsi="Arial"/>
          <w:sz w:val="18"/>
          <w:szCs w:val="18"/>
          <w:color w:val="auto"/>
        </w:rPr>
      </w:pPr>
    </w:p>
    <w:p>
      <w:pPr>
        <w:ind w:left="980" w:right="400" w:hanging="324"/>
        <w:spacing w:after="0" w:line="30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Rocky Mountain region — The decrease in revenues for the six-month comparative period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54" w:lineRule="exact"/>
        <w:rPr>
          <w:rFonts w:ascii="Arial" w:cs="Arial" w:eastAsia="Arial" w:hAnsi="Arial"/>
          <w:sz w:val="16"/>
          <w:szCs w:val="16"/>
          <w:color w:val="auto"/>
        </w:rPr>
      </w:pPr>
    </w:p>
    <w:p>
      <w:pPr>
        <w:ind w:left="980" w:right="40"/>
        <w:spacing w:after="0" w:line="259" w:lineRule="auto"/>
        <w:rPr>
          <w:rFonts w:ascii="Arial" w:cs="Arial" w:eastAsia="Arial" w:hAnsi="Arial"/>
          <w:sz w:val="16"/>
          <w:szCs w:val="16"/>
          <w:color w:val="auto"/>
        </w:rPr>
      </w:pPr>
      <w:r>
        <w:rPr>
          <w:rFonts w:ascii="Arial" w:cs="Arial" w:eastAsia="Arial" w:hAnsi="Arial"/>
          <w:sz w:val="18"/>
          <w:szCs w:val="18"/>
          <w:color w:val="auto"/>
        </w:rPr>
        <w:t>Equity earnings increased primarily due to earnings from (i) our 40% investment in the entity that owns the Saddlehorn Pipeline, a segment of which was placed in service in the third quarter of 2016, and (ii) our 50% investment in Cheyenne Pipeline, as discussed above. Such increases were partially offset by decreased equity earnings from our 35.67% interest in White Cliffs Pipeline LLC due to lower volumes on the joint venture pipeline.</w:t>
      </w:r>
    </w:p>
    <w:p>
      <w:pPr>
        <w:spacing w:after="0" w:line="186"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primarily due to the sale of certain of our Gulf Coast pipelines in March 2016 and July 2016.</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Adjustments: Deficiencies under minimum volume commitments, net. </w:t>
      </w:r>
      <w:r>
        <w:rPr>
          <w:rFonts w:ascii="Arial" w:cs="Arial" w:eastAsia="Arial" w:hAnsi="Arial"/>
          <w:sz w:val="18"/>
          <w:szCs w:val="18"/>
          <w:color w:val="auto"/>
        </w:rPr>
        <w:t>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2016 periods presented in the table above, we had net collections for deficiencies under minimum volume commitments resulting in deferred revenues and an increase to Segment adjusted EBITDA. In the 2017 periods, shippers (i) utilized credits associated with previous deficiencies or (ii) credits expired resulting in the recognition of previously deferred revenue, which were partially offset by collections for deficiencies under minimum volume commitments resulting in a net decrease to Segment adjusted EBITDA.</w:t>
      </w:r>
    </w:p>
    <w:p>
      <w:pPr>
        <w:spacing w:after="0" w:line="18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an increase in estimated costs associated with the Line 901 incident and incremental operating costs from the Alpha Crude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Connector acquisition in February 2017, partially offset by cost reduction efforts and decreased costs due to the sale of certain Gulf Coast pipelines as noted above.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Across all segments, equity-indexed compensation expense decreased by $11 million and $4 million for the three and six months ended June 30, 2017, respectively, compared to the same periods in 2016, primarily due to a decrease in unit price for both the three and six months ended June 30, 2017, compared to an increase in unit price for the same periods in 2016, partially offset by more probable awards outstanding and a higher average value for those awards during the three and six months ended June 30, 2017 compared to the same periods in 2016. See Note 16 to our Consolidated Financial Statements included in Part IV of our 2016 Annual Report on Form 10-K for additional information regarding our equity-indexed compensation plans.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6"/>
              </w:rPr>
              <w:t>(Gains)/losses from derivative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Volumes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monthly capacity in millions of barrels)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volumes in thousands of barrels per</w:t>
            </w:r>
          </w:p>
        </w:tc>
        <w:tc>
          <w:tcPr>
            <w:tcW w:w="200" w:type="dxa"/>
            <w:vAlign w:val="bottom"/>
          </w:tcPr>
          <w:p>
            <w:pPr>
              <w:spacing w:after="0"/>
              <w:rPr>
                <w:sz w:val="18"/>
                <w:szCs w:val="18"/>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feet)</w:t>
            </w: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78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Facilities segment total volumes (average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monthly volumes in millions of barrels)</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6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100" w:hanging="652"/>
        <w:spacing w:after="0" w:line="234"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rFonts w:ascii="Arial" w:cs="Arial" w:eastAsia="Arial" w:hAnsi="Arial"/>
          <w:sz w:val="25"/>
          <w:szCs w:val="25"/>
          <w:color w:val="auto"/>
          <w:vertAlign w:val="superscript"/>
        </w:rPr>
      </w:pPr>
    </w:p>
    <w:p>
      <w:pPr>
        <w:ind w:left="660" w:right="20" w:hanging="328"/>
        <w:spacing w:after="0" w:line="279"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$26 million and $59 million for the three and six months ended June 30, 2017, respectively, compared to the same periods in 2016 primarily due to contributions from the Western Canada NGL assets we acquired in August 2016 and increased storage capacity at our Fort Saskatchewan facility, as well as higher fees at certain of our NGL storage and fractionation facilities, which were largely incurred in our Supply and Logistics segment results.</w:t>
      </w:r>
    </w:p>
    <w:p>
      <w:pPr>
        <w:spacing w:after="0" w:line="171" w:lineRule="exact"/>
        <w:rPr>
          <w:rFonts w:ascii="Arial" w:cs="Arial" w:eastAsia="Arial" w:hAnsi="Arial"/>
          <w:sz w:val="17"/>
          <w:szCs w:val="17"/>
          <w:color w:val="auto"/>
        </w:rPr>
      </w:pPr>
    </w:p>
    <w:p>
      <w:pPr>
        <w:ind w:left="660" w:right="60" w:hanging="328"/>
        <w:spacing w:after="0" w:line="286"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Rail Terminals — Revenues decreased by $8 million and $16 million for the three and six months ended June 30, 2017, respectively, compared to the three and six months ended June 30, 2016 primarily due to lower volumes at our U.S. terminals resulting from less favorable market conditions, partially offset by revenues and volumes from our Fort Saskatchewan rail terminal that came on line in April 2016.</w:t>
      </w:r>
    </w:p>
    <w:p>
      <w:pPr>
        <w:spacing w:after="0" w:line="165" w:lineRule="exact"/>
        <w:rPr>
          <w:rFonts w:ascii="Arial" w:cs="Arial" w:eastAsia="Arial" w:hAnsi="Arial"/>
          <w:sz w:val="17"/>
          <w:szCs w:val="17"/>
          <w:color w:val="auto"/>
        </w:rPr>
      </w:pPr>
    </w:p>
    <w:p>
      <w:pPr>
        <w:ind w:left="660" w:right="20" w:hanging="328"/>
        <w:spacing w:after="0" w:line="279"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Crude Oil Storage — Revenues decreased by $1 million and $4 million for the three and six months ended June 30, 2017, respectively, compared to the same periods in 2016 primarily due to (i) decreased utilization at certain of our West Coast terminals and (ii) lower results related to the sale of certain of our East Coast terminals in April 2016. Such decreases were partially offset by increased revenues from our Cushing and St. James terminals due to aggregate capacity expansions of over 2.8 million barrels and higher ancillary fees.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reduced rail activity, cost reduction efforts and the sale of certain of our East Coast terminals in April 2016. Such decreases were largely offset by an increase in operating costs associated with the Western Canada NGL assets acquired in August 2016.</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for the three and six months ended June 30, 2017 compared to the same periods in 2016 was primarily due to increased investment in our integrity management program, primarily on assets at our West Coast terminals.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125" w:right="3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that were previously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5"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2017</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June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Six months ended June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 2016</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2017 compared to the same periods in 2016 primarily due to higher crude oil prices. Additionally, revenues were impacted by gains from certain derivative activities during the three and six months ended June 30, 2017 compared to losses recognized during the 2016 periods.</w:t>
      </w:r>
    </w:p>
    <w:p>
      <w:pPr>
        <w:spacing w:after="0" w:line="173"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Historically, we expected a base level of earnings from our Supply and Logistics segment from the assets employed by this segment. However, over the last 12 to 18 months, competition has increased significantly and, combined with recent and current market conditions, predicting such base level of earnings has been difficult. Our Supply and Logistics segment earnings may be optimized and enhanced when there is a high level of market volatility, favorable basis differentials and/or a steep contango or backwardated market structure. During certain transitional periods, such as the current extended period of lower crude oil prices, increased competition, low volatility and tight differentials, our ability to generate earnings in this segment is reduced and our segment earnings can be adversely impacted by activities designed to increase utilization of certain of our pipeline and facilities assets. These factors, in combination with overcapacity of midstream assets in certain regions and increased competition that currently exists in most crude oil producing regions, make predicting and then generating baseline-level performance challenging. Our NGL operations are also impacted by similar competitive pressures. In addition, our NGL operations are sensitive to weather-related demand, particularly during the approximate five-month peak heating season of</w:t>
      </w:r>
    </w:p>
    <w:p>
      <w:pPr>
        <w:spacing w:after="0" w:line="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November through March, and temperature differences from period-to-period may have a significant effect on NGL demand and thus our financial performance.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Net Revenues and Volumes. </w:t>
      </w:r>
      <w:r>
        <w:rPr>
          <w:rFonts w:ascii="Arial" w:cs="Arial" w:eastAsia="Arial" w:hAnsi="Arial"/>
          <w:sz w:val="16"/>
          <w:szCs w:val="16"/>
          <w:color w:val="auto"/>
        </w:rPr>
        <w:t>Our Supply and Logistics segment revenues, net of purchases and related costs, decreased by $11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2017 compared to the three months ended June 30, 2016 and increased by $276 million for the six months ended June 30, 2017 compared to the same period in 2016. The six-month comparative period was impacted by gains from certain derivative activities (as discussed further below) that more than offset lower results from less favorable market conditions. The following summarizes the significant items impacting the comparative periods:</w:t>
      </w:r>
    </w:p>
    <w:p>
      <w:pPr>
        <w:spacing w:after="0" w:line="154" w:lineRule="exact"/>
        <w:rPr>
          <w:sz w:val="20"/>
          <w:szCs w:val="20"/>
          <w:color w:val="auto"/>
        </w:rPr>
      </w:pPr>
    </w:p>
    <w:p>
      <w:pPr>
        <w:jc w:val="both"/>
        <w:ind w:left="980" w:right="14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2017 as compared to the same periods in 2016, primarily due to continued and intensifying competition, largely due to overbuilt infrastructure underwritten with volume commitments and the effect of such on differentials, which negatively impacted our unit margins. See the “Outlook” section below for additional discussion of recent market conditions.</w:t>
      </w:r>
    </w:p>
    <w:p>
      <w:pPr>
        <w:spacing w:after="0" w:line="186"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decreased for the three and six months ended June 30, 2017 as compared to the three and six months ended June 30, 2016, largely due to (i) higher supply costs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20"/>
        <w:spacing w:after="0" w:line="311" w:lineRule="auto"/>
        <w:rPr>
          <w:sz w:val="20"/>
          <w:szCs w:val="20"/>
          <w:color w:val="auto"/>
        </w:rPr>
      </w:pPr>
      <w:r>
        <w:rPr>
          <w:rFonts w:ascii="Arial" w:cs="Arial" w:eastAsia="Arial" w:hAnsi="Arial"/>
          <w:sz w:val="18"/>
          <w:szCs w:val="18"/>
          <w:color w:val="auto"/>
        </w:rPr>
        <w:t>tighter differentials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w:t>
      </w:r>
    </w:p>
    <w:p>
      <w:pPr>
        <w:spacing w:after="0" w:line="154" w:lineRule="exact"/>
        <w:rPr>
          <w:sz w:val="20"/>
          <w:szCs w:val="20"/>
          <w:color w:val="auto"/>
        </w:rPr>
      </w:pPr>
    </w:p>
    <w:p>
      <w:pPr>
        <w:ind w:left="980" w:right="80" w:hanging="324"/>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lower trucking costs as pipeline expansion projects were placed into service.</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for the three and six months ended June 30, 2017 compared to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2016 primarily due to (i) impairment losses in the second quarter of 2016 of approximately $80 million associated with certain of our rail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terminal assets, (ii) an approximately $18 million loss on assets taken out of service during the second quarter of 2016 and (iii) the write-off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and $11 million of costs during 2017 and 2016, respectively, associated with the discontinuation of certain capital projects. These decreases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additional depreciation and amortization expense associated with recently acquired assets and the completion of various capital expansion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projects during the comparative periods. Depreciation and amortization expense was further impacted by net losses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2017 of approximately $5 million and $1 million, respectively, and net gains for the three and six months ended June 30, 2016 of approximately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$16 million, respectively, associated with sales of non-core assets during the periods and the Cheyenne Pipeline joint venture formation in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2017 over the three and six months ended June 30, 2016 was primarily due to (i) lower capitalized interest driven by fewer capital projects under construction and (ii) a higher weighted average debt balance during the 2017 periods.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decrease in Other income/(expense), net for the three and six months ended June 30, 2017 compared to the same periods in 2016 was primarily related to the mark-to-market adjustment of our Preferred Distribution Rate Reset Option, which was a gain of $2 million and a loss of $2 million for the three and six months ended June 30, 2017, respectively, compared to a gain of $25 million for the three and six months ended June 30, 2016. See Note 10 to our Condensed Consolidated Financial Statements for additional information. Excluding such impacts, Other income/(expense), net for the periods presented were primarily comprised of gains or losses from the revaluation of foreign currency transactions and monetary assets and liabilities.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Income tax expense increased for the three and six months ended June 30, 2017 compared to the three and six months ended June 30, 2016 primarily due to higher year-over-year income as impacted by fluctuations in derivative mark-to-market valuations in our Canadian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 In the second quarter of 2017, crude oil prices trended downward, averaging 7% below the first quarter average.</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However, rig activity during the second quarter continued to increase in many of the producing basins where we operate, although at a slower rate compared to the first quarter. Since early May 2017, Permian Basin rig counts have increased by 7%, adding approximately 26 rigs over the ensuing three month period. In addition, upstream acreage acquisition activity in the Permian Basin continued in the second quarter of 2017, with over $13 billion in acreage transactions announced within the last twelve months, which involved meaningful positions located in the Northern Delaware Basin. Current rig counts do not fully reflect the expected increase associated with certain of these transactions. We expect a continuation of a time lag between increased drilling activity and increased production as producers shift to multiple well pad operations and delayed scheduling of completion activities. These trends have led to a rising inventory of drilled but uncompleted (“DUC”) wells in the Permian Basin. In the Permian Basin alone, DUC inventory has increased by nearly 1,000 DUCs since the beginning of 2016. Importantly, over 80% of the increase in DUC inventory accumulated within the first half of 2017, during which DUC additions averaged approximately 140 per month. While the timing of DUC completion activity is difficult to forecast, DUC inventory and increases in well productivity could have a positive impact on either the rate of production growth or the ability of producers to maintain production at current levels in the event rig activity slows.</w:t>
      </w:r>
    </w:p>
    <w:p>
      <w:pPr>
        <w:spacing w:after="0" w:line="19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Taking all of these factors into account, we continue to expect production levels to increase in the second half of this year. The increased production levels should continue to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an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 continuation of a low crude oil price environment could have a material adverse impact on drilling and completion activity.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Specifically, our Supply and Logistics segment has been most heavily impacted by margin compression driven by factors such as these. Within this segment, our crude oil activities were the first to experience significant margin compression, and most recently, our NGL activities have become adversely impacted by margin compression as well, substantially driven by increased competition in supply areas and tighter differentials between Canadian and U.S. markets. In addition, in the current environment of increased competition, relatively flat futures curves, narrow grade differentials and low regional basis differentials, the prospects for capturing arbitrage opportunities of the type and amount that we have historically been able to capture is significantly reduced. The near term outlook for our Supply and Logistics segment is that such conditions are likely to continue; accordingly, our earnings from this segment are difficult to forecast and we can provide no assurance that conditions will improve or that we will be able to achieve our earnings objectives in this segment. Finally, we cannot be certain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that our expansion efforts will generate targeted returns or that any recently completed or future acquisition activities will be successful. See “Risk Factors— Risks Related to Our Business” discussed in Item 1A of our 2016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$124 million and $94 million as of June 30, 2017 and December 31, 2016, respectively.</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Developments in the commercial outlook for the Capline system could result in incurring costs associated with retiring certain assets or an impairment of the carrying value of our interest in the Capline system, which was $196 million and $227 million at June 30, 2017 and December 31,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non-core assets. As of June 30, 2017, we had a working capital deficit of $229 million and approximately $2.8 billion of liquidity available to meet our ongoing operating, investing and financing needs, subject to continued covenant compliance, as noted below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1,584</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1,011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2,806</w:t>
            </w:r>
          </w:p>
        </w:tc>
      </w:tr>
      <w:tr>
        <w:trPr>
          <w:trHeight w:val="20"/>
        </w:trPr>
        <w:tc>
          <w:tcPr>
            <w:tcW w:w="9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$105 million, comprised of $16 million under the senior unsecured revolving credit facility and $89 million under the senior secured hedged inventory facility.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and/or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credit facilities, which provide the backstop for the commercial paper program, is subject to ongoing compliance with covenants. As of June 30, 2017,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2017 and 2016 was $1.461 billion and $387 million, respectively, and primarily resulted from earnings from our operations.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Net cash provided by operating activities for the 2017 period was positively impacted by a decrease in both the volume of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prices for NGL and crude oil inventory that was purchased and stored at the end of the period.</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months ended June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June 30, 2017 and December 31, 2016, counterparty deficiencies associated with agreements that include minimum volume commitments totaled $62 million and $66 million, respectively, of which $46 million and $54 million, respectively, was recorded as deferred revenue. The remaining balance of $16 million and $12 million at June 30, 2017 and December 31, 2016,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asset sales program, as discussed further below. We have made and will continue to make capital expenditures for acquisitions, expansion capital and maintenance capital.</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Acquisitions</w:t>
      </w:r>
      <w:r>
        <w:rPr>
          <w:rFonts w:ascii="Arial" w:cs="Arial" w:eastAsia="Arial" w:hAnsi="Arial"/>
          <w:sz w:val="17"/>
          <w:szCs w:val="17"/>
          <w:color w:val="auto"/>
        </w:rPr>
        <w:t>. During the six months ended June 30, 2017 and 2016, we paid cash of $1.281 billion (net of cash acquired of $4 million) and $85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for acquisitions. The acquisitions completed during the six months ended June 30, 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Additionally, we and an affiliate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Noble Midstream Partners LP completed the acquisition of Advantage Pipeline, L.L.C. for a purchase price of $133 million through a newly formed 50/50 joint venture. For our 50% share ($66.5 million), we contributed approximately 1.3 million common units and approximately $26 million in cash.</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2017 Capital Projects. </w:t>
      </w:r>
      <w:r>
        <w:rPr>
          <w:rFonts w:ascii="Arial" w:cs="Arial" w:eastAsia="Arial" w:hAnsi="Arial"/>
          <w:sz w:val="18"/>
          <w:szCs w:val="18"/>
          <w:color w:val="auto"/>
        </w:rPr>
        <w:t>We invested approximately $614 million in midstream infrastructure during the six months ended June 30, 2017, and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invest approximately $950 million during the year ended December 31, 2017. See “—Acquisitions and Capital Projects” for detail of our projected capital expenditures for the year ending December 31, 2017. The majority of funding for our 2017 capital program was provided by proceeds from our common unit issuances during the first quarter of 2017, with the remaining funding expected to be provided by the sale of various non-core assets throughout the year.</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Divestitures</w:t>
      </w:r>
      <w:r>
        <w:rPr>
          <w:rFonts w:ascii="Arial" w:cs="Arial" w:eastAsia="Arial" w:hAnsi="Arial"/>
          <w:sz w:val="17"/>
          <w:szCs w:val="17"/>
          <w:color w:val="auto"/>
        </w:rPr>
        <w:t>. Our strategic divestiture program includes the evaluation of potential sales of non-core assets and/or sales of partial interests in assets to</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joint venture partners to optimize our asset portfolio and strengthen our balance sheet and leverage metrics. We sold certain non-core assets for proceeds of $389 million during the six months ended June 30, 2017. In addition, we entered into a definitive agreement in 2016 for an approximately $290 million sale of non-core assets for which regulatory approval is still pending. During the third quarter of 2017, we also entered into an additional definitive agreement to sell our interests in certain non-core pipelines in the Rocky Mountains for proceeds of approximately $250 million, and we are in various stages of discussion or advanced discussion and negotiations regarding additional sales of non-core assets or partial sales of assets to strategic partners for potential additional proceeds of approximately $150 million to $350 million. See Note 6 to our Condensed Consolidated Financial Statements for additional information regarding these asset sales and divestitures.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$2.0 billion of debt or equity securities (“Traditional Shelf”). Our issuances of equity securities associated with our Continuous Offering Program have been issued pursuant to the Traditional Shelf. At June 30, 2017,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WKSI Shelf during the six months ended June 30, 2017.</w:t>
      </w:r>
    </w:p>
    <w:p>
      <w:pPr>
        <w:spacing w:after="0" w:line="165" w:lineRule="exact"/>
        <w:rPr>
          <w:sz w:val="20"/>
          <w:szCs w:val="20"/>
          <w:color w:val="auto"/>
        </w:rPr>
      </w:pPr>
    </w:p>
    <w:p>
      <w:pPr>
        <w:ind w:right="360" w:firstLine="675"/>
        <w:spacing w:after="0" w:line="277" w:lineRule="auto"/>
        <w:rPr>
          <w:sz w:val="20"/>
          <w:szCs w:val="20"/>
          <w:color w:val="auto"/>
        </w:rPr>
      </w:pPr>
      <w:r>
        <w:rPr>
          <w:rFonts w:ascii="Arial" w:cs="Arial" w:eastAsia="Arial" w:hAnsi="Arial"/>
          <w:sz w:val="18"/>
          <w:szCs w:val="18"/>
          <w:i w:val="1"/>
          <w:iCs w:val="1"/>
          <w:color w:val="auto"/>
        </w:rPr>
        <w:t xml:space="preserve">Sales of Common Units. </w:t>
      </w:r>
      <w:r>
        <w:rPr>
          <w:rFonts w:ascii="Arial" w:cs="Arial" w:eastAsia="Arial" w:hAnsi="Arial"/>
          <w:sz w:val="18"/>
          <w:szCs w:val="18"/>
          <w:color w:val="auto"/>
        </w:rPr>
        <w:t>The following table summarizes our sales of common units during the six months ended June 30, 2017 (net proceeds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six months ended June 30,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June 30, 2017, we were in compliance with the covenants contained in our credit agreements and indentures.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2017, we had net repayments on our credit facilities and commercial paper program of $425 million. The net repayments resulted primarily from cash flow from operating activities and cash received from our equity activities, which offset borrowings during the period related to funding needs for (i) acquisition and capital investments, (ii) repayment of our $400 million, 6.13% senior notes in January 2017 and (iii) other general partnership purposes.</w:t>
      </w:r>
    </w:p>
    <w:p>
      <w:pPr>
        <w:spacing w:after="0" w:line="187"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During the six months ended June 30, 2016, we had net repayments under our credit facilities and commercial paper program of $592 million. The net repayments resulted primarily from cash flow from operating activities and cash received from our equity activities, which offset borrowings during the period related to inventory purchases and related margin balances required as part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August 14, 2017, we will issue 1,339,796 additional Series A preferred units in lieu of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 cash distribution of $35 million. See Note 9 to our Condensed Consolidated Financial Statements for details of distributions made during or pertaining to the first six months of 2017.</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Distributions to our common unitholders. </w:t>
      </w:r>
      <w:r>
        <w:rPr>
          <w:rFonts w:ascii="Arial" w:cs="Arial" w:eastAsia="Arial" w:hAnsi="Arial"/>
          <w:sz w:val="16"/>
          <w:szCs w:val="16"/>
          <w:color w:val="auto"/>
        </w:rPr>
        <w:t>In accordance with our partnership agreement, after making distributions to holders of outstanding Series</w:t>
      </w:r>
      <w:r>
        <w:rPr>
          <w:rFonts w:ascii="Arial" w:cs="Arial" w:eastAsia="Arial" w:hAnsi="Arial"/>
          <w:sz w:val="16"/>
          <w:szCs w:val="16"/>
          <w:i w:val="1"/>
          <w:iCs w:val="1"/>
          <w:color w:val="auto"/>
        </w:rPr>
        <w:t xml:space="preserve"> </w:t>
      </w:r>
      <w:r>
        <w:rPr>
          <w:rFonts w:ascii="Arial" w:cs="Arial" w:eastAsia="Arial" w:hAnsi="Arial"/>
          <w:sz w:val="16"/>
          <w:szCs w:val="16"/>
          <w:color w:val="auto"/>
        </w:rPr>
        <w:t>A preferred units, we distribute all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August 14, 2017, we will pay a quarterly distribution of $0.55 per common unit, which is unchanged from our prior three quarterly distributions, but represents a year-over-year distribution decrease of approximately 21%. See Note 9 to our Condensed Consolidated Financial Statements for details of distributions paid during or pertaining to the first six months of 2017. Also, see Item 5. “Market for Registrant’s Common Units, Related Unitholder Matters and Issuer Purchases of Equity Securities—Cash Distribution Policy” included in our 2016 Annual Report on Form 10-K for additional discussion regarding distributions.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7, 2017, we announced that we were engaged in discussions with our Board of Directors regarding a reassessment of our approach to distributions, with a focus on resetting PAA's common unit distribution to a level supported by the distributable cash flow from our fee-based Transportation and Facilities segments. As of such date, no final decisions had been made regarding such potential change, but we indicated that we intended to complete our reassessment and finalize any changes over the course of the ensuing sixty day period.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4,012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16,029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32,888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20" w:hanging="652"/>
        <w:spacing w:after="0" w:line="268"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senior notes and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73" w:lineRule="exact"/>
        <w:rPr>
          <w:rFonts w:ascii="Arial" w:cs="Arial" w:eastAsia="Arial" w:hAnsi="Arial"/>
          <w:sz w:val="22"/>
          <w:szCs w:val="22"/>
          <w:color w:val="auto"/>
          <w:vertAlign w:val="superscript"/>
        </w:rPr>
      </w:pPr>
    </w:p>
    <w:p>
      <w:pPr>
        <w:ind w:left="660" w:right="38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$800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220" w:hanging="652"/>
        <w:spacing w:after="0" w:line="238" w:lineRule="auto"/>
        <w:tabs>
          <w:tab w:leader="none" w:pos="66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June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June 30, 2017 and December 31, 2016, we had outstanding letters of credit of approximately $105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32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30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4" w:lineRule="exact"/>
        <w:rPr>
          <w:sz w:val="20"/>
          <w:szCs w:val="20"/>
          <w:color w:val="auto"/>
        </w:rPr>
      </w:pPr>
    </w:p>
    <w:p>
      <w:pPr>
        <w:ind w:left="1360" w:hanging="704"/>
        <w:spacing w:after="0"/>
        <w:tabs>
          <w:tab w:leader="none" w:pos="13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60" w:hanging="704"/>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2017, approximately $1.1 billion, was subject to interest rate re-sets that range from less than one week to approximately three months. The average interest rate on variable rate debt that was outstanding during the six months ended June 30, 2017 was 1.9%, based upon rates in effect during such period. The fair value of our interest rate derivatives was a liability of $32 million as of June 30, 2017. A 10% increase in the forward LIBOR curve as of June 30, 2017 would have resulted in an increase of $33 million to the fair value of our interest rate derivatives. A 10% decrease in the forward LIBOR curve as of June 30, 2017 would have resulted in a decrease of $33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$3 million as of June 30, 2017.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10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ten-year U.S. treasury rates and default probabilities to ultimately calculate the fair value of our Series A preferred units with and without the Preferred Distribution Rate Reset Option. The fair value of this embedded derivative was a liability of $35 million as of June 30, 2017. A 10% increase in the fair value would have an impact of $3 million. A 10% decrease in the fair value would also have an impact of $3 million. See Note 10 to our Condensed Consolidated Financial Statements for a discussion of embedded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Common Units</w:t>
      </w:r>
      <w:r>
        <w:rPr>
          <w:rFonts w:ascii="Arial" w:cs="Arial" w:eastAsia="Arial" w:hAnsi="Arial"/>
          <w:sz w:val="17"/>
          <w:szCs w:val="17"/>
          <w:color w:val="auto"/>
        </w:rPr>
        <w:t>. On April 3, 2017, we and an affiliate of Noble Midstream Partners LP (“Noble”) completed the acquisition of Advantage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L.L.C. (“Advantage”) for a purchase price of $133 million through a newly formed 50/50 joint venture. For our 50% share ($66.5 million), we contributed 1,252,269 common units and approximately $26 million in cash. The issuance of such common units was exempt from the registration requirements of the Securities Act of 1933, as amended, pursuant to Section 4(a)(2) thereof. See Note 6 and Note 9 to our Condensed Consolidated Financial Statements for additional information regarding the issuance of common units in connection with the Advantage transaction.</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Series A Preferred Units</w:t>
      </w:r>
      <w:r>
        <w:rPr>
          <w:rFonts w:ascii="Arial" w:cs="Arial" w:eastAsia="Arial" w:hAnsi="Arial"/>
          <w:sz w:val="16"/>
          <w:szCs w:val="16"/>
          <w:color w:val="auto"/>
        </w:rPr>
        <w:t>. With respect to any quarter ending on or prior to December 31, 2017, we may elect to pay distributions on our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units in additional preferred units, in cash or a combination of both. During the three months ended June 30, 2017 we issued 1,313,527 additional Series A preferred units in lieu of a cash distribution of $34 million. The issuance of the Series A preferred units, in connection with the quarterly distribution for the Series A preferred units, was exempt from the registration requirements of the Securities Act of 1933, as amended, pursuant to Section</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4(a)(2) thereof. Our Series A preferred units are convertible into common units, generally on a one-for-one basis and subject to customary antidiultion adjustments and certain minimum conversion amounts, at any time after January 28, 2018. See Note 11 to our Consolidated Financial Statements included in Part IV of our 2016 Annual Report on Form 10-K for additional information regarding our Series A preferred units.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480"/>
        </w:trPr>
        <w:tc>
          <w:tcPr>
            <w:tcW w:w="7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780" w:type="dxa"/>
            <w:vAlign w:val="bottom"/>
          </w:tcPr>
          <w:p>
            <w:pPr>
              <w:ind w:left="40"/>
              <w:spacing w:after="0"/>
              <w:rPr>
                <w:sz w:val="20"/>
                <w:szCs w:val="20"/>
                <w:color w:val="auto"/>
              </w:rPr>
            </w:pPr>
            <w:r>
              <w:rPr>
                <w:rFonts w:ascii="Arial" w:cs="Arial" w:eastAsia="Arial" w:hAnsi="Arial"/>
                <w:sz w:val="18"/>
                <w:szCs w:val="18"/>
                <w:color w:val="auto"/>
              </w:rPr>
              <w:t>2.1 *</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Securities Purchase Agreement dated as of January 19, 2017 by and between COG Operating LLC, as seller, and Plains Pipeline,</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as purchaser (the schedules and exhibits have been omitted pursuant to Item 601(b)(2) of Regulation S-K) (incorporated by</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2.1 to our Quarterly Report on Form 10-Q for the quarter ended March 31, 2017).</w:t>
            </w:r>
          </w:p>
        </w:tc>
      </w:tr>
      <w:tr>
        <w:trPr>
          <w:trHeight w:val="377"/>
        </w:trPr>
        <w:tc>
          <w:tcPr>
            <w:tcW w:w="780" w:type="dxa"/>
            <w:vAlign w:val="bottom"/>
          </w:tcPr>
          <w:p>
            <w:pPr>
              <w:ind w:left="40"/>
              <w:spacing w:after="0"/>
              <w:rPr>
                <w:sz w:val="20"/>
                <w:szCs w:val="20"/>
                <w:color w:val="auto"/>
              </w:rPr>
            </w:pPr>
            <w:r>
              <w:rPr>
                <w:rFonts w:ascii="Arial" w:cs="Arial" w:eastAsia="Arial" w:hAnsi="Arial"/>
                <w:sz w:val="18"/>
                <w:szCs w:val="18"/>
                <w:color w:val="auto"/>
              </w:rPr>
              <w:t>2.2 *</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Securities Purchase Agreement dated as of January 19, 2017 by and between Frontier Midstream Solutions, LLC, as seller, and</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Plains Pipeline, L.P., as purchaser (the schedules and exhibits have been omitted pursuant to Item 601(b)(2) of Regulation S-K)</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2.2 to our Quarterly Report on Form 10-Q for the quarter ended March 31, 2017).</w:t>
            </w:r>
          </w:p>
        </w:tc>
      </w:tr>
      <w:tr>
        <w:trPr>
          <w:trHeight w:val="377"/>
        </w:trPr>
        <w:tc>
          <w:tcPr>
            <w:tcW w:w="780" w:type="dxa"/>
            <w:vAlign w:val="bottom"/>
          </w:tcPr>
          <w:p>
            <w:pPr>
              <w:ind w:left="4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Sixth Amended and Restated Agreement of Limited Partnership of Plains All American Pipeline, L.P. dated as of November 15,</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2016 (incorporated by reference to Exhibit 3.5 to our Current Report on Form 8-K filed November 21, 2016).</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by reference to Exhibit 3.2 to our Quarterly Report on Form 10-Q for the quarter ended March 31, 2004).</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3.3</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Amendment No. 1 dated December 31, 2010 to the Third Amended and Restated Agreement of Limited Partnership of Plains</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3.9 to our Annual Report on Form 10-K for the year ended December 31,</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3.4</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2 dated January 1, 2011 to the Third Amended and Restated Agreement of Limited Partnership of Plains</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Marketing, L.P. (incorporated by reference to Exhibit 3.10 to our Annual Report on Form 10-K for the year ended December 31,</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9"/>
              </w:rPr>
              <w:t>Amendment No. 3 dated June 30, 2011 to the Third Amended and Restated Agreement of Limited Partnership of Plains</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3.7 to our Annual Report on Form 10-K for the year ended December 31,</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4 dated January 1, 2013 to the Third Amended and Restated Agreement of Limited Partnership of Plains</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3.8 to our Annual Report on Form 10-K for the year ended December 31,</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3.7</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Third Amended and Restated Agreement of Limited Partnership of Plains Pipeline, L.P. dated as of April 1, 2004 (incorporated by</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3.8</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Amendment No. 1 dated January 1, 2013 to the Third Amended and Restated Agreement of Limited Partnership of Plains Pipeline,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L.P. (incorporated by reference to Exhibit 3.10 to our Annual Report on Form 10-K for the year ended December 31, 2013).</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3.9</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Seventh Amended and Restated Limited Liability Company Agreement of Plains All American GP LLC dated November 15, 2016</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3.3 to our Current Report on Form 8-K filed November 21, 2016).</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3.10</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Eighth Amended and Restated Limited Partnership Agreement of Plains AAP, L.P. dated November 15, 2016 (incorporated by</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3.4 to our Current Report on Form 8-K filed November 21, 2016).</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3.11</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Certificate of Incorporation of PAA Finance Corp. (f/k/a Pacific Energy Finance Corporation, successor-by-merger to PAA Finance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Corp.) (incorporated by reference to Exhibit 3.10 to our Annual Report on Form 10-K for the year ended December 31, 2006).</w:t>
            </w:r>
          </w:p>
        </w:tc>
      </w:tr>
      <w:tr>
        <w:trPr>
          <w:trHeight w:val="377"/>
        </w:trPr>
        <w:tc>
          <w:tcPr>
            <w:tcW w:w="780" w:type="dxa"/>
            <w:vAlign w:val="bottom"/>
          </w:tcPr>
          <w:p>
            <w:pPr>
              <w:ind w:left="40"/>
              <w:spacing w:after="0"/>
              <w:rPr>
                <w:sz w:val="20"/>
                <w:szCs w:val="20"/>
                <w:color w:val="auto"/>
              </w:rPr>
            </w:pPr>
            <w:r>
              <w:rPr>
                <w:rFonts w:ascii="Arial" w:cs="Arial" w:eastAsia="Arial" w:hAnsi="Arial"/>
                <w:sz w:val="18"/>
                <w:szCs w:val="18"/>
                <w:color w:val="auto"/>
              </w:rPr>
              <w:t>3.12</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rPr>
              <w:t>Bylaws of PAA Finance Corp. (f/k/a Pacific Energy Finance Corporation, successor-by-merger to PAA Finance Corp.)</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3.11 to our Annual Report on Form 10-K for the year ended December 31, 2006).</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3.13</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Limited Liability Company Agreement of PAA GP LLC dated December 28, 2007 (incorporated by reference to Exhibit 3.3 to our</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January 4, 2008).</w:t>
            </w:r>
          </w:p>
        </w:tc>
      </w:tr>
      <w:tr>
        <w:trPr>
          <w:trHeight w:val="526"/>
        </w:trPr>
        <w:tc>
          <w:tcPr>
            <w:tcW w:w="780" w:type="dxa"/>
            <w:vAlign w:val="bottom"/>
          </w:tcPr>
          <w:p>
            <w:pPr>
              <w:ind w:left="40"/>
              <w:spacing w:after="0"/>
              <w:rPr>
                <w:sz w:val="20"/>
                <w:szCs w:val="20"/>
                <w:color w:val="auto"/>
              </w:rPr>
            </w:pPr>
            <w:r>
              <w:rPr>
                <w:rFonts w:ascii="Arial" w:cs="Arial" w:eastAsia="Arial" w:hAnsi="Arial"/>
                <w:sz w:val="18"/>
                <w:szCs w:val="18"/>
                <w:color w:val="auto"/>
              </w:rPr>
              <w:t>3.14</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Certificate of Limited Partnership of Plains GP Holdings, L.P. (incorporated by reference to Exhibit 3.1 to PAGP’s Registration</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Statement on Form S-1 (333-190227) filed July 29, 2013).</w:t>
            </w:r>
          </w:p>
        </w:tc>
      </w:tr>
      <w:tr>
        <w:trPr>
          <w:trHeight w:val="377"/>
        </w:trPr>
        <w:tc>
          <w:tcPr>
            <w:tcW w:w="780" w:type="dxa"/>
            <w:vAlign w:val="bottom"/>
          </w:tcPr>
          <w:p>
            <w:pPr>
              <w:ind w:left="40"/>
              <w:spacing w:after="0"/>
              <w:rPr>
                <w:sz w:val="20"/>
                <w:szCs w:val="20"/>
                <w:color w:val="auto"/>
              </w:rPr>
            </w:pPr>
            <w:r>
              <w:rPr>
                <w:rFonts w:ascii="Arial" w:cs="Arial" w:eastAsia="Arial" w:hAnsi="Arial"/>
                <w:sz w:val="18"/>
                <w:szCs w:val="18"/>
                <w:color w:val="auto"/>
              </w:rPr>
              <w:t>3.15</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Second Amended and Restated Agreement of Limited Partnership of Plains GP Holdings, L.P. dated November 15, 2016</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3.2 to PAGP’s Current Report on Form 8-K filed November 21, 2016).</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40"/>
          </w:cols>
          <w:pgMar w:left="240" w:top="108" w:right="31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627"/>
        </w:trPr>
        <w:tc>
          <w:tcPr>
            <w:tcW w:w="760" w:type="dxa"/>
            <w:vAlign w:val="bottom"/>
          </w:tcPr>
          <w:p>
            <w:pPr>
              <w:ind w:left="40"/>
              <w:spacing w:after="0"/>
              <w:rPr>
                <w:sz w:val="20"/>
                <w:szCs w:val="20"/>
                <w:color w:val="auto"/>
              </w:rPr>
            </w:pPr>
            <w:r>
              <w:rPr>
                <w:rFonts w:ascii="Arial" w:cs="Arial" w:eastAsia="Arial" w:hAnsi="Arial"/>
                <w:sz w:val="18"/>
                <w:szCs w:val="18"/>
                <w:color w:val="auto"/>
              </w:rPr>
              <w:t>3.16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Certificate of Formation of PAA GP Holdings LLC (incorporated by reference to Exhibit 3.3 to PAGP’s Registration Statement on</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Form S-1 (333-190227) filed July 29, 2013).</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3.17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Third Amended and Restated Limited Liability Company Agreement of PAA GP Holdings LLC dated as of February 16, 2017</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 to our Current Report on Form 8-K filed February 21, 2017).</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Association, as trustee (incorporated by reference to Exhibit 4.1 to our Quarterly Report on Form 10-Q for the quarter ended</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September 30, 2002).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as trustee (incorporated by reference to Exhibit 4.1 to our Current Report on Form 8-K filed May 12,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our Current Report on Form 8-K filed September 4,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4.1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4.3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4.10</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15, 2013).</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April 29, 2014).</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40"/>
          </w:cols>
          <w:pgMar w:left="240" w:top="108" w:right="31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60" w:type="dxa"/>
            <w:vAlign w:val="bottom"/>
          </w:tcPr>
          <w:p>
            <w:pPr>
              <w:spacing w:after="0"/>
              <w:rPr>
                <w:sz w:val="17"/>
                <w:szCs w:val="17"/>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r>
        <w:trPr>
          <w:trHeight w:val="627"/>
        </w:trPr>
        <w:tc>
          <w:tcPr>
            <w:tcW w:w="380" w:type="dxa"/>
            <w:vAlign w:val="bottom"/>
          </w:tcPr>
          <w:p>
            <w:pPr>
              <w:ind w:left="40"/>
              <w:spacing w:after="0"/>
              <w:rPr>
                <w:sz w:val="20"/>
                <w:szCs w:val="20"/>
                <w:color w:val="auto"/>
              </w:rPr>
            </w:pPr>
            <w:r>
              <w:rPr>
                <w:rFonts w:ascii="Arial" w:cs="Arial" w:eastAsia="Arial" w:hAnsi="Arial"/>
                <w:sz w:val="18"/>
                <w:szCs w:val="18"/>
                <w:color w:val="auto"/>
                <w:w w:val="91"/>
              </w:rPr>
              <w:t>4.14</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4.15</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Twenty-Seventh Supplemental Indenture (2.60% Senior Notes due 2019) dated December 9, 2014, by and among Plains All</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4.16</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7"/>
              </w:rPr>
              <w:t>Twenty-Eighth Supplemental Indenture (4.90% Senior Notes due 2045) dated December 9, 2014, by and among Plains All</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4.17</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Twenty-Ninth Supplemental Indenture (4.65% Senior Notes due 2025) dated August 24, 2015, by and among Plains All American</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26, 2015).</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4.18</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3"/>
              </w:rPr>
              <w:t>Thirtieth Supplemental Indenture (4.50% Senior Notes due 2026) dated November 22, 2016, by and among Plains All American</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Current Report on Form 8-K filed November 29, 2016).</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4.19</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Registration Rights Agreement dated September 3, 2009 by and between Plains All American Pipeline, L.P. and Vulcan Gas</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9"/>
              </w:rPr>
              <w:t>Storage LLC (incorporated by reference to Exhibit 4.1 to our Registration Statement on Form S-3, File No. 333-162477).</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4.20</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Registration Rights Agreement dated as of January 28, 2016 among Plains All American Pipeline, L.P. and the Purchasers named</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4.21</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Registration Rights Agreement by and among Plains All American Pipeline, L.P. and the Holders defined therein, dated November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15, 2016 (incorporated by reference to Exhibit 10.4 to our Current Report on Form 8-K filed November 21, 2016).</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Form of Director LTIP Grant Letter (February 2017) - Director Grant - Designated Directors and Audit Committee Members (PAA</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Plan) (incorporated by reference to Exhibit 10.1 to our Quarterly Report on Form 10-Q for the quarter ended March 31, 2017).</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Form of Director LTIP Grant Letter (February 2017) - Audit Committee Supplement (PAA Plan)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Exhibit 10.2 to our Quarterly Report on Form 10-Q for the quarter ended March 31, 2017).</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10.3</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Form of Director LTIP Grant Letter (February 2017) - Independent Director Grant (PAA Plan) (incorporated by reference to Exhibit</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10.3 to our Quarterly Report on Form 10-Q for the quarter ended March 31, 2017).</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10.4</w:t>
            </w:r>
          </w:p>
        </w:tc>
        <w:tc>
          <w:tcPr>
            <w:tcW w:w="620" w:type="dxa"/>
            <w:vAlign w:val="bottom"/>
          </w:tcPr>
          <w:p>
            <w:pPr>
              <w:ind w:left="2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Form of LTIP Grant Letter for Officers (July 2017)</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32.2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80"/>
          </w:cols>
          <w:pgMar w:left="240" w:top="108" w:right="27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125" w:right="4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1577975" cy="531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779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July 5, 2017</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 am pleased to inform you that you have been granted [amount] Phantom Units as of the above date pursuant to the Company’s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380" w:lineRule="exact"/>
        <w:rPr>
          <w:sz w:val="20"/>
          <w:szCs w:val="20"/>
          <w:color w:val="auto"/>
        </w:rPr>
      </w:pPr>
    </w:p>
    <w:p>
      <w:pPr>
        <w:ind w:left="1960" w:hanging="1304"/>
        <w:spacing w:after="0" w:line="287" w:lineRule="auto"/>
        <w:tabs>
          <w:tab w:leader="none" w:pos="988" w:val="left"/>
        </w:tabs>
        <w:numPr>
          <w:ilvl w:val="0"/>
          <w:numId w:val="52"/>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on the Partnership’s May 2019 Distribution Date.</w:t>
      </w:r>
    </w:p>
    <w:p>
      <w:pPr>
        <w:spacing w:after="0" w:line="205" w:lineRule="exact"/>
        <w:rPr>
          <w:rFonts w:ascii="Arial" w:cs="Arial" w:eastAsia="Arial" w:hAnsi="Arial"/>
          <w:sz w:val="21"/>
          <w:szCs w:val="21"/>
          <w:color w:val="auto"/>
        </w:rPr>
      </w:pPr>
    </w:p>
    <w:p>
      <w:pPr>
        <w:ind w:left="2100" w:right="20" w:hanging="1444"/>
        <w:spacing w:after="0" w:line="302" w:lineRule="auto"/>
        <w:tabs>
          <w:tab w:leader="none" w:pos="1056"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August 2017 Distribution Date.</w:t>
      </w:r>
    </w:p>
    <w:p>
      <w:pPr>
        <w:spacing w:after="0" w:line="214" w:lineRule="exact"/>
        <w:rPr>
          <w:rFonts w:ascii="Arial" w:cs="Arial" w:eastAsia="Arial" w:hAnsi="Arial"/>
          <w:sz w:val="22"/>
          <w:szCs w:val="22"/>
          <w:color w:val="auto"/>
        </w:rPr>
      </w:pPr>
    </w:p>
    <w:p>
      <w:pPr>
        <w:ind w:left="1040" w:hanging="384"/>
        <w:spacing w:after="0"/>
        <w:tabs>
          <w:tab w:leader="none" w:pos="10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300" w:lineRule="exact"/>
        <w:rPr>
          <w:rFonts w:ascii="Arial" w:cs="Arial" w:eastAsia="Arial" w:hAnsi="Arial"/>
          <w:sz w:val="22"/>
          <w:szCs w:val="22"/>
          <w:color w:val="auto"/>
        </w:rPr>
      </w:pPr>
    </w:p>
    <w:p>
      <w:pPr>
        <w:ind w:left="2120" w:hanging="1464"/>
        <w:spacing w:after="0" w:line="328" w:lineRule="auto"/>
        <w:tabs>
          <w:tab w:leader="none" w:pos="10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shall be proportionately reduced or increased for any split or reverse split, respectively, of the Units, or any event or transaction having a similar effect.</w:t>
      </w:r>
    </w:p>
    <w:p>
      <w:pPr>
        <w:spacing w:after="0" w:line="177" w:lineRule="exact"/>
        <w:rPr>
          <w:rFonts w:ascii="Arial" w:cs="Arial" w:eastAsia="Arial" w:hAnsi="Arial"/>
          <w:sz w:val="21"/>
          <w:szCs w:val="21"/>
          <w:color w:val="auto"/>
        </w:rPr>
      </w:pPr>
    </w:p>
    <w:p>
      <w:pPr>
        <w:ind w:left="2120" w:hanging="1464"/>
        <w:spacing w:after="0" w:line="343" w:lineRule="auto"/>
        <w:tabs>
          <w:tab w:leader="none" w:pos="10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Upon vesting of your Phantom Units, your DERs will expire. Any such DERs that are payable on the Distribution Date on which the Phantom Units vest, shall be payable on such Distribution Date prior to their expiration.</w:t>
      </w:r>
    </w:p>
    <w:p>
      <w:pPr>
        <w:spacing w:after="0" w:line="145" w:lineRule="exact"/>
        <w:rPr>
          <w:rFonts w:ascii="Arial" w:cs="Arial" w:eastAsia="Arial" w:hAnsi="Arial"/>
          <w:sz w:val="19"/>
          <w:szCs w:val="19"/>
          <w:color w:val="auto"/>
        </w:rPr>
      </w:pPr>
    </w:p>
    <w:p>
      <w:pPr>
        <w:ind w:left="2120" w:hanging="1464"/>
        <w:spacing w:after="0" w:line="260" w:lineRule="auto"/>
        <w:tabs>
          <w:tab w:leader="none" w:pos="10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(i) any unvested Phantom Units shall be deemed nonforfeitable on the date of termination, and shall vest on the next following Distribution Date; and (ii) any DERs associated</w:t>
      </w:r>
    </w:p>
    <w:p>
      <w:pPr>
        <w:spacing w:after="0" w:line="211"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080"/>
        <w:spacing w:after="0" w:line="253" w:lineRule="auto"/>
        <w:rPr>
          <w:sz w:val="20"/>
          <w:szCs w:val="20"/>
          <w:color w:val="auto"/>
        </w:rPr>
      </w:pPr>
      <w:r>
        <w:rPr>
          <w:rFonts w:ascii="Arial" w:cs="Arial" w:eastAsia="Arial" w:hAnsi="Arial"/>
          <w:sz w:val="22"/>
          <w:szCs w:val="22"/>
          <w:color w:val="auto"/>
        </w:rPr>
        <w:t>with such unvested, nonforfeitable Phantom Units described in clause (i) immediately preceding shall not be forfeited on the date of termination, but shall vest in accordance with paragraph 2 above and if vested shall be payable and shall expire in accordance with paragraph 5 above.</w:t>
      </w:r>
    </w:p>
    <w:p>
      <w:pPr>
        <w:spacing w:after="0" w:line="240" w:lineRule="exact"/>
        <w:rPr>
          <w:sz w:val="20"/>
          <w:szCs w:val="20"/>
          <w:color w:val="auto"/>
        </w:rPr>
      </w:pPr>
    </w:p>
    <w:p>
      <w:pPr>
        <w:ind w:left="2120" w:hanging="1464"/>
        <w:spacing w:after="0" w:line="334" w:lineRule="auto"/>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5 above). As soon as administratively practicable after the vesting of any Phantom Units pursuant to this paragraph 7, payment will be made in cash in an amount equal to the Market Value of the number of Phantom Units vesting.</w:t>
      </w:r>
    </w:p>
    <w:p>
      <w:pPr>
        <w:spacing w:after="0" w:line="194" w:lineRule="exact"/>
        <w:rPr>
          <w:rFonts w:ascii="Arial" w:cs="Arial" w:eastAsia="Arial" w:hAnsi="Arial"/>
          <w:sz w:val="19"/>
          <w:szCs w:val="19"/>
          <w:color w:val="auto"/>
        </w:rPr>
      </w:pPr>
    </w:p>
    <w:p>
      <w:pPr>
        <w:ind w:left="2120" w:hanging="1464"/>
        <w:spacing w:after="0" w:line="292" w:lineRule="auto"/>
        <w:tabs>
          <w:tab w:leader="none" w:pos="10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11" w:lineRule="exact"/>
        <w:rPr>
          <w:rFonts w:ascii="Arial" w:cs="Arial" w:eastAsia="Arial" w:hAnsi="Arial"/>
          <w:sz w:val="22"/>
          <w:szCs w:val="22"/>
          <w:color w:val="auto"/>
        </w:rPr>
      </w:pPr>
    </w:p>
    <w:p>
      <w:pPr>
        <w:ind w:left="2120" w:hanging="1464"/>
        <w:spacing w:after="0" w:line="250" w:lineRule="auto"/>
        <w:tabs>
          <w:tab w:leader="none" w:pos="10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with the Company as a result of retirement on terms and timing that are approved by the CEO. A termination by you pursuant to</w:t>
      </w:r>
    </w:p>
    <w:p>
      <w:pPr>
        <w:sectPr>
          <w:pgSz w:w="11900" w:h="16838" w:orient="portrait"/>
          <w:cols w:equalWidth="0" w:num="1">
            <w:col w:w="11420"/>
          </w:cols>
          <w:pgMar w:left="240" w:top="145"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8"/>
        <w:spacing w:after="0" w:line="253" w:lineRule="auto"/>
        <w:tabs>
          <w:tab w:leader="none" w:pos="3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pacing w:after="0" w:line="1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ectPr>
          <w:pgSz w:w="11900" w:h="16838" w:orient="portrait"/>
          <w:cols w:equalWidth="0" w:num="1">
            <w:col w:w="11420"/>
          </w:cols>
          <w:pgMar w:left="240" w:top="145"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Sixth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Units: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14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45"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(2)</w:t>
            </w:r>
          </w:p>
        </w:tc>
        <w:tc>
          <w:tcPr>
            <w:tcW w:w="1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3.35x</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4.41x</w:t>
            </w:r>
          </w:p>
        </w:tc>
        <w:tc>
          <w:tcPr>
            <w:tcW w:w="2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0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8" w:lineRule="exact"/>
        <w:rPr>
          <w:sz w:val="20"/>
          <w:szCs w:val="20"/>
          <w:color w:val="auto"/>
        </w:rPr>
      </w:pPr>
    </w:p>
    <w:p>
      <w:pPr>
        <w:ind w:left="660" w:right="260" w:hanging="652"/>
        <w:spacing w:after="0" w:line="245"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34"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lowerRoman"/>
      <w:start w:val="2"/>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6"/>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9"/>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4"/>
    </w:lvl>
    <w:lvl w:ilvl="1">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7"/>
    </w:lvl>
  </w:abstractNum>
  <w:abstractNum w:abstractNumId="53">
    <w:nsid w:val="15B5AF5C"/>
    <w:multiLevelType w:val="hybridMultilevel"/>
    <w:lvl w:ilvl="0">
      <w:lvlJc w:val="left"/>
      <w:lvlText w:val="(%1)"/>
      <w:numFmt w:val="upperLetter"/>
      <w:start w:val="2"/>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lowerRoman"/>
      <w:start w:val="1"/>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2020-01-18T00:08:13Z</dcterms:created>
  <dcterms:modified xsi:type="dcterms:W3CDTF">2020-01-18T00:08:13Z</dcterms:modified>
</cp:coreProperties>
</file>