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PAA GP Holdings LLC</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00"/>
              <w:spacing w:after="0"/>
              <w:rPr>
                <w:sz w:val="20"/>
                <w:szCs w:val="20"/>
                <w:color w:val="auto"/>
              </w:rPr>
            </w:pPr>
            <w:r>
              <w:rPr>
                <w:rFonts w:ascii="Arial" w:cs="Arial" w:eastAsia="Arial" w:hAnsi="Arial"/>
                <w:sz w:val="13"/>
                <w:szCs w:val="13"/>
                <w:color w:val="auto"/>
              </w:rPr>
              <w:t>(First)</w:t>
            </w:r>
          </w:p>
        </w:tc>
        <w:tc>
          <w:tcPr>
            <w:tcW w:w="128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60" w:type="dxa"/>
            <w:vAlign w:val="bottom"/>
            <w:gridSpan w:val="2"/>
          </w:tcPr>
          <w:p>
            <w:pPr>
              <w:spacing w:after="0"/>
              <w:rPr>
                <w:sz w:val="20"/>
                <w:szCs w:val="20"/>
                <w:color w:val="auto"/>
              </w:rPr>
            </w:pPr>
            <w:r>
              <w:rPr>
                <w:rFonts w:ascii="Arial" w:cs="Arial" w:eastAsia="Arial" w:hAnsi="Arial"/>
                <w:sz w:val="17"/>
                <w:szCs w:val="17"/>
                <w:color w:val="0000FF"/>
                <w:w w:val="97"/>
              </w:rPr>
              <w:t>333 CLAY STREET, STE. 1600</w:t>
            </w:r>
          </w:p>
        </w:tc>
        <w:tc>
          <w:tcPr>
            <w:tcW w:w="12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340" w:type="dxa"/>
            <w:vAlign w:val="bottom"/>
          </w:tcPr>
          <w:p>
            <w:pPr>
              <w:ind w:left="200"/>
              <w:spacing w:after="0"/>
              <w:rPr>
                <w:sz w:val="20"/>
                <w:szCs w:val="20"/>
                <w:color w:val="auto"/>
              </w:rPr>
            </w:pPr>
            <w:r>
              <w:rPr>
                <w:rFonts w:ascii="Arial" w:cs="Arial" w:eastAsia="Arial" w:hAnsi="Arial"/>
                <w:sz w:val="17"/>
                <w:szCs w:val="17"/>
                <w:color w:val="0000FF"/>
              </w:rPr>
              <w:t>TX</w:t>
            </w:r>
          </w:p>
        </w:tc>
        <w:tc>
          <w:tcPr>
            <w:tcW w:w="1280" w:type="dxa"/>
            <w:vAlign w:val="bottom"/>
          </w:tcPr>
          <w:p>
            <w:pPr>
              <w:ind w:left="80"/>
              <w:spacing w:after="0"/>
              <w:rPr>
                <w:sz w:val="20"/>
                <w:szCs w:val="20"/>
                <w:color w:val="auto"/>
              </w:rPr>
            </w:pPr>
            <w:r>
              <w:rPr>
                <w:rFonts w:ascii="Arial" w:cs="Arial" w:eastAsia="Arial" w:hAnsi="Arial"/>
                <w:sz w:val="17"/>
                <w:szCs w:val="17"/>
                <w:color w:val="0000FF"/>
              </w:rPr>
              <w:t>77002</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00"/>
              <w:spacing w:after="0"/>
              <w:rPr>
                <w:sz w:val="20"/>
                <w:szCs w:val="20"/>
                <w:color w:val="auto"/>
              </w:rPr>
            </w:pPr>
            <w:r>
              <w:rPr>
                <w:rFonts w:ascii="Arial" w:cs="Arial" w:eastAsia="Arial" w:hAnsi="Arial"/>
                <w:sz w:val="13"/>
                <w:szCs w:val="13"/>
                <w:color w:val="auto"/>
              </w:rPr>
              <w:t>(State)</w:t>
            </w:r>
          </w:p>
        </w:tc>
        <w:tc>
          <w:tcPr>
            <w:tcW w:w="128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jc w:val="right"/>
              <w:spacing w:after="0"/>
              <w:rPr>
                <w:sz w:val="20"/>
                <w:szCs w:val="20"/>
                <w:color w:val="auto"/>
              </w:rPr>
            </w:pPr>
            <w:r>
              <w:rPr>
                <w:rFonts w:ascii="Arial" w:cs="Arial" w:eastAsia="Arial" w:hAnsi="Arial"/>
                <w:sz w:val="13"/>
                <w:szCs w:val="13"/>
                <w:color w:val="auto"/>
              </w:rPr>
              <w:t>5.</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440" w:type="dxa"/>
            <w:vAlign w:val="bottom"/>
            <w:gridSpan w:val="6"/>
          </w:tcPr>
          <w:p>
            <w:pPr>
              <w:spacing w:after="0" w:line="207" w:lineRule="exact"/>
              <w:rPr>
                <w:rFonts w:ascii="Arial" w:cs="Arial" w:eastAsia="Arial" w:hAnsi="Arial"/>
                <w:sz w:val="20"/>
                <w:szCs w:val="20"/>
                <w:color w:val="0000EE"/>
              </w:rPr>
            </w:pPr>
            <w:hyperlink r:id="rId13">
              <w:r>
                <w:rPr>
                  <w:rFonts w:ascii="Arial" w:cs="Arial" w:eastAsia="Arial" w:hAnsi="Arial"/>
                  <w:sz w:val="20"/>
                  <w:szCs w:val="20"/>
                  <w:color w:val="0000EE"/>
                </w:rPr>
                <w:t xml:space="preserve">PLAINS ALL AMERICAN PIPELINE LP  </w:t>
              </w:r>
            </w:hyperlink>
            <w:r>
              <w:rPr>
                <w:rFonts w:ascii="Arial" w:cs="Arial" w:eastAsia="Arial" w:hAnsi="Arial"/>
                <w:sz w:val="24"/>
                <w:szCs w:val="24"/>
                <w:color w:val="000000"/>
                <w:vertAlign w:val="superscript"/>
              </w:rPr>
              <w:t>(Check</w:t>
            </w:r>
            <w:r>
              <w:rPr>
                <w:rFonts w:ascii="Arial" w:cs="Arial" w:eastAsia="Arial" w:hAnsi="Arial"/>
                <w:sz w:val="20"/>
                <w:szCs w:val="20"/>
                <w:color w:val="0000EE"/>
              </w:rPr>
              <w:t xml:space="preserve"> </w:t>
            </w:r>
            <w:r>
              <w:rPr>
                <w:rFonts w:ascii="Arial" w:cs="Arial" w:eastAsia="Arial" w:hAnsi="Arial"/>
                <w:sz w:val="24"/>
                <w:szCs w:val="24"/>
                <w:color w:val="000000"/>
                <w:vertAlign w:val="superscript"/>
              </w:rPr>
              <w:t>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3680" w:type="dxa"/>
            <w:vAlign w:val="bottom"/>
            <w:gridSpan w:val="2"/>
            <w:shd w:val="clear" w:color="auto" w:fill="0000EE"/>
          </w:tcPr>
          <w:p>
            <w:pPr>
              <w:spacing w:after="0" w:line="27" w:lineRule="exact"/>
              <w:rPr>
                <w:rFonts w:ascii="Arial" w:cs="Arial" w:eastAsia="Arial" w:hAnsi="Arial"/>
                <w:sz w:val="3"/>
                <w:szCs w:val="3"/>
                <w:color w:val="auto"/>
              </w:rPr>
            </w:pPr>
            <w:hyperlink r:id="rId13">
              <w:r>
                <w:rPr>
                  <w:rFonts w:ascii="Arial" w:cs="Arial" w:eastAsia="Arial" w:hAnsi="Arial"/>
                  <w:sz w:val="3"/>
                  <w:szCs w:val="3"/>
                  <w:color w:val="auto"/>
                </w:rPr>
                <w:t xml:space="preserve">[ </w:t>
              </w:r>
              <w:r>
                <w:rPr>
                  <w:rFonts w:ascii="Arial" w:cs="Arial" w:eastAsia="Arial" w:hAnsi="Arial"/>
                  <w:sz w:val="3"/>
                  <w:szCs w:val="3"/>
                  <w:color w:val="0000FF"/>
                </w:rPr>
                <w:t>PAA</w:t>
              </w:r>
              <w:r>
                <w:rPr>
                  <w:rFonts w:ascii="Arial" w:cs="Arial" w:eastAsia="Arial" w:hAnsi="Arial"/>
                  <w:sz w:val="3"/>
                  <w:szCs w:val="3"/>
                  <w:color w:val="auto"/>
                </w:rPr>
                <w:t xml:space="preserve"> ]</w:t>
              </w:r>
            </w:hyperlink>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ind w:left="80"/>
              <w:spacing w:after="0" w:line="27" w:lineRule="exact"/>
              <w:rPr>
                <w:sz w:val="20"/>
                <w:szCs w:val="20"/>
                <w:color w:val="auto"/>
              </w:rPr>
            </w:pPr>
            <w:r>
              <w:rPr>
                <w:rFonts w:ascii="Arial" w:cs="Arial" w:eastAsia="Arial" w:hAnsi="Arial"/>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Arial" w:cs="Arial" w:eastAsia="Arial" w:hAnsi="Arial"/>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60"/>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9"/>
                <w:szCs w:val="19"/>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4"/>
                <w:szCs w:val="4"/>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3"/>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0" w:type="dxa"/>
            <w:vAlign w:val="bottom"/>
            <w:gridSpan w:val="2"/>
            <w:vMerge w:val="continue"/>
          </w:tcPr>
          <w:p>
            <w:pPr>
              <w:spacing w:after="0"/>
              <w:rPr>
                <w:sz w:val="8"/>
                <w:szCs w:val="8"/>
                <w:color w:val="auto"/>
              </w:rPr>
            </w:pPr>
          </w:p>
        </w:tc>
        <w:tc>
          <w:tcPr>
            <w:tcW w:w="3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3760" w:type="dxa"/>
            <w:vAlign w:val="bottom"/>
            <w:gridSpan w:val="3"/>
          </w:tcPr>
          <w:p>
            <w:pPr>
              <w:ind w:left="80"/>
              <w:spacing w:after="0"/>
              <w:rPr>
                <w:sz w:val="20"/>
                <w:szCs w:val="20"/>
                <w:color w:val="auto"/>
              </w:rPr>
            </w:pPr>
            <w:r>
              <w:rPr>
                <w:rFonts w:ascii="Arial" w:cs="Arial" w:eastAsia="Arial" w:hAnsi="Arial"/>
                <w:sz w:val="17"/>
                <w:szCs w:val="17"/>
                <w:color w:val="0000FF"/>
              </w:rPr>
              <w:t>03/13/2020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5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jc w:val="right"/>
              <w:spacing w:after="0"/>
              <w:rPr>
                <w:sz w:val="20"/>
                <w:szCs w:val="20"/>
                <w:color w:val="auto"/>
              </w:rPr>
            </w:pPr>
            <w:r>
              <w:rPr>
                <w:rFonts w:ascii="Arial" w:cs="Arial" w:eastAsia="Arial" w:hAnsi="Arial"/>
                <w:sz w:val="13"/>
                <w:szCs w:val="13"/>
                <w:color w:val="auto"/>
              </w:rPr>
              <w:t>6.</w:t>
            </w:r>
          </w:p>
        </w:tc>
        <w:tc>
          <w:tcPr>
            <w:tcW w:w="3100" w:type="dxa"/>
            <w:vAlign w:val="bottom"/>
            <w:gridSpan w:val="4"/>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37" w:lineRule="exact"/>
        <w:rPr>
          <w:sz w:val="20"/>
          <w:szCs w:val="20"/>
          <w:color w:val="auto"/>
        </w:rPr>
      </w:pPr>
    </w:p>
    <w:tbl>
      <w:tblPr>
        <w:tblLayout w:type="fixed"/>
        <w:tblInd w:w="41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7" w:lineRule="exact"/>
        <w:rPr>
          <w:sz w:val="20"/>
          <w:szCs w:val="20"/>
          <w:color w:val="auto"/>
        </w:rPr>
      </w:pPr>
    </w:p>
    <w:p>
      <w:pPr>
        <w:sectPr>
          <w:pgSz w:w="11900" w:h="16838" w:orient="portrait"/>
          <w:cols w:equalWidth="0" w:num="2">
            <w:col w:w="3760" w:space="80"/>
            <w:col w:w="72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52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54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8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0" w:type="dxa"/>
            <w:vAlign w:val="bottom"/>
            <w:gridSpan w:val="9"/>
            <w:vMerge w:val="restart"/>
          </w:tcPr>
          <w:p>
            <w:pPr>
              <w:ind w:left="60"/>
              <w:spacing w:after="0"/>
              <w:rPr>
                <w:sz w:val="20"/>
                <w:szCs w:val="20"/>
                <w:color w:val="auto"/>
              </w:rPr>
            </w:pPr>
            <w:r>
              <w:rPr>
                <w:rFonts w:ascii="Arial" w:cs="Arial" w:eastAsia="Arial" w:hAnsi="Arial"/>
                <w:sz w:val="17"/>
                <w:szCs w:val="17"/>
                <w:color w:val="0000FF"/>
                <w:w w:val="99"/>
              </w:rPr>
              <w:t>Common Units (Limited Partner Interests)   03/13/2020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vMerge w:val="restart"/>
          </w:tcPr>
          <w:p>
            <w:pPr>
              <w:ind w:left="80"/>
              <w:spacing w:after="0"/>
              <w:rPr>
                <w:sz w:val="20"/>
                <w:szCs w:val="20"/>
                <w:color w:val="auto"/>
              </w:rPr>
            </w:pPr>
            <w:r>
              <w:rPr>
                <w:rFonts w:ascii="Arial" w:cs="Arial" w:eastAsia="Arial" w:hAnsi="Arial"/>
                <w:sz w:val="26"/>
                <w:szCs w:val="26"/>
                <w:color w:val="0000FF"/>
                <w:vertAlign w:val="subscript"/>
              </w:rPr>
              <w:t>J</w:t>
            </w:r>
            <w:r>
              <w:rPr>
                <w:rFonts w:ascii="Arial" w:cs="Arial" w:eastAsia="Arial" w:hAnsi="Arial"/>
                <w:sz w:val="11"/>
                <w:szCs w:val="11"/>
                <w:color w:val="008000"/>
              </w:rPr>
              <w:t>(1)(2)</w:t>
            </w:r>
          </w:p>
        </w:tc>
        <w:tc>
          <w:tcPr>
            <w:tcW w:w="720" w:type="dxa"/>
            <w:vAlign w:val="bottom"/>
            <w:vMerge w:val="restart"/>
          </w:tcPr>
          <w:p>
            <w:pPr>
              <w:ind w:left="180"/>
              <w:spacing w:after="0"/>
              <w:rPr>
                <w:sz w:val="20"/>
                <w:szCs w:val="20"/>
                <w:color w:val="auto"/>
              </w:rPr>
            </w:pPr>
            <w:r>
              <w:rPr>
                <w:rFonts w:ascii="Arial" w:cs="Arial" w:eastAsia="Arial" w:hAnsi="Arial"/>
                <w:sz w:val="17"/>
                <w:szCs w:val="17"/>
                <w:color w:val="0000FF"/>
                <w:w w:val="99"/>
              </w:rPr>
              <w:t>87,894</w:t>
            </w:r>
          </w:p>
        </w:tc>
        <w:tc>
          <w:tcPr>
            <w:tcW w:w="440" w:type="dxa"/>
            <w:vAlign w:val="bottom"/>
            <w:vMerge w:val="restart"/>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18"/>
                <w:szCs w:val="18"/>
                <w:color w:val="auto"/>
              </w:rPr>
            </w:pPr>
          </w:p>
        </w:tc>
        <w:tc>
          <w:tcPr>
            <w:tcW w:w="580" w:type="dxa"/>
            <w:vAlign w:val="bottom"/>
            <w:gridSpan w:val="3"/>
            <w:vMerge w:val="restart"/>
          </w:tcPr>
          <w:p>
            <w:pPr>
              <w:jc w:val="right"/>
              <w:ind w:right="40"/>
              <w:spacing w:after="0" w:line="382" w:lineRule="exact"/>
              <w:rPr>
                <w:sz w:val="20"/>
                <w:szCs w:val="20"/>
                <w:color w:val="auto"/>
              </w:rPr>
            </w:pPr>
            <w:r>
              <w:rPr>
                <w:rFonts w:ascii="Arial" w:cs="Arial" w:eastAsia="Arial" w:hAnsi="Arial"/>
                <w:sz w:val="34"/>
                <w:szCs w:val="34"/>
                <w:color w:val="000000"/>
                <w:w w:val="88"/>
                <w:vertAlign w:val="subscript"/>
              </w:rPr>
              <w:t>$</w:t>
            </w:r>
            <w:r>
              <w:rPr>
                <w:rFonts w:ascii="Arial" w:cs="Arial" w:eastAsia="Arial" w:hAnsi="Arial"/>
                <w:sz w:val="34"/>
                <w:szCs w:val="34"/>
                <w:color w:val="0000FF"/>
                <w:w w:val="88"/>
                <w:vertAlign w:val="subscript"/>
              </w:rPr>
              <w:t>0</w:t>
            </w:r>
            <w:r>
              <w:rPr>
                <w:rFonts w:ascii="Arial" w:cs="Arial" w:eastAsia="Arial" w:hAnsi="Arial"/>
                <w:sz w:val="11"/>
                <w:szCs w:val="11"/>
                <w:color w:val="008000"/>
                <w:w w:val="88"/>
              </w:rPr>
              <w:t>(1)(2)</w:t>
            </w:r>
          </w:p>
        </w:tc>
        <w:tc>
          <w:tcPr>
            <w:tcW w:w="1220" w:type="dxa"/>
            <w:vAlign w:val="bottom"/>
            <w:gridSpan w:val="2"/>
            <w:vMerge w:val="restart"/>
          </w:tcPr>
          <w:p>
            <w:pPr>
              <w:ind w:left="160"/>
              <w:spacing w:after="0"/>
              <w:rPr>
                <w:sz w:val="20"/>
                <w:szCs w:val="20"/>
                <w:color w:val="auto"/>
              </w:rPr>
            </w:pPr>
            <w:r>
              <w:rPr>
                <w:rFonts w:ascii="Arial" w:cs="Arial" w:eastAsia="Arial" w:hAnsi="Arial"/>
                <w:sz w:val="17"/>
                <w:szCs w:val="17"/>
                <w:color w:val="0000FF"/>
              </w:rPr>
              <w:t>248,436,268</w:t>
            </w:r>
          </w:p>
        </w:tc>
        <w:tc>
          <w:tcPr>
            <w:tcW w:w="940" w:type="dxa"/>
            <w:vAlign w:val="bottom"/>
            <w:vMerge w:val="restart"/>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Plains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200" w:type="dxa"/>
            <w:vAlign w:val="bottom"/>
            <w:gridSpan w:val="9"/>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AAP,</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322"/>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L.P.</w:t>
            </w:r>
            <w:r>
              <w:rPr>
                <w:rFonts w:ascii="Arial" w:cs="Arial" w:eastAsia="Arial" w:hAnsi="Arial"/>
                <w:sz w:val="22"/>
                <w:szCs w:val="22"/>
                <w:color w:val="008000"/>
                <w:vertAlign w:val="superscript"/>
              </w:rPr>
              <w:t>(3)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160" w:type="dxa"/>
            <w:vAlign w:val="bottom"/>
            <w:gridSpan w:val="18"/>
          </w:tcPr>
          <w:p>
            <w:pPr>
              <w:ind w:left="2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4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40" w:type="dxa"/>
            <w:vAlign w:val="bottom"/>
          </w:tcPr>
          <w:p>
            <w:pPr>
              <w:spacing w:after="0"/>
              <w:rPr>
                <w:sz w:val="11"/>
                <w:szCs w:val="11"/>
                <w:color w:val="auto"/>
              </w:rPr>
            </w:pPr>
          </w:p>
        </w:tc>
        <w:tc>
          <w:tcPr>
            <w:tcW w:w="11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7"/>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PAA GP Holdings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333 CLAY STREET, STE.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4"/>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Plains AAP, L.P.</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6"/>
          </w:tcPr>
          <w:p>
            <w:pPr>
              <w:spacing w:after="0"/>
              <w:rPr>
                <w:sz w:val="20"/>
                <w:szCs w:val="20"/>
                <w:color w:val="auto"/>
              </w:rPr>
            </w:pPr>
            <w:r>
              <w:rPr>
                <w:rFonts w:ascii="Arial" w:cs="Arial" w:eastAsia="Arial" w:hAnsi="Arial"/>
                <w:sz w:val="17"/>
                <w:szCs w:val="17"/>
                <w:color w:val="0000FF"/>
              </w:rPr>
              <w:t>333 CLAY STREET, SUITE 1600</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HOUSTON</w:t>
            </w:r>
          </w:p>
        </w:tc>
        <w:tc>
          <w:tcPr>
            <w:tcW w:w="1180" w:type="dxa"/>
            <w:vAlign w:val="bottom"/>
            <w:gridSpan w:val="4"/>
          </w:tcPr>
          <w:p>
            <w:pPr>
              <w:ind w:left="20"/>
              <w:spacing w:after="0"/>
              <w:rPr>
                <w:sz w:val="20"/>
                <w:szCs w:val="20"/>
                <w:color w:val="auto"/>
              </w:rPr>
            </w:pPr>
            <w:r>
              <w:rPr>
                <w:rFonts w:ascii="Arial" w:cs="Arial" w:eastAsia="Arial" w:hAnsi="Arial"/>
                <w:sz w:val="17"/>
                <w:szCs w:val="17"/>
                <w:color w:val="0000FF"/>
              </w:rPr>
              <w:t>TX</w:t>
            </w:r>
          </w:p>
        </w:tc>
        <w:tc>
          <w:tcPr>
            <w:tcW w:w="1100" w:type="dxa"/>
            <w:vAlign w:val="bottom"/>
          </w:tcPr>
          <w:p>
            <w:pPr>
              <w:ind w:left="240"/>
              <w:spacing w:after="0"/>
              <w:rPr>
                <w:sz w:val="20"/>
                <w:szCs w:val="20"/>
                <w:color w:val="auto"/>
              </w:rPr>
            </w:pPr>
            <w:r>
              <w:rPr>
                <w:rFonts w:ascii="Arial" w:cs="Arial" w:eastAsia="Arial" w:hAnsi="Arial"/>
                <w:sz w:val="17"/>
                <w:szCs w:val="17"/>
                <w:color w:val="0000FF"/>
              </w:rPr>
              <w:t>77002</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gridSpan w:val="3"/>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tcPr>
          <w:p>
            <w:pPr>
              <w:spacing w:after="0" w:line="221" w:lineRule="exact"/>
              <w:rPr>
                <w:rFonts w:ascii="Arial" w:cs="Arial" w:eastAsia="Arial" w:hAnsi="Arial"/>
                <w:sz w:val="21"/>
                <w:szCs w:val="21"/>
                <w:color w:val="0000EE"/>
                <w:w w:val="97"/>
              </w:rPr>
            </w:pPr>
            <w:hyperlink r:id="rId15">
              <w:r>
                <w:rPr>
                  <w:rFonts w:ascii="Arial" w:cs="Arial" w:eastAsia="Arial" w:hAnsi="Arial"/>
                  <w:sz w:val="21"/>
                  <w:szCs w:val="21"/>
                  <w:color w:val="0000EE"/>
                  <w:w w:val="97"/>
                </w:rPr>
                <w:t>Plains All American GP LLC</w:t>
              </w:r>
            </w:hyperlink>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4"/>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-5749290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25" w:right="359" w:bottom="0" w:gutter="0" w:footer="0" w:header="0"/>
          <w:type w:val="continuous"/>
        </w:sectPr>
      </w:pPr>
    </w:p>
    <w:p>
      <w:pPr>
        <w:spacing w:after="0" w:line="58" w:lineRule="exact"/>
        <w:rPr>
          <w:sz w:val="20"/>
          <w:szCs w:val="20"/>
          <w:color w:val="auto"/>
        </w:rPr>
      </w:pPr>
    </w:p>
    <w:p>
      <w:pPr>
        <w:ind w:left="120"/>
        <w:spacing w:after="0"/>
        <w:rPr>
          <w:sz w:val="20"/>
          <w:szCs w:val="20"/>
          <w:color w:val="auto"/>
        </w:rPr>
      </w:pPr>
      <w:r>
        <w:rPr>
          <w:rFonts w:ascii="Arial" w:cs="Arial" w:eastAsia="Arial" w:hAnsi="Arial"/>
          <w:sz w:val="16"/>
          <w:szCs w:val="16"/>
          <w:color w:val="0000FF"/>
        </w:rPr>
        <w:t>333 CLAY STREET, SUITE 1600</w:t>
      </w:r>
    </w:p>
    <w:p>
      <w:pPr>
        <w:sectPr>
          <w:pgSz w:w="11900" w:h="16838" w:orient="portrait"/>
          <w:cols w:equalWidth="0" w:num="1">
            <w:col w:w="11080"/>
          </w:cols>
          <w:pgMar w:left="460" w:top="225"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0"/>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400" w:type="dxa"/>
            <w:vAlign w:val="bottom"/>
          </w:tcPr>
          <w:p>
            <w:pPr>
              <w:ind w:left="28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620" w:type="dxa"/>
            <w:vAlign w:val="bottom"/>
            <w:gridSpan w:val="3"/>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520" w:type="dxa"/>
            <w:vAlign w:val="bottom"/>
            <w:tcBorders>
              <w:bottom w:val="single" w:sz="8" w:color="0000EE"/>
            </w:tcBorders>
            <w:gridSpan w:val="2"/>
          </w:tcPr>
          <w:p>
            <w:pPr>
              <w:spacing w:after="0" w:line="221" w:lineRule="exact"/>
              <w:rPr>
                <w:rFonts w:ascii="Arial" w:cs="Arial" w:eastAsia="Arial" w:hAnsi="Arial"/>
                <w:sz w:val="21"/>
                <w:szCs w:val="21"/>
                <w:color w:val="0000EE"/>
                <w:w w:val="96"/>
              </w:rPr>
            </w:pPr>
            <w:hyperlink r:id="rId17">
              <w:r>
                <w:rPr>
                  <w:rFonts w:ascii="Arial" w:cs="Arial" w:eastAsia="Arial" w:hAnsi="Arial"/>
                  <w:sz w:val="21"/>
                  <w:szCs w:val="21"/>
                  <w:color w:val="0000EE"/>
                  <w:w w:val="96"/>
                </w:rPr>
                <w:t>PLAINS GP HOLDINGS LP</w:t>
              </w:r>
            </w:hyperlink>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400" w:type="dxa"/>
            <w:vAlign w:val="bottom"/>
            <w:tcBorders>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400" w:type="dxa"/>
            <w:vAlign w:val="bottom"/>
          </w:tcPr>
          <w:p>
            <w:pPr>
              <w:ind w:left="280"/>
              <w:spacing w:after="0"/>
              <w:rPr>
                <w:sz w:val="20"/>
                <w:szCs w:val="20"/>
                <w:color w:val="auto"/>
              </w:rPr>
            </w:pPr>
            <w:r>
              <w:rPr>
                <w:rFonts w:ascii="Arial" w:cs="Arial" w:eastAsia="Arial" w:hAnsi="Arial"/>
                <w:sz w:val="13"/>
                <w:szCs w:val="13"/>
                <w:color w:val="auto"/>
              </w:rPr>
              <w:t>(First)</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7"/>
                <w:szCs w:val="17"/>
                <w:color w:val="0000FF"/>
              </w:rPr>
              <w:t>333 CLAY ST., SUITE 1600</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16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40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HOUSTON</w:t>
            </w:r>
          </w:p>
        </w:tc>
        <w:tc>
          <w:tcPr>
            <w:tcW w:w="1400" w:type="dxa"/>
            <w:vAlign w:val="bottom"/>
          </w:tcPr>
          <w:p>
            <w:pPr>
              <w:ind w:left="280"/>
              <w:spacing w:after="0"/>
              <w:rPr>
                <w:sz w:val="20"/>
                <w:szCs w:val="20"/>
                <w:color w:val="auto"/>
              </w:rPr>
            </w:pPr>
            <w:r>
              <w:rPr>
                <w:rFonts w:ascii="Arial" w:cs="Arial" w:eastAsia="Arial" w:hAnsi="Arial"/>
                <w:sz w:val="17"/>
                <w:szCs w:val="17"/>
                <w:color w:val="0000FF"/>
              </w:rPr>
              <w:t>TX</w:t>
            </w:r>
          </w:p>
        </w:tc>
        <w:tc>
          <w:tcPr>
            <w:tcW w:w="1640" w:type="dxa"/>
            <w:vAlign w:val="bottom"/>
          </w:tcPr>
          <w:p>
            <w:pPr>
              <w:ind w:left="280"/>
              <w:spacing w:after="0"/>
              <w:rPr>
                <w:sz w:val="20"/>
                <w:szCs w:val="20"/>
                <w:color w:val="auto"/>
              </w:rPr>
            </w:pPr>
            <w:r>
              <w:rPr>
                <w:rFonts w:ascii="Arial" w:cs="Arial" w:eastAsia="Arial" w:hAnsi="Arial"/>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400" w:type="dxa"/>
            <w:vAlign w:val="bottom"/>
          </w:tcPr>
          <w:p>
            <w:pPr>
              <w:ind w:left="280"/>
              <w:spacing w:after="0"/>
              <w:rPr>
                <w:sz w:val="20"/>
                <w:szCs w:val="20"/>
                <w:color w:val="auto"/>
              </w:rPr>
            </w:pPr>
            <w:r>
              <w:rPr>
                <w:rFonts w:ascii="Arial" w:cs="Arial" w:eastAsia="Arial" w:hAnsi="Arial"/>
                <w:sz w:val="13"/>
                <w:szCs w:val="13"/>
                <w:color w:val="auto"/>
              </w:rPr>
              <w:t>(State)</w:t>
            </w:r>
          </w:p>
        </w:tc>
        <w:tc>
          <w:tcPr>
            <w:tcW w:w="1740" w:type="dxa"/>
            <w:vAlign w:val="bottom"/>
            <w:gridSpan w:val="2"/>
          </w:tcPr>
          <w:p>
            <w:pPr>
              <w:ind w:left="28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22891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09240" cy="22891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20" w:firstLine="7"/>
        <w:spacing w:after="0" w:line="245"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Pursuant to the limited partnership agreement of Plains AAP, L.P. ("AAP"), each limited partner of AAP, other than Plains GP Holdings, L.P. ("PAGP") and Plains All American GP LLC ("GP LLC"), has the right, from time to time, to cause AAP to redeem and cancel such partner's AAP Class A units in exchange for the distribution of an equal number of common units representing limited partner interests ("Common Units") of Plains All American Pipeline, L.P. ("PAA") held by AAP (the "Redemption Right"). In connection with the exercise of a Redemption Right, such limited partner must also surrender to PAGP an equal number of Class B shares of PAGP and Company Units of PAA GP Holdings LLC ("PAGP GP").</w:t>
      </w:r>
    </w:p>
    <w:p>
      <w:pPr>
        <w:spacing w:after="0" w:line="29" w:lineRule="exact"/>
        <w:rPr>
          <w:rFonts w:ascii="Arial" w:cs="Arial" w:eastAsia="Arial" w:hAnsi="Arial"/>
          <w:sz w:val="13"/>
          <w:szCs w:val="13"/>
          <w:color w:val="008000"/>
        </w:rPr>
      </w:pPr>
    </w:p>
    <w:p>
      <w:pPr>
        <w:ind w:left="20" w:firstLine="7"/>
        <w:spacing w:after="0" w:line="266" w:lineRule="auto"/>
        <w:tabs>
          <w:tab w:leader="none" w:pos="15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Effective March 13, 2020, a limited partner of AAP exercised its Redemption Right with respect to 87,894 Class A units, resulting in the cancellation of such AAP Class A units and the distribution of 87,894 Common Units from AAP to the redeeming partner.</w:t>
      </w:r>
    </w:p>
    <w:p>
      <w:pPr>
        <w:spacing w:after="0" w:line="15" w:lineRule="exact"/>
        <w:rPr>
          <w:rFonts w:ascii="Arial" w:cs="Arial" w:eastAsia="Arial" w:hAnsi="Arial"/>
          <w:sz w:val="13"/>
          <w:szCs w:val="13"/>
          <w:color w:val="008000"/>
        </w:rPr>
      </w:pPr>
    </w:p>
    <w:p>
      <w:pPr>
        <w:ind w:left="20" w:right="440" w:firstLine="7"/>
        <w:spacing w:after="0" w:line="292" w:lineRule="auto"/>
        <w:tabs>
          <w:tab w:leader="none" w:pos="15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PAGP GP is the general partner of PAGP, which is the managing member of GP LLC, which is the general partner of AAP. Each of PAGP GP, PAGP and GP LLC may be deemed to indirectly beneficially own the Common Units directly held by AAP, but disclaim beneficial ownership of such Common Units except to the extent of their respective pecuniary interests therein.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Ann F. Gullion, Assistant</w:t>
            </w:r>
          </w:p>
        </w:tc>
        <w:tc>
          <w:tcPr>
            <w:tcW w:w="120" w:type="dxa"/>
            <w:vAlign w:val="bottom"/>
          </w:tcPr>
          <w:p>
            <w:pPr>
              <w:spacing w:after="0"/>
              <w:rPr>
                <w:sz w:val="16"/>
                <w:szCs w:val="16"/>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03/16/2020</w:t>
            </w:r>
          </w:p>
        </w:tc>
        <w:tc>
          <w:tcPr>
            <w:tcW w:w="0" w:type="dxa"/>
            <w:vAlign w:val="bottom"/>
          </w:tcPr>
          <w:p>
            <w:pPr>
              <w:spacing w:after="0"/>
              <w:rPr>
                <w:sz w:val="1"/>
                <w:szCs w:val="1"/>
                <w:color w:val="auto"/>
              </w:rPr>
            </w:pPr>
          </w:p>
        </w:tc>
      </w:tr>
      <w:tr>
        <w:trPr>
          <w:trHeight w:val="87"/>
        </w:trPr>
        <w:tc>
          <w:tcPr>
            <w:tcW w:w="21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Secretary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19"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480" w:top="140"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2" Type="http://schemas.openxmlformats.org/officeDocument/2006/relationships/hyperlink" Target="http://www.sec.gov/cgi-bin/browse-edgar?action=getcompany&amp;CIK=0001581928" TargetMode="External"/><Relationship Id="rId13" Type="http://schemas.openxmlformats.org/officeDocument/2006/relationships/hyperlink" Target="http://www.sec.gov/cgi-bin/browse-edgar?action=getcompany&amp;CIK=0001070423" TargetMode="External"/><Relationship Id="rId14" Type="http://schemas.openxmlformats.org/officeDocument/2006/relationships/hyperlink" Target="http://www.sec.gov/cgi-bin/browse-edgar?action=getcompany&amp;CIK=0001490401" TargetMode="External"/><Relationship Id="rId15" Type="http://schemas.openxmlformats.org/officeDocument/2006/relationships/hyperlink" Target="http://www.sec.gov/cgi-bin/browse-edgar?action=getcompany&amp;CIK=0001490402" TargetMode="External"/><Relationship Id="rId17" Type="http://schemas.openxmlformats.org/officeDocument/2006/relationships/hyperlink" Target="http://www.sec.gov/cgi-bin/browse-edgar?action=getcompany&amp;CIK=00015819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2020-03-16T17:25:43Z</dcterms:created>
  <dcterms:modified xsi:type="dcterms:W3CDTF">2020-03-16T17:25:43Z</dcterms:modified>
</cp:coreProperties>
</file>