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2726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McGee Richard K.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1600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HOUSTON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General Counsel &amp; Sec.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112,227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16,780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95,447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05/15/2015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Total does not include a fractional share that was disposed of for cash when reporting person transferred units from one account to another.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1-for-1 Common Units for Phantom Units granted under long-term incentive plan.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N/A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Richard K. McGee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05/19/2015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-3286125</wp:posOffset>
            </wp:positionV>
            <wp:extent cx="24765" cy="2020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20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0023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2020-01-22T08:38:35Z</dcterms:created>
  <dcterms:modified xsi:type="dcterms:W3CDTF">2020-01-22T08:38:35Z</dcterms:modified>
</cp:coreProperties>
</file>