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July 10,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220"/>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4"/>
          <w:szCs w:val="24"/>
          <w:color w:val="auto"/>
        </w:rPr>
      </w:pPr>
    </w:p>
    <w:p>
      <w:pPr>
        <w:ind w:firstLine="441"/>
        <w:spacing w:after="0" w:line="254" w:lineRule="auto"/>
        <w:rPr>
          <w:sz w:val="20"/>
          <w:szCs w:val="20"/>
          <w:color w:val="auto"/>
        </w:rPr>
      </w:pPr>
      <w:r>
        <w:rPr>
          <w:rFonts w:ascii="Arial" w:cs="Arial" w:eastAsia="Arial" w:hAnsi="Arial"/>
          <w:sz w:val="18"/>
          <w:szCs w:val="18"/>
          <w:color w:val="auto"/>
        </w:rPr>
        <w:t>On July 11, 2016, Plains All American Pipeline, L.P. (“PAA”) entered into a Simplification Agreement (the “Simplification Agreement”) by and among PAA, PAA GP Holdings LLC (“GP Holdings”), Plains GP Holdings, L.P. (“PAGP”), Plains All American GP LLC (“GP LLC”), Plains AAP, L.P. (“AAP”) and PAA GP LLC (the “General Partner” and together with PAA, GP Holdings, PAGP, GP LLC and AAP, the “Parties”). Pursuant to the Simplification Agreement, upon closing, in exchange for the issuance by PAA to AAP of approximately 245.5 million common units representing limited partner interests in PAA (“PAA Common Units”) and the assumption of AAP’s outstanding debt (currently, approximately $593 million), AAP will contribute to PAA the incentive distribution rights it owns in PAA and PAA GP’s 2% economic general partner interest in PAA will be converted into a non-economic general partner interest in PAA. Following the closing of the transactions contemplated by the Simplification Agreement (the “Simplification Transactions”), both PAA and PAGP will continue to be publicly traded.</w:t>
      </w:r>
    </w:p>
    <w:p>
      <w:pPr>
        <w:spacing w:after="0" w:line="192" w:lineRule="exact"/>
        <w:rPr>
          <w:sz w:val="24"/>
          <w:szCs w:val="24"/>
          <w:color w:val="auto"/>
        </w:rPr>
      </w:pPr>
    </w:p>
    <w:p>
      <w:pPr>
        <w:ind w:right="60" w:firstLine="441"/>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GP Holdings on behalf of PAGP.</w:t>
      </w:r>
    </w:p>
    <w:p>
      <w:pPr>
        <w:spacing w:after="0" w:line="18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4"/>
          <w:szCs w:val="24"/>
          <w:color w:val="auto"/>
        </w:rPr>
      </w:pPr>
    </w:p>
    <w:p>
      <w:pPr>
        <w:ind w:left="1100" w:right="240" w:hanging="327"/>
        <w:spacing w:after="0" w:line="255" w:lineRule="auto"/>
        <w:tabs>
          <w:tab w:leader="none" w:pos="10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governing documents of PAA, GP Holdings, PAGP, GP LLC and AAP will be amended and restated to give effect to the Simplification Transactions and to implement a unified governance structure, under which the Board of Directors of GP Holdings will have oversight over both PAGP and PAA. The Board of Directors of GP Holdings will be expanded from seven to ten members by the addition of the three independent GP LLC board members who are not currently serving on such board. The full text of the amended and restated governance documents of PAA, GP Holdings, PAGP, GP LLC and AAP are included as exhibits to the Simplification Agreement, attached hereto as Exhibit 2.1, and incorporated herein by reference.</w:t>
      </w:r>
    </w:p>
    <w:p>
      <w:pPr>
        <w:spacing w:after="0" w:line="193" w:lineRule="exact"/>
        <w:rPr>
          <w:rFonts w:ascii="Arial" w:cs="Arial" w:eastAsia="Arial" w:hAnsi="Arial"/>
          <w:sz w:val="18"/>
          <w:szCs w:val="18"/>
          <w:color w:val="auto"/>
        </w:rPr>
      </w:pPr>
    </w:p>
    <w:p>
      <w:pPr>
        <w:ind w:left="1100" w:right="120" w:hanging="327"/>
        <w:spacing w:after="0" w:line="342" w:lineRule="auto"/>
        <w:tabs>
          <w:tab w:leader="none" w:pos="106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GP Holdings board of directors will also be divided into three classes upon closing, which will accelerate the date on which director elections begin. Under the current governing documents for GP Holdings and PAGP, such classification of the directors would not take place</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47" w:lineRule="exact"/>
        <w:rPr>
          <w:sz w:val="20"/>
          <w:szCs w:val="20"/>
          <w:color w:val="auto"/>
        </w:rPr>
      </w:pPr>
    </w:p>
    <w:p>
      <w:pPr>
        <w:ind w:left="1100" w:right="460"/>
        <w:spacing w:after="0" w:line="279" w:lineRule="auto"/>
        <w:rPr>
          <w:sz w:val="20"/>
          <w:szCs w:val="20"/>
          <w:color w:val="auto"/>
        </w:rPr>
      </w:pPr>
      <w:r>
        <w:rPr>
          <w:rFonts w:ascii="Arial" w:cs="Arial" w:eastAsia="Arial" w:hAnsi="Arial"/>
          <w:sz w:val="17"/>
          <w:szCs w:val="17"/>
          <w:color w:val="auto"/>
        </w:rPr>
        <w:t>until the future date on which the ownership of the private general partner owner group in AAP drops below 40%. As a result, the first director election is expected to take place in 2018. When the first director election takes place, in addition to PAGP Class A and Class B shareholders having the right to participate in such elections (as provided under the current arrangement), PAA common and preferred unitholders (other than AAP) will also have the right to participate in such elections through PAA.</w:t>
      </w:r>
    </w:p>
    <w:p>
      <w:pPr>
        <w:spacing w:after="0" w:line="171" w:lineRule="exact"/>
        <w:rPr>
          <w:sz w:val="20"/>
          <w:szCs w:val="20"/>
          <w:color w:val="auto"/>
        </w:rPr>
      </w:pPr>
    </w:p>
    <w:p>
      <w:pPr>
        <w:ind w:left="1100" w:right="20" w:hanging="327"/>
        <w:spacing w:after="0" w:line="269" w:lineRule="auto"/>
        <w:tabs>
          <w:tab w:leader="none" w:pos="1064"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participation will be effected through the issuance by PAGP to PAA of newly created Class C shares representing limited partner interests in PAGP. The Class C shares will be non-economic shares that give the holder (PAA) the right to vote in director elections at the GP Holdings level together with the holders of PAGP’s Class A and Class B shares. The number of Class C shares issued to PAA will be equal to the aggregate number of PAA Common Units and preferred units outstanding, excluding such units held by AAP. Prior to any PAGP limited partner meetings for the purpose of electing directors, PAA will hold a meeting of its limited partners whereby all limited partners other than AAP will have the right to cast a “pass-through vote” instructing PAA how to vote its Class C shares in such election. In connection with any such PAGP director election, PAA will vote (or refrain from voting) its Class C shares in proportion to the votes received from its limited partners. Holders of a number of PAA limited partner interests, and holders of a number of PAGP Class A shares, in either case equal to 10% or more of the number of PAGP Class A, Class B and Class C shares outstanding will have the right directly, or indirectly through PAA, to nominate, or direct PAA to nominate, a director in accordance with the terms of the PAGP Agreement of Limited Partnership or the PAA Agreement of Limited Partnership, as applicable.</w:t>
      </w:r>
    </w:p>
    <w:p>
      <w:pPr>
        <w:spacing w:after="0" w:line="182" w:lineRule="exact"/>
        <w:rPr>
          <w:rFonts w:ascii="Arial" w:cs="Arial" w:eastAsia="Arial" w:hAnsi="Arial"/>
          <w:sz w:val="17"/>
          <w:szCs w:val="17"/>
          <w:color w:val="auto"/>
        </w:rPr>
      </w:pPr>
    </w:p>
    <w:p>
      <w:pPr>
        <w:ind w:left="1100" w:right="60" w:hanging="327"/>
        <w:spacing w:after="0" w:line="293" w:lineRule="auto"/>
        <w:tabs>
          <w:tab w:leader="none" w:pos="106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PAGP Class B shares outstanding as of the closing of PAGP initial public offering in 2013 (subject to certain adjustments), such party will continue to be entitled to designate one director to the board of directors of GP Holdings. In addition, the Chief Executive Officer will continue to be a director of GP Holdings, but not subject to election by equityholders of PAGP and PAA.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right="280" w:hanging="327"/>
        <w:spacing w:after="0" w:line="255"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AAP will execute a reverse split to adjust the number of AAP units such that the number of outstanding AAP Class A units (assuming the conversion of AAP Class B units into AAP Class A units) equals the number of PAA Common Units received by AAP at the closing of the Simplification Transactions. Simultaneously, PAGP will execute a reverse split to adjust the number of PAGP Class A and Class B shares outstanding to equal the number of AAP units it owns following AAP’s reverse unit split. As a result of these reverse splits, each PAGP Class A share will correspond, on a one-to-one basis, to an underlying PAA Common Unit held by AAP which is attributable to PAGP’s ownership in AAP.</w:t>
      </w:r>
    </w:p>
    <w:p>
      <w:pPr>
        <w:spacing w:after="0" w:line="193" w:lineRule="exact"/>
        <w:rPr>
          <w:rFonts w:ascii="Arial" w:cs="Arial" w:eastAsia="Arial" w:hAnsi="Arial"/>
          <w:sz w:val="18"/>
          <w:szCs w:val="18"/>
          <w:color w:val="auto"/>
        </w:rPr>
      </w:pPr>
    </w:p>
    <w:p>
      <w:pPr>
        <w:ind w:left="1100" w:hanging="327"/>
        <w:spacing w:after="0" w:line="257"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AAP Class A units other than PAGP and GP LLC will continue to have the right to exchange their AAP Class A units (together with the corresponding PAGP Class B shares and, if applicable, GP Holdings company units) for PAGP Class A shares on a one-for-one basis or, alternatively, to redeem such ownership and related rights for their proportionate share of PAA Common Units held by AAP, subject to certain limitations. Upon any such redemption, the holders of AAP Class A units receiving PAA Common Units will have registration rights with respect to such PAA Common Units.</w:t>
      </w:r>
    </w:p>
    <w:p>
      <w:pPr>
        <w:spacing w:after="0" w:line="18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including, among other things, (a) approval by the affirmative vote or consent of at least a majority of the holders of the outstanding Class A and Class B shares of PAGP, (b) no law or government order that seeks to or does restrain, enjoin or prohibit the consummation of the Simplification Transactions having been issued, (c) the Parties having performed or complied in all material respects with the covenants and agreements contained in the Simplification Agreement, (d) the representations and warranties of the Parties set forth in the Simplification Agreement and the representations set forth in the tax opinion certificate delivered by the General Partner, GP LLC and GP Holdings being true and correct in all material respects and (e) the delivery of a third party legal opinion relating to Investment Company Act of 1940 matters.</w:t>
      </w:r>
    </w:p>
    <w:p>
      <w:pPr>
        <w:spacing w:after="0" w:line="189"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The Simplification Agreement may be terminated (i) by the mutual consent of all the Parties; (ii) by any of the Parties if: (a) the closing of the Simplification Transactions has not occurred by January 15, 2017; (b) any governmental authority has issued any law, order or regulation permanently restraining, enjoining or otherwise prohibiting the consummation of any of the transactions or making any of the transactions illegal and such law or order or other action has become final and nonappealable; or (c) PAGP fails to obtain shareholder approval at a special meeting called to obtain such approval; (iii) by PAA if there has been a material breach of or any inaccuracy in any of the representations or warranties or a material breach of any of the covenants or agreements set forth in the Simplification Agreement on the part of another Party (except GP LLC in its capacity as the indirect general partner of PAA), which breach is not cured within 30 days; or (iv) by any Party other than PAA if there has been a material breach of or any inaccuracy in any of the representations or warranties or a material breach of any of the covenants or agreements set forth in the Simplification Agreement on the part of PAA, which breach is not cured within 30 days.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connection with the Simplification Agreement, certain holders of PAGP Class A and Class B shares (collectively, the “Supporting Shareholders”) entered into a Voting Agreement, dated as of July 11, 2016 (the “Voting Agreement”), to which PAA and PAGP are also parties. Pursuant to the Voting Agreement, the Supporting Shareholders, who own an aggregate of 328,805,166 Class A and Class B Shares of PAGP (representing approximately 51.3% of the outstanding PAGP shares), irrevocably agreed to vote their PAGP shares in favor of the Simplification Agreement and the Simplification Transactions at any meeting of PAGP shareholders and granted a proxy in favor of PAA with respect to such matters. Such agreement is irrevocably binding, even if there is a change in the recommendation of the board of GP Holdings. The Supporting Shareholders consist of the Original Designating Parties, Lynx Holdings I, LLC, KAFU Holdings (QP), L.P., KAFU Holdings II, L.P., Greg Armstrong (the Chairman of the Board and Chief Executive Officers of each of GP Holdings and GP LLC), Harry Pefanis (the President and Chief Operating Officer of each of GP Holdings and GP LLC), John T. Raymond and Robert V. Sinnott (directors of each of GP Holdings and GP LLC) and PAA Management, L.P.</w:t>
      </w:r>
    </w:p>
    <w:p>
      <w:pPr>
        <w:spacing w:after="0" w:line="182" w:lineRule="exact"/>
        <w:rPr>
          <w:sz w:val="20"/>
          <w:szCs w:val="20"/>
          <w:color w:val="auto"/>
        </w:rPr>
      </w:pPr>
    </w:p>
    <w:p>
      <w:pPr>
        <w:ind w:right="900" w:firstLine="441"/>
        <w:spacing w:after="0" w:line="342" w:lineRule="auto"/>
        <w:rPr>
          <w:sz w:val="20"/>
          <w:szCs w:val="20"/>
          <w:color w:val="auto"/>
        </w:rPr>
      </w:pPr>
      <w:r>
        <w:rPr>
          <w:rFonts w:ascii="Arial" w:cs="Arial" w:eastAsia="Arial" w:hAnsi="Arial"/>
          <w:sz w:val="16"/>
          <w:szCs w:val="16"/>
          <w:color w:val="auto"/>
        </w:rPr>
        <w:t>The Voting Agreement will terminate on the earliest to occur of (a) the closing of the Simplification Transactions, (b) the termination of the Simplification Agreement in accordance with the terms thereof and (c) the mutual written consent of all of the parties to the Voting Agreement.</w:t>
      </w:r>
    </w:p>
    <w:p>
      <w:pPr>
        <w:spacing w:after="0" w:line="124"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The foregoing descriptions of the Simplification Agreement and the Voting Agreement are qualified in their entirety by reference to the full text of the agreements and the exhibits thereto, which are attached hereto as Exhibits 2.1 and 10.1, respectively, and incorporated herein by reference.</w:t>
      </w:r>
    </w:p>
    <w:p>
      <w:pPr>
        <w:sectPr>
          <w:pgSz w:w="11900" w:h="16885" w:orient="portrait"/>
          <w:cols w:equalWidth="0" w:num="1">
            <w:col w:w="11400"/>
          </w:cols>
          <w:pgMar w:left="240" w:top="125" w:right="25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40" w:firstLine="567"/>
        <w:spacing w:after="0" w:line="291" w:lineRule="auto"/>
        <w:rPr>
          <w:sz w:val="20"/>
          <w:szCs w:val="20"/>
          <w:color w:val="auto"/>
        </w:rPr>
      </w:pPr>
      <w:r>
        <w:rPr>
          <w:rFonts w:ascii="Arial" w:cs="Arial" w:eastAsia="Arial" w:hAnsi="Arial"/>
          <w:sz w:val="16"/>
          <w:szCs w:val="16"/>
          <w:color w:val="auto"/>
        </w:rPr>
        <w:t>PAGP and the directors and executive officers of its general partner, GP Holdings, and PAA and the directors and executive officers of the general partner of the sole member of its general partner, GP LLC, may be deemed to be “participants” in the solicitation of proxies from PAGP’s shareholders in connection with the Simplification Transaction. Information about the directors and executive officers of GP Holdings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disclosure set forth above in Item 1.01 of this Current Report on Form 8-K is incorporated by reference herein. The PAA Common Units to be issued pursuant to the Simplification Agreement and the transactions contemplated thereby will not be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 reliance on the exemption from registration provided by Section 4(a)(2) of the Securities Act and/or Regulation D promulgated thereunder.</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and effective as of July 10, 2016, the General Partner executed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to PAA’s Fifth Amended and Restated Agreement of Limited Partnership dated as of January 28, 2016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Amendment amends the definition of “Conflicts Committee” in the Partnership Agreement to clarify the directors who are eligible to serve on a conflicts committee at GP LLC. The Amendment was adopted pursuant to Section 13.1(d)(i) of the Partnership Agreement, and, as determined by the General Partner in its sole discretion, does not adversely affect the Limited Partners in any material respect.</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text of the Amendment, which is filed as Exhibit 3.1 hereto and is incorporated herein by reference.</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July 11, 2016, PAA and PAGP issued a Press Release regarding the Simplification Agreement. The full text of the press release is furnished as Exhibit 99.1 hereto and is incorporated herein by reference.</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accordance with General Instruction B.2 of Form 8-K, the information set forth in this Item 7.01 and in Exhibit 99.1 is deemed to be furnished and shall not be deemed to be “filed” for purposes of Section 18 of the Securities Exchange Act of 1934, as amended (the “Exchange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420"/>
          </w:cols>
          <w:pgMar w:left="240" w:top="341" w:right="239" w:bottom="19" w:gutter="0" w:footer="0" w:header="0"/>
        </w:sectPr>
      </w:pP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Exhibit 2.1*</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 3.1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Exhibit 10.1</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Simplification Agreement, dated as of July 11, 2016, by and among PAA GP Holdings LLC, Plains GP Holdings,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GP LLC, Plains AAP, L.P., PAA GP LLC and 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 Fifth Amended and Restated Agreement of Limited Partnership of Plains All American Pipeline,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L.P. dated July 10, 2016.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Voting Agreement, dated as of July 11, 2016, by and among Plains All American Pipeline, L.P., Plains GP Holdings,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shareholders named therein.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July 11, 2016.</w:t>
      </w:r>
    </w:p>
    <w:p>
      <w:pPr>
        <w:spacing w:after="0" w:line="200" w:lineRule="exact"/>
        <w:rPr>
          <w:sz w:val="20"/>
          <w:szCs w:val="20"/>
          <w:color w:val="auto"/>
        </w:rPr>
      </w:pPr>
    </w:p>
    <w:p>
      <w:pPr>
        <w:sectPr>
          <w:pgSz w:w="11900" w:h="16838" w:orient="portrait"/>
          <w:cols w:equalWidth="0" w:num="2">
            <w:col w:w="1580" w:space="720"/>
            <w:col w:w="9120"/>
          </w:cols>
          <w:pgMar w:left="240" w:top="341" w:right="239" w:bottom="19" w:gutter="0" w:footer="0" w:header="0"/>
          <w:type w:val="continuous"/>
        </w:sectPr>
      </w:pPr>
    </w:p>
    <w:p>
      <w:pPr>
        <w:spacing w:after="0" w:line="240" w:lineRule="exact"/>
        <w:rPr>
          <w:sz w:val="20"/>
          <w:szCs w:val="20"/>
          <w:color w:val="auto"/>
        </w:rPr>
      </w:pPr>
    </w:p>
    <w:p>
      <w:pPr>
        <w:ind w:right="60" w:firstLine="8"/>
        <w:spacing w:after="0" w:line="277" w:lineRule="auto"/>
        <w:tabs>
          <w:tab w:leader="none" w:pos="13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9"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20" w:type="dxa"/>
            <w:vAlign w:val="bottom"/>
            <w:gridSpan w:val="4"/>
          </w:tcPr>
          <w:p>
            <w:pPr>
              <w:ind w:left="40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spacing w:after="0"/>
              <w:rPr>
                <w:sz w:val="20"/>
                <w:szCs w:val="20"/>
                <w:color w:val="auto"/>
              </w:rPr>
            </w:pPr>
            <w:r>
              <w:rPr>
                <w:rFonts w:ascii="Arial" w:cs="Arial" w:eastAsia="Arial" w:hAnsi="Arial"/>
                <w:sz w:val="18"/>
                <w:szCs w:val="18"/>
                <w:color w:val="auto"/>
                <w:w w:val="92"/>
              </w:rPr>
              <w:t>Date: July 14, 2016</w:t>
            </w: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6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6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20" w:type="dxa"/>
            <w:vAlign w:val="bottom"/>
            <w:gridSpan w:val="2"/>
          </w:tcPr>
          <w:p>
            <w:pPr>
              <w:jc w:val="center"/>
              <w:ind w:left="389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360" w:type="dxa"/>
            <w:vAlign w:val="bottom"/>
            <w:tcBorders>
              <w:bottom w:val="single" w:sz="8" w:color="808080"/>
            </w:tcBorders>
            <w:gridSpan w:val="3"/>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3"/>
          </w:tcPr>
          <w:p>
            <w:pPr>
              <w:jc w:val="center"/>
              <w:ind w:left="2970"/>
              <w:spacing w:after="0"/>
              <w:rPr>
                <w:sz w:val="20"/>
                <w:szCs w:val="20"/>
                <w:color w:val="auto"/>
              </w:rPr>
            </w:pPr>
            <w:r>
              <w:rPr>
                <w:rFonts w:ascii="Arial" w:cs="Arial" w:eastAsia="Arial" w:hAnsi="Arial"/>
                <w:sz w:val="18"/>
                <w:szCs w:val="18"/>
                <w:color w:val="auto"/>
                <w:w w:val="98"/>
              </w:rPr>
              <w:t>INDEX TO EXHIBITS</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6"/>
              </w:rPr>
              <w:t>Description</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w w:val="97"/>
              </w:rPr>
              <w:t>Simplification Agreement, dated as of July 11, 2016, by and among PAA GP Holdings LLC, Plains GP Holdings, L.P., Plains All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rPr>
              <w:t>American GP LLC, Plains AAP, L.P., PAA GP LLC and 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w w:val="94"/>
              </w:rPr>
              <w:t>Amendment No. 1 to the Fifth Amended and Restated Agreement of Limited Partnership of Plains All American Pipeline, L.P. 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July 10, 2016.</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w w:val="96"/>
              </w:rPr>
              <w:t>Voting Agreement, dated as of July 11, 2016, by and among Plains All American Pipeline, L.P., Plains GP Holdings, L.P. and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shareholders named therein.</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Press release dated July 11, 2016.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-2368550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00" w:firstLine="8"/>
        <w:spacing w:after="0" w:line="277" w:lineRule="auto"/>
        <w:tabs>
          <w:tab w:leader="none" w:pos="13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SIMPLIFICATION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978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50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978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9780" w:type="dxa"/>
            <w:vAlign w:val="bottom"/>
          </w:tcPr>
          <w:p>
            <w:pPr>
              <w:ind w:left="180"/>
              <w:spacing w:after="0"/>
              <w:rPr>
                <w:sz w:val="20"/>
                <w:szCs w:val="20"/>
                <w:color w:val="auto"/>
              </w:rPr>
            </w:pPr>
            <w:r>
              <w:rPr>
                <w:rFonts w:ascii="Arial" w:cs="Arial" w:eastAsia="Arial" w:hAnsi="Arial"/>
                <w:sz w:val="18"/>
                <w:szCs w:val="18"/>
                <w:color w:val="auto"/>
              </w:rPr>
              <w:t>Certain Interpretive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THE CLOSING; CLOSING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9780" w:type="dxa"/>
            <w:vAlign w:val="bottom"/>
          </w:tcPr>
          <w:p>
            <w:pPr>
              <w:ind w:left="180"/>
              <w:spacing w:after="0"/>
              <w:rPr>
                <w:sz w:val="20"/>
                <w:szCs w:val="20"/>
                <w:color w:val="auto"/>
              </w:rPr>
            </w:pPr>
            <w:r>
              <w:rPr>
                <w:rFonts w:ascii="Arial" w:cs="Arial" w:eastAsia="Arial" w:hAnsi="Arial"/>
                <w:sz w:val="18"/>
                <w:szCs w:val="18"/>
                <w:color w:val="auto"/>
              </w:rPr>
              <w:t>The Closing</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9780" w:type="dxa"/>
            <w:vAlign w:val="bottom"/>
          </w:tcPr>
          <w:p>
            <w:pPr>
              <w:ind w:left="180"/>
              <w:spacing w:after="0"/>
              <w:rPr>
                <w:sz w:val="20"/>
                <w:szCs w:val="20"/>
                <w:color w:val="auto"/>
              </w:rPr>
            </w:pPr>
            <w:r>
              <w:rPr>
                <w:rFonts w:ascii="Arial" w:cs="Arial" w:eastAsia="Arial" w:hAnsi="Arial"/>
                <w:sz w:val="18"/>
                <w:szCs w:val="18"/>
                <w:color w:val="auto"/>
              </w:rPr>
              <w:t>Closing Transactions; Order of Closing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9780" w:type="dxa"/>
            <w:vAlign w:val="bottom"/>
          </w:tcPr>
          <w:p>
            <w:pPr>
              <w:ind w:left="180"/>
              <w:spacing w:after="0"/>
              <w:rPr>
                <w:sz w:val="20"/>
                <w:szCs w:val="20"/>
                <w:color w:val="auto"/>
              </w:rPr>
            </w:pPr>
            <w:r>
              <w:rPr>
                <w:rFonts w:ascii="Arial" w:cs="Arial" w:eastAsia="Arial" w:hAnsi="Arial"/>
                <w:sz w:val="18"/>
                <w:szCs w:val="18"/>
                <w:color w:val="auto"/>
              </w:rPr>
              <w:t>Contribution of AAP Class A Units from PAGP to GP LLC</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9780" w:type="dxa"/>
            <w:vAlign w:val="bottom"/>
          </w:tcPr>
          <w:p>
            <w:pPr>
              <w:ind w:left="180"/>
              <w:spacing w:after="0"/>
              <w:rPr>
                <w:sz w:val="20"/>
                <w:szCs w:val="20"/>
                <w:color w:val="auto"/>
              </w:rPr>
            </w:pPr>
            <w:r>
              <w:rPr>
                <w:rFonts w:ascii="Arial" w:cs="Arial" w:eastAsia="Arial" w:hAnsi="Arial"/>
                <w:sz w:val="18"/>
                <w:szCs w:val="18"/>
                <w:color w:val="auto"/>
              </w:rPr>
              <w:t>Election to Treat GP LLC as a Corporation for U.S. Federal Income Tax Purposes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9780" w:type="dxa"/>
            <w:vAlign w:val="bottom"/>
          </w:tcPr>
          <w:p>
            <w:pPr>
              <w:ind w:left="180"/>
              <w:spacing w:after="0"/>
              <w:rPr>
                <w:sz w:val="20"/>
                <w:szCs w:val="20"/>
                <w:color w:val="auto"/>
              </w:rPr>
            </w:pPr>
            <w:r>
              <w:rPr>
                <w:rFonts w:ascii="Arial" w:cs="Arial" w:eastAsia="Arial" w:hAnsi="Arial"/>
                <w:sz w:val="18"/>
                <w:szCs w:val="18"/>
                <w:color w:val="auto"/>
                <w:w w:val="99"/>
              </w:rPr>
              <w:t>Redemption of PAA IDRs by PAA in Exchange for PAA Common Units; Recapitalization of PAA General Partner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9780" w:type="dxa"/>
            <w:vAlign w:val="bottom"/>
          </w:tcPr>
          <w:p>
            <w:pPr>
              <w:ind w:left="180"/>
              <w:spacing w:after="0"/>
              <w:rPr>
                <w:sz w:val="20"/>
                <w:szCs w:val="20"/>
                <w:color w:val="auto"/>
              </w:rPr>
            </w:pPr>
            <w:r>
              <w:rPr>
                <w:rFonts w:ascii="Arial" w:cs="Arial" w:eastAsia="Arial" w:hAnsi="Arial"/>
                <w:sz w:val="18"/>
                <w:szCs w:val="18"/>
                <w:color w:val="auto"/>
              </w:rPr>
              <w:t>Adoption of Amended and Restated Governance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9780" w:type="dxa"/>
            <w:vAlign w:val="bottom"/>
          </w:tcPr>
          <w:p>
            <w:pPr>
              <w:ind w:left="180"/>
              <w:spacing w:after="0"/>
              <w:rPr>
                <w:sz w:val="20"/>
                <w:szCs w:val="20"/>
                <w:color w:val="auto"/>
              </w:rPr>
            </w:pPr>
            <w:r>
              <w:rPr>
                <w:rFonts w:ascii="Arial" w:cs="Arial" w:eastAsia="Arial" w:hAnsi="Arial"/>
                <w:sz w:val="18"/>
                <w:szCs w:val="18"/>
                <w:color w:val="auto"/>
              </w:rPr>
              <w:t>Reverse Unit/Stock Splits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9780" w:type="dxa"/>
            <w:vAlign w:val="bottom"/>
          </w:tcPr>
          <w:p>
            <w:pPr>
              <w:ind w:left="180"/>
              <w:spacing w:after="0"/>
              <w:rPr>
                <w:sz w:val="20"/>
                <w:szCs w:val="20"/>
                <w:color w:val="auto"/>
              </w:rPr>
            </w:pPr>
            <w:r>
              <w:rPr>
                <w:rFonts w:ascii="Arial" w:cs="Arial" w:eastAsia="Arial" w:hAnsi="Arial"/>
                <w:sz w:val="18"/>
                <w:szCs w:val="18"/>
                <w:color w:val="auto"/>
              </w:rPr>
              <w:t>Issuance of PAGP Class C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9780" w:type="dxa"/>
            <w:vAlign w:val="bottom"/>
          </w:tcPr>
          <w:p>
            <w:pPr>
              <w:ind w:left="180"/>
              <w:spacing w:after="0"/>
              <w:rPr>
                <w:sz w:val="20"/>
                <w:szCs w:val="20"/>
                <w:color w:val="auto"/>
              </w:rPr>
            </w:pPr>
            <w:r>
              <w:rPr>
                <w:rFonts w:ascii="Arial" w:cs="Arial" w:eastAsia="Arial" w:hAnsi="Arial"/>
                <w:sz w:val="18"/>
                <w:szCs w:val="18"/>
                <w:color w:val="auto"/>
              </w:rPr>
              <w:t>Closing Deliverables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2.10</w:t>
            </w:r>
          </w:p>
        </w:tc>
        <w:tc>
          <w:tcPr>
            <w:tcW w:w="9780" w:type="dxa"/>
            <w:vAlign w:val="bottom"/>
          </w:tcPr>
          <w:p>
            <w:pPr>
              <w:ind w:left="180"/>
              <w:spacing w:after="0"/>
              <w:rPr>
                <w:sz w:val="20"/>
                <w:szCs w:val="20"/>
                <w:color w:val="auto"/>
              </w:rPr>
            </w:pPr>
            <w:r>
              <w:rPr>
                <w:rFonts w:ascii="Arial" w:cs="Arial" w:eastAsia="Arial" w:hAnsi="Arial"/>
                <w:sz w:val="18"/>
                <w:szCs w:val="18"/>
                <w:color w:val="auto"/>
              </w:rPr>
              <w:t>Intended Tax Treatment, Tax Opinion and Common Unit Fungibility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PAA</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PAA GP</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AAP</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GP LLC</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PAGP</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PAGP GP</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IV COVENANTS AND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9780" w:type="dxa"/>
            <w:vAlign w:val="bottom"/>
          </w:tcPr>
          <w:p>
            <w:pPr>
              <w:ind w:left="180"/>
              <w:spacing w:after="0"/>
              <w:rPr>
                <w:sz w:val="20"/>
                <w:szCs w:val="20"/>
                <w:color w:val="auto"/>
              </w:rPr>
            </w:pPr>
            <w:r>
              <w:rPr>
                <w:rFonts w:ascii="Arial" w:cs="Arial" w:eastAsia="Arial" w:hAnsi="Arial"/>
                <w:sz w:val="18"/>
                <w:szCs w:val="18"/>
                <w:color w:val="auto"/>
              </w:rPr>
              <w:t>The Proxy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978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9780" w:type="dxa"/>
            <w:vAlign w:val="bottom"/>
          </w:tcPr>
          <w:p>
            <w:pPr>
              <w:ind w:left="180"/>
              <w:spacing w:after="0"/>
              <w:rPr>
                <w:sz w:val="20"/>
                <w:szCs w:val="20"/>
                <w:color w:val="auto"/>
              </w:rPr>
            </w:pPr>
            <w:r>
              <w:rPr>
                <w:rFonts w:ascii="Arial" w:cs="Arial" w:eastAsia="Arial" w:hAnsi="Arial"/>
                <w:sz w:val="18"/>
                <w:szCs w:val="18"/>
                <w:color w:val="auto"/>
              </w:rPr>
              <w:t>Press Releases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9780" w:type="dxa"/>
            <w:vAlign w:val="bottom"/>
          </w:tcPr>
          <w:p>
            <w:pPr>
              <w:ind w:left="180"/>
              <w:spacing w:after="0"/>
              <w:rPr>
                <w:sz w:val="20"/>
                <w:szCs w:val="20"/>
                <w:color w:val="auto"/>
              </w:rPr>
            </w:pPr>
            <w:r>
              <w:rPr>
                <w:rFonts w:ascii="Arial" w:cs="Arial" w:eastAsia="Arial" w:hAnsi="Arial"/>
                <w:sz w:val="18"/>
                <w:szCs w:val="18"/>
                <w:color w:val="auto"/>
              </w:rPr>
              <w:t>Certain Business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9780" w:type="dxa"/>
            <w:vAlign w:val="bottom"/>
          </w:tcPr>
          <w:p>
            <w:pPr>
              <w:ind w:left="180"/>
              <w:spacing w:after="0"/>
              <w:rPr>
                <w:sz w:val="20"/>
                <w:szCs w:val="20"/>
                <w:color w:val="auto"/>
              </w:rPr>
            </w:pPr>
            <w:r>
              <w:rPr>
                <w:rFonts w:ascii="Arial" w:cs="Arial" w:eastAsia="Arial" w:hAnsi="Arial"/>
                <w:sz w:val="18"/>
                <w:szCs w:val="18"/>
                <w:color w:val="auto"/>
              </w:rPr>
              <w:t>Notification of Certain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9780" w:type="dxa"/>
            <w:vAlign w:val="bottom"/>
          </w:tcPr>
          <w:p>
            <w:pPr>
              <w:ind w:left="180"/>
              <w:spacing w:after="0"/>
              <w:rPr>
                <w:sz w:val="20"/>
                <w:szCs w:val="20"/>
                <w:color w:val="auto"/>
              </w:rPr>
            </w:pPr>
            <w:r>
              <w:rPr>
                <w:rFonts w:ascii="Arial" w:cs="Arial" w:eastAsia="Arial" w:hAnsi="Arial"/>
                <w:sz w:val="18"/>
                <w:szCs w:val="18"/>
                <w:color w:val="auto"/>
              </w:rPr>
              <w:t>Listing of PAA Common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9780" w:type="dxa"/>
            <w:vAlign w:val="bottom"/>
          </w:tcPr>
          <w:p>
            <w:pPr>
              <w:ind w:left="180"/>
              <w:spacing w:after="0"/>
              <w:rPr>
                <w:sz w:val="20"/>
                <w:szCs w:val="20"/>
                <w:color w:val="auto"/>
              </w:rPr>
            </w:pPr>
            <w:r>
              <w:rPr>
                <w:rFonts w:ascii="Arial" w:cs="Arial" w:eastAsia="Arial" w:hAnsi="Arial"/>
                <w:sz w:val="18"/>
                <w:szCs w:val="18"/>
                <w:color w:val="auto"/>
              </w:rPr>
              <w:t>AAP Reverse Unit Split; PAGP Reverse Stock Split; PAGP GP Reverse Unit Split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9780" w:type="dxa"/>
            <w:vAlign w:val="bottom"/>
          </w:tcPr>
          <w:p>
            <w:pPr>
              <w:ind w:left="180"/>
              <w:spacing w:after="0"/>
              <w:rPr>
                <w:sz w:val="20"/>
                <w:szCs w:val="20"/>
                <w:color w:val="auto"/>
              </w:rPr>
            </w:pPr>
            <w:r>
              <w:rPr>
                <w:rFonts w:ascii="Arial" w:cs="Arial" w:eastAsia="Arial" w:hAnsi="Arial"/>
                <w:sz w:val="18"/>
                <w:szCs w:val="18"/>
                <w:color w:val="auto"/>
              </w:rPr>
              <w:t>Shelf Registration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9780" w:type="dxa"/>
            <w:vAlign w:val="bottom"/>
          </w:tcPr>
          <w:p>
            <w:pPr>
              <w:ind w:left="180"/>
              <w:spacing w:after="0"/>
              <w:rPr>
                <w:sz w:val="20"/>
                <w:szCs w:val="20"/>
                <w:color w:val="auto"/>
              </w:rPr>
            </w:pPr>
            <w:r>
              <w:rPr>
                <w:rFonts w:ascii="Arial" w:cs="Arial" w:eastAsia="Arial" w:hAnsi="Arial"/>
                <w:sz w:val="18"/>
                <w:szCs w:val="18"/>
                <w:color w:val="auto"/>
              </w:rPr>
              <w:t>PAGP GP Board of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9780" w:type="dxa"/>
            <w:vAlign w:val="bottom"/>
          </w:tcPr>
          <w:p>
            <w:pPr>
              <w:ind w:left="180"/>
              <w:spacing w:after="0"/>
              <w:rPr>
                <w:sz w:val="20"/>
                <w:szCs w:val="20"/>
                <w:color w:val="auto"/>
              </w:rPr>
            </w:pPr>
            <w:r>
              <w:rPr>
                <w:rFonts w:ascii="Arial" w:cs="Arial" w:eastAsia="Arial" w:hAnsi="Arial"/>
                <w:sz w:val="18"/>
                <w:szCs w:val="18"/>
                <w:color w:val="auto"/>
              </w:rPr>
              <w:t>Certain AAP Borrowings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 CONDITIONS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9780" w:type="dxa"/>
            <w:vAlign w:val="bottom"/>
          </w:tcPr>
          <w:p>
            <w:pPr>
              <w:ind w:left="180"/>
              <w:spacing w:after="0"/>
              <w:rPr>
                <w:sz w:val="20"/>
                <w:szCs w:val="20"/>
                <w:color w:val="auto"/>
              </w:rPr>
            </w:pPr>
            <w:r>
              <w:rPr>
                <w:rFonts w:ascii="Arial" w:cs="Arial" w:eastAsia="Arial" w:hAnsi="Arial"/>
                <w:sz w:val="18"/>
                <w:szCs w:val="18"/>
                <w:color w:val="auto"/>
              </w:rPr>
              <w:t>Mutual Conditions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9780" w:type="dxa"/>
            <w:vAlign w:val="bottom"/>
          </w:tcPr>
          <w:p>
            <w:pPr>
              <w:ind w:left="180"/>
              <w:spacing w:after="0"/>
              <w:rPr>
                <w:sz w:val="20"/>
                <w:szCs w:val="20"/>
                <w:color w:val="auto"/>
              </w:rPr>
            </w:pPr>
            <w:r>
              <w:rPr>
                <w:rFonts w:ascii="Arial" w:cs="Arial" w:eastAsia="Arial" w:hAnsi="Arial"/>
                <w:sz w:val="18"/>
                <w:szCs w:val="18"/>
                <w:color w:val="auto"/>
              </w:rPr>
              <w:t>Additional Conditions to Obligations of PAA and PAGP</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9780" w:type="dxa"/>
            <w:vAlign w:val="bottom"/>
          </w:tcPr>
          <w:p>
            <w:pPr>
              <w:ind w:left="180"/>
              <w:spacing w:after="0"/>
              <w:rPr>
                <w:sz w:val="20"/>
                <w:szCs w:val="20"/>
                <w:color w:val="auto"/>
              </w:rPr>
            </w:pPr>
            <w:r>
              <w:rPr>
                <w:rFonts w:ascii="Arial" w:cs="Arial" w:eastAsia="Arial" w:hAnsi="Arial"/>
                <w:sz w:val="18"/>
                <w:szCs w:val="18"/>
                <w:color w:val="auto"/>
              </w:rPr>
              <w:t>Additional Conditions to Obligations of AAP and PAGP</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54"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ARTICLE VI TERMINATION; SURVIVAL</w:t>
            </w:r>
          </w:p>
        </w:tc>
        <w:tc>
          <w:tcPr>
            <w:tcW w:w="3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6.1</w:t>
            </w:r>
          </w:p>
        </w:tc>
        <w:tc>
          <w:tcPr>
            <w:tcW w:w="720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3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6.2</w:t>
            </w:r>
          </w:p>
        </w:tc>
        <w:tc>
          <w:tcPr>
            <w:tcW w:w="72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3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6.3</w:t>
            </w:r>
          </w:p>
        </w:tc>
        <w:tc>
          <w:tcPr>
            <w:tcW w:w="7200" w:type="dxa"/>
            <w:vAlign w:val="bottom"/>
          </w:tcPr>
          <w:p>
            <w:pPr>
              <w:ind w:left="180"/>
              <w:spacing w:after="0"/>
              <w:rPr>
                <w:sz w:val="20"/>
                <w:szCs w:val="20"/>
                <w:color w:val="auto"/>
              </w:rPr>
            </w:pPr>
            <w:r>
              <w:rPr>
                <w:rFonts w:ascii="Arial" w:cs="Arial" w:eastAsia="Arial" w:hAnsi="Arial"/>
                <w:sz w:val="18"/>
                <w:szCs w:val="18"/>
                <w:color w:val="auto"/>
              </w:rPr>
              <w:t>Survival</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7200" w:type="dxa"/>
            <w:vAlign w:val="bottom"/>
          </w:tcPr>
          <w:p>
            <w:pPr>
              <w:ind w:left="180"/>
              <w:spacing w:after="0"/>
              <w:rPr>
                <w:sz w:val="20"/>
                <w:szCs w:val="20"/>
                <w:color w:val="auto"/>
              </w:rPr>
            </w:pPr>
            <w:r>
              <w:rPr>
                <w:rFonts w:ascii="Arial" w:cs="Arial" w:eastAsia="Arial" w:hAnsi="Arial"/>
                <w:sz w:val="18"/>
                <w:szCs w:val="18"/>
                <w:color w:val="auto"/>
              </w:rPr>
              <w:t>Fees and Expenses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7.2</w:t>
            </w:r>
          </w:p>
        </w:tc>
        <w:tc>
          <w:tcPr>
            <w:tcW w:w="7200" w:type="dxa"/>
            <w:vAlign w:val="bottom"/>
          </w:tcPr>
          <w:p>
            <w:pPr>
              <w:ind w:left="180"/>
              <w:spacing w:after="0"/>
              <w:rPr>
                <w:sz w:val="20"/>
                <w:szCs w:val="20"/>
                <w:color w:val="auto"/>
              </w:rPr>
            </w:pPr>
            <w:r>
              <w:rPr>
                <w:rFonts w:ascii="Arial" w:cs="Arial" w:eastAsia="Arial" w:hAnsi="Arial"/>
                <w:sz w:val="18"/>
                <w:szCs w:val="18"/>
                <w:color w:val="auto"/>
              </w:rPr>
              <w:t>Entire Agreement; No Third Party Beneficiaries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7.3</w:t>
            </w:r>
          </w:p>
        </w:tc>
        <w:tc>
          <w:tcPr>
            <w:tcW w:w="720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7.4</w:t>
            </w:r>
          </w:p>
        </w:tc>
        <w:tc>
          <w:tcPr>
            <w:tcW w:w="7200" w:type="dxa"/>
            <w:vAlign w:val="bottom"/>
          </w:tcPr>
          <w:p>
            <w:pPr>
              <w:ind w:left="180"/>
              <w:spacing w:after="0"/>
              <w:rPr>
                <w:sz w:val="20"/>
                <w:szCs w:val="20"/>
                <w:color w:val="auto"/>
              </w:rPr>
            </w:pPr>
            <w:r>
              <w:rPr>
                <w:rFonts w:ascii="Arial" w:cs="Arial" w:eastAsia="Arial" w:hAnsi="Arial"/>
                <w:sz w:val="18"/>
                <w:szCs w:val="18"/>
                <w:color w:val="auto"/>
              </w:rPr>
              <w:t>Assignments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7.5</w:t>
            </w:r>
          </w:p>
        </w:tc>
        <w:tc>
          <w:tcPr>
            <w:tcW w:w="7200" w:type="dxa"/>
            <w:vAlign w:val="bottom"/>
          </w:tcPr>
          <w:p>
            <w:pPr>
              <w:ind w:left="180"/>
              <w:spacing w:after="0"/>
              <w:rPr>
                <w:sz w:val="20"/>
                <w:szCs w:val="20"/>
                <w:color w:val="auto"/>
              </w:rPr>
            </w:pPr>
            <w:r>
              <w:rPr>
                <w:rFonts w:ascii="Arial" w:cs="Arial" w:eastAsia="Arial" w:hAnsi="Arial"/>
                <w:sz w:val="18"/>
                <w:szCs w:val="18"/>
                <w:color w:val="auto"/>
              </w:rPr>
              <w:t>Notices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7.6</w:t>
            </w:r>
          </w:p>
        </w:tc>
        <w:tc>
          <w:tcPr>
            <w:tcW w:w="720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7.7</w:t>
            </w:r>
          </w:p>
        </w:tc>
        <w:tc>
          <w:tcPr>
            <w:tcW w:w="7200" w:type="dxa"/>
            <w:vAlign w:val="bottom"/>
          </w:tcPr>
          <w:p>
            <w:pPr>
              <w:ind w:left="180"/>
              <w:spacing w:after="0"/>
              <w:rPr>
                <w:sz w:val="20"/>
                <w:szCs w:val="20"/>
                <w:color w:val="auto"/>
              </w:rPr>
            </w:pPr>
            <w:r>
              <w:rPr>
                <w:rFonts w:ascii="Arial" w:cs="Arial" w:eastAsia="Arial" w:hAnsi="Arial"/>
                <w:sz w:val="18"/>
                <w:szCs w:val="18"/>
                <w:color w:val="auto"/>
              </w:rPr>
              <w:t>Time</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7.8</w:t>
            </w:r>
          </w:p>
        </w:tc>
        <w:tc>
          <w:tcPr>
            <w:tcW w:w="72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7.9</w:t>
            </w:r>
          </w:p>
        </w:tc>
        <w:tc>
          <w:tcPr>
            <w:tcW w:w="7200" w:type="dxa"/>
            <w:vAlign w:val="bottom"/>
          </w:tcPr>
          <w:p>
            <w:pPr>
              <w:ind w:left="180"/>
              <w:spacing w:after="0"/>
              <w:rPr>
                <w:sz w:val="20"/>
                <w:szCs w:val="20"/>
                <w:color w:val="auto"/>
              </w:rPr>
            </w:pPr>
            <w:r>
              <w:rPr>
                <w:rFonts w:ascii="Arial" w:cs="Arial" w:eastAsia="Arial" w:hAnsi="Arial"/>
                <w:sz w:val="18"/>
                <w:szCs w:val="18"/>
                <w:color w:val="auto"/>
              </w:rPr>
              <w:t>Amendments and Waivers</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7.10</w:t>
            </w:r>
          </w:p>
        </w:tc>
        <w:tc>
          <w:tcPr>
            <w:tcW w:w="7200" w:type="dxa"/>
            <w:vAlign w:val="bottom"/>
          </w:tcPr>
          <w:p>
            <w:pPr>
              <w:ind w:left="180"/>
              <w:spacing w:after="0"/>
              <w:rPr>
                <w:sz w:val="20"/>
                <w:szCs w:val="20"/>
                <w:color w:val="auto"/>
              </w:rPr>
            </w:pPr>
            <w:r>
              <w:rPr>
                <w:rFonts w:ascii="Arial" w:cs="Arial" w:eastAsia="Arial" w:hAnsi="Arial"/>
                <w:sz w:val="18"/>
                <w:szCs w:val="18"/>
                <w:color w:val="auto"/>
              </w:rPr>
              <w:t>Headings</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7.11</w:t>
            </w:r>
          </w:p>
        </w:tc>
        <w:tc>
          <w:tcPr>
            <w:tcW w:w="72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7.12</w:t>
            </w:r>
          </w:p>
        </w:tc>
        <w:tc>
          <w:tcPr>
            <w:tcW w:w="72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7.13</w:t>
            </w:r>
          </w:p>
        </w:tc>
        <w:tc>
          <w:tcPr>
            <w:tcW w:w="7200" w:type="dxa"/>
            <w:vAlign w:val="bottom"/>
          </w:tcPr>
          <w:p>
            <w:pPr>
              <w:ind w:left="180"/>
              <w:spacing w:after="0"/>
              <w:rPr>
                <w:sz w:val="20"/>
                <w:szCs w:val="20"/>
                <w:color w:val="auto"/>
              </w:rPr>
            </w:pPr>
            <w:r>
              <w:rPr>
                <w:rFonts w:ascii="Arial" w:cs="Arial" w:eastAsia="Arial" w:hAnsi="Arial"/>
                <w:sz w:val="18"/>
                <w:szCs w:val="18"/>
                <w:color w:val="auto"/>
              </w:rPr>
              <w:t>Incorporation of Exhibits</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7.14</w:t>
            </w:r>
          </w:p>
        </w:tc>
        <w:tc>
          <w:tcPr>
            <w:tcW w:w="7200" w:type="dxa"/>
            <w:vAlign w:val="bottom"/>
          </w:tcPr>
          <w:p>
            <w:pPr>
              <w:ind w:left="180"/>
              <w:spacing w:after="0"/>
              <w:rPr>
                <w:sz w:val="20"/>
                <w:szCs w:val="20"/>
                <w:color w:val="auto"/>
              </w:rPr>
            </w:pPr>
            <w:r>
              <w:rPr>
                <w:rFonts w:ascii="Arial" w:cs="Arial" w:eastAsia="Arial" w:hAnsi="Arial"/>
                <w:sz w:val="18"/>
                <w:szCs w:val="18"/>
                <w:color w:val="auto"/>
              </w:rPr>
              <w:t>Remedies</w:t>
            </w:r>
          </w:p>
        </w:tc>
        <w:tc>
          <w:tcPr>
            <w:tcW w:w="37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20" w:type="dxa"/>
            <w:vAlign w:val="bottom"/>
          </w:tcPr>
          <w:p>
            <w:pPr>
              <w:ind w:left="3040"/>
              <w:spacing w:after="0"/>
              <w:rPr>
                <w:sz w:val="20"/>
                <w:szCs w:val="20"/>
                <w:color w:val="auto"/>
              </w:rPr>
            </w:pPr>
            <w:r>
              <w:rPr>
                <w:rFonts w:ascii="Arial" w:cs="Arial" w:eastAsia="Arial" w:hAnsi="Arial"/>
                <w:sz w:val="18"/>
                <w:szCs w:val="18"/>
                <w:b w:val="1"/>
                <w:bCs w:val="1"/>
                <w:color w:val="auto"/>
              </w:rPr>
              <w:t>EXHIBIT AND SCHEDULE INDEX</w:t>
            </w:r>
          </w:p>
        </w:tc>
      </w:tr>
      <w:tr>
        <w:trPr>
          <w:trHeight w:val="392"/>
        </w:trPr>
        <w:tc>
          <w:tcPr>
            <w:tcW w:w="12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1022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222"/>
        </w:trPr>
        <w:tc>
          <w:tcPr>
            <w:tcW w:w="12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PAA Partnership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AAP Partnership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PAGP Partnership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GP LLC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PAGP GP LLC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Registration Rights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Omnibus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Administrative Agreement</w:t>
            </w:r>
          </w:p>
        </w:tc>
      </w:t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10220" w:type="dxa"/>
            <w:vAlign w:val="bottom"/>
          </w:tcPr>
          <w:p>
            <w:pPr>
              <w:ind w:left="100"/>
              <w:spacing w:after="0"/>
              <w:rPr>
                <w:sz w:val="20"/>
                <w:szCs w:val="20"/>
                <w:color w:val="auto"/>
              </w:rPr>
            </w:pPr>
            <w:r>
              <w:rPr>
                <w:rFonts w:ascii="Arial" w:cs="Arial" w:eastAsia="Arial" w:hAnsi="Arial"/>
                <w:sz w:val="18"/>
                <w:szCs w:val="18"/>
                <w:color w:val="auto"/>
              </w:rPr>
              <w:t>Tax Opinion Certificate</w:t>
            </w:r>
          </w:p>
        </w:tc>
      </w:tr>
      <w:tr>
        <w:trPr>
          <w:trHeight w:val="392"/>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Schedules</w:t>
            </w:r>
          </w:p>
        </w:tc>
        <w:tc>
          <w:tcPr>
            <w:tcW w:w="5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22"/>
        </w:trPr>
        <w:tc>
          <w:tcPr>
            <w:tcW w:w="1240" w:type="dxa"/>
            <w:vAlign w:val="bottom"/>
            <w:gridSpan w:val="3"/>
          </w:tcPr>
          <w:p>
            <w:pPr>
              <w:spacing w:after="0"/>
              <w:rPr>
                <w:sz w:val="20"/>
                <w:szCs w:val="20"/>
                <w:color w:val="auto"/>
              </w:rPr>
            </w:pPr>
            <w:r>
              <w:rPr>
                <w:rFonts w:ascii="Arial" w:cs="Arial" w:eastAsia="Arial" w:hAnsi="Arial"/>
                <w:sz w:val="18"/>
                <w:szCs w:val="18"/>
                <w:color w:val="auto"/>
                <w:w w:val="95"/>
              </w:rPr>
              <w:t>Schedule 1.1(a)</w:t>
            </w:r>
          </w:p>
        </w:tc>
        <w:tc>
          <w:tcPr>
            <w:tcW w:w="10220" w:type="dxa"/>
            <w:vAlign w:val="bottom"/>
          </w:tcPr>
          <w:p>
            <w:pPr>
              <w:ind w:left="580"/>
              <w:spacing w:after="0"/>
              <w:rPr>
                <w:sz w:val="20"/>
                <w:szCs w:val="20"/>
                <w:color w:val="auto"/>
              </w:rPr>
            </w:pPr>
            <w:r>
              <w:rPr>
                <w:rFonts w:ascii="Arial" w:cs="Arial" w:eastAsia="Arial" w:hAnsi="Arial"/>
                <w:sz w:val="18"/>
                <w:szCs w:val="18"/>
                <w:color w:val="auto"/>
              </w:rPr>
              <w:t>Existing Owners</w:t>
            </w:r>
          </w:p>
        </w:tc>
      </w:t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Schedule 4.9</w:t>
            </w:r>
          </w:p>
        </w:tc>
        <w:tc>
          <w:tcPr>
            <w:tcW w:w="10220" w:type="dxa"/>
            <w:vAlign w:val="bottom"/>
          </w:tcPr>
          <w:p>
            <w:pPr>
              <w:ind w:left="580"/>
              <w:spacing w:after="0"/>
              <w:rPr>
                <w:sz w:val="20"/>
                <w:szCs w:val="20"/>
                <w:color w:val="auto"/>
              </w:rPr>
            </w:pPr>
            <w:r>
              <w:rPr>
                <w:rFonts w:ascii="Arial" w:cs="Arial" w:eastAsia="Arial" w:hAnsi="Arial"/>
                <w:sz w:val="18"/>
                <w:szCs w:val="18"/>
                <w:color w:val="auto"/>
              </w:rPr>
              <w:t>Appointees to PAGP GP Board of Directors</w:t>
            </w:r>
          </w:p>
        </w:tc>
      </w:tr>
      <w:tr>
        <w:trPr>
          <w:trHeight w:val="432"/>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20" w:type="dxa"/>
            <w:vAlign w:val="bottom"/>
          </w:tcPr>
          <w:p>
            <w:pPr>
              <w:ind w:left="4420"/>
              <w:spacing w:after="0"/>
              <w:rPr>
                <w:sz w:val="20"/>
                <w:szCs w:val="20"/>
                <w:color w:val="auto"/>
              </w:rPr>
            </w:pPr>
            <w:r>
              <w:rPr>
                <w:rFonts w:ascii="Arial" w:cs="Arial" w:eastAsia="Arial" w:hAnsi="Arial"/>
                <w:sz w:val="18"/>
                <w:szCs w:val="18"/>
                <w:color w:val="auto"/>
              </w:rPr>
              <w:t>ii</w:t>
            </w:r>
          </w:p>
        </w:tc>
      </w:tr>
      <w:tr>
        <w:trPr>
          <w:trHeight w:val="132"/>
        </w:trPr>
        <w:tc>
          <w:tcPr>
            <w:tcW w:w="6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SIMPLIFICATION AGREEMENT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This Simplification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July 11, 2016 by and among PAA GP Holdings LLC, a Delaware limited liability company (“</w:t>
      </w:r>
      <w:r>
        <w:rPr>
          <w:rFonts w:ascii="Arial" w:cs="Arial" w:eastAsia="Arial" w:hAnsi="Arial"/>
          <w:sz w:val="18"/>
          <w:szCs w:val="18"/>
          <w:b w:val="1"/>
          <w:bCs w:val="1"/>
          <w:i w:val="1"/>
          <w:iCs w:val="1"/>
          <w:color w:val="auto"/>
        </w:rPr>
        <w:t>PAGP GP</w:t>
      </w:r>
      <w:r>
        <w:rPr>
          <w:rFonts w:ascii="Arial" w:cs="Arial" w:eastAsia="Arial" w:hAnsi="Arial"/>
          <w:sz w:val="18"/>
          <w:szCs w:val="18"/>
          <w:color w:val="auto"/>
        </w:rPr>
        <w:t>”), Plains GP Holdings, L.P., a Delaware limited partnership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Plains All American GP LLC, a Delaware limited liability company (“</w:t>
      </w:r>
      <w:r>
        <w:rPr>
          <w:rFonts w:ascii="Arial" w:cs="Arial" w:eastAsia="Arial" w:hAnsi="Arial"/>
          <w:sz w:val="18"/>
          <w:szCs w:val="18"/>
          <w:b w:val="1"/>
          <w:bCs w:val="1"/>
          <w:i w:val="1"/>
          <w:iCs w:val="1"/>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i w:val="1"/>
          <w:iCs w:val="1"/>
          <w:color w:val="auto"/>
        </w:rPr>
        <w:t>AAP</w:t>
      </w:r>
      <w:r>
        <w:rPr>
          <w:rFonts w:ascii="Arial" w:cs="Arial" w:eastAsia="Arial" w:hAnsi="Arial"/>
          <w:sz w:val="18"/>
          <w:szCs w:val="18"/>
          <w:color w:val="auto"/>
        </w:rPr>
        <w:t>”), PAA GP LLC, a Delaware limited liability company (“</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and Plains All American Pipeline, L.P., a Delaware limited partnership (“</w:t>
      </w:r>
      <w:r>
        <w:rPr>
          <w:rFonts w:ascii="Arial" w:cs="Arial" w:eastAsia="Arial" w:hAnsi="Arial"/>
          <w:sz w:val="18"/>
          <w:szCs w:val="18"/>
          <w:b w:val="1"/>
          <w:bCs w:val="1"/>
          <w:i w:val="1"/>
          <w:iCs w:val="1"/>
          <w:color w:val="auto"/>
        </w:rPr>
        <w:t>PAA</w:t>
      </w:r>
      <w:r>
        <w:rPr>
          <w:rFonts w:ascii="Arial" w:cs="Arial" w:eastAsia="Arial" w:hAnsi="Arial"/>
          <w:sz w:val="18"/>
          <w:szCs w:val="18"/>
          <w:color w:val="auto"/>
        </w:rPr>
        <w:t>”). Each of the parties hereto is sometimes individually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are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320" w:firstLine="656"/>
        <w:spacing w:after="0" w:line="277" w:lineRule="auto"/>
        <w:tabs>
          <w:tab w:leader="none" w:pos="1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 GP is the general partner of PAA and holds a 2.0% General Partner Interest (as defined in the PAA Partnership Agreement) in PAA (the “</w:t>
      </w:r>
      <w:r>
        <w:rPr>
          <w:rFonts w:ascii="Arial" w:cs="Arial" w:eastAsia="Arial" w:hAnsi="Arial"/>
          <w:sz w:val="18"/>
          <w:szCs w:val="18"/>
          <w:b w:val="1"/>
          <w:bCs w:val="1"/>
          <w:i w:val="1"/>
          <w:iCs w:val="1"/>
          <w:color w:val="auto"/>
        </w:rPr>
        <w:t>PAA General Partner Interest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656"/>
        <w:spacing w:after="0" w:line="264" w:lineRule="auto"/>
        <w:tabs>
          <w:tab w:leader="none" w:pos="1299" w:val="left"/>
        </w:tabs>
        <w:numPr>
          <w:ilvl w:val="0"/>
          <w:numId w:val="7"/>
        </w:numPr>
        <w:rPr>
          <w:rFonts w:ascii="Arial" w:cs="Arial" w:eastAsia="Arial" w:hAnsi="Arial"/>
          <w:sz w:val="18"/>
          <w:szCs w:val="18"/>
          <w:color w:val="auto"/>
        </w:rPr>
      </w:pPr>
      <w:r>
        <w:rPr>
          <w:rFonts w:ascii="Arial" w:cs="Arial" w:eastAsia="Arial" w:hAnsi="Arial"/>
          <w:sz w:val="18"/>
          <w:szCs w:val="18"/>
          <w:color w:val="auto"/>
        </w:rPr>
        <w:t>AAP is the sole member of PAA GP and a limited partner of PAA and holds (i) 100% of the limited liability company interests in PAA GP (the “</w:t>
      </w:r>
      <w:r>
        <w:rPr>
          <w:rFonts w:ascii="Arial" w:cs="Arial" w:eastAsia="Arial" w:hAnsi="Arial"/>
          <w:sz w:val="18"/>
          <w:szCs w:val="18"/>
          <w:b w:val="1"/>
          <w:bCs w:val="1"/>
          <w:i w:val="1"/>
          <w:iCs w:val="1"/>
          <w:color w:val="auto"/>
        </w:rPr>
        <w:t>PAA GP Membership Interests</w:t>
      </w:r>
      <w:r>
        <w:rPr>
          <w:rFonts w:ascii="Arial" w:cs="Arial" w:eastAsia="Arial" w:hAnsi="Arial"/>
          <w:sz w:val="18"/>
          <w:szCs w:val="18"/>
          <w:color w:val="auto"/>
        </w:rPr>
        <w:t>”) and (ii) all of the outstanding Incentive Distribution Rights (as defined in the PAA Partnership Agreement) in PAA (the “</w:t>
      </w:r>
      <w:r>
        <w:rPr>
          <w:rFonts w:ascii="Arial" w:cs="Arial" w:eastAsia="Arial" w:hAnsi="Arial"/>
          <w:sz w:val="18"/>
          <w:szCs w:val="18"/>
          <w:b w:val="1"/>
          <w:bCs w:val="1"/>
          <w:i w:val="1"/>
          <w:iCs w:val="1"/>
          <w:color w:val="auto"/>
        </w:rPr>
        <w:t>PAA IDRs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GP LLC is the general partner of AAP and holds a non-economic general partner interest in AAP (the “</w:t>
      </w:r>
      <w:r>
        <w:rPr>
          <w:rFonts w:ascii="Arial" w:cs="Arial" w:eastAsia="Arial" w:hAnsi="Arial"/>
          <w:sz w:val="16"/>
          <w:szCs w:val="16"/>
          <w:b w:val="1"/>
          <w:bCs w:val="1"/>
          <w:i w:val="1"/>
          <w:iCs w:val="1"/>
          <w:color w:val="auto"/>
        </w:rPr>
        <w:t>AAP General Partner Interest</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100" w:firstLine="656"/>
        <w:spacing w:after="0" w:line="273" w:lineRule="auto"/>
        <w:tabs>
          <w:tab w:leader="none" w:pos="1309" w:val="left"/>
        </w:tabs>
        <w:numPr>
          <w:ilvl w:val="0"/>
          <w:numId w:val="7"/>
        </w:numPr>
        <w:rPr>
          <w:rFonts w:ascii="Arial" w:cs="Arial" w:eastAsia="Arial" w:hAnsi="Arial"/>
          <w:sz w:val="17"/>
          <w:szCs w:val="17"/>
          <w:color w:val="auto"/>
        </w:rPr>
      </w:pPr>
      <w:r>
        <w:rPr>
          <w:rFonts w:ascii="Arial" w:cs="Arial" w:eastAsia="Arial" w:hAnsi="Arial"/>
          <w:sz w:val="17"/>
          <w:szCs w:val="17"/>
          <w:color w:val="auto"/>
        </w:rPr>
        <w:t>PAGP is the sole member of GP LLC, a limited partner of AAP and a member of PAGP GP and holds (i) 100% of the limited liability company interests in GP LLC (the “</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(ii) 267,032,219 Class A Units (as defined in the AAP Partnership Agreement) representing limited partner interests in AAP and having the rights and obligations specified in the AAP Partnership Agreement (“</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representing approximately 41.7% of the outstanding AAP Class A Units and (iii) 254,037,317 Company Units (as defined in the PAGP GP LLC Agreement) representing limited liability company interests in PAGP GP and having the rights and obligations specified in the PAGP GP LLC Agreement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Company Units</w:t>
      </w:r>
      <w:r>
        <w:rPr>
          <w:rFonts w:ascii="Arial" w:cs="Arial" w:eastAsia="Arial" w:hAnsi="Arial"/>
          <w:sz w:val="17"/>
          <w:szCs w:val="17"/>
          <w:color w:val="auto"/>
        </w:rPr>
        <w:t>”), representing approximately 41.9% of the outstanding PAGP GP Company Units.</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PAGP GP is the general partner of and holds a non-economic general partner interest in PAGP (the “</w:t>
      </w:r>
      <w:r>
        <w:rPr>
          <w:rFonts w:ascii="Arial" w:cs="Arial" w:eastAsia="Arial" w:hAnsi="Arial"/>
          <w:sz w:val="16"/>
          <w:szCs w:val="16"/>
          <w:b w:val="1"/>
          <w:bCs w:val="1"/>
          <w:i w:val="1"/>
          <w:iCs w:val="1"/>
          <w:color w:val="auto"/>
        </w:rPr>
        <w:t>PAGP General Partner Interest</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right="380" w:firstLine="656"/>
        <w:spacing w:after="0" w:line="342" w:lineRule="auto"/>
        <w:tabs>
          <w:tab w:leader="none" w:pos="1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Parties desire to enter into this Agreement to evidence their agreement to consummate a series of transactions that includes, among other related transactions, the issuance by PAA of PAA Common Units to AAP and the assumption by PAA of the outstanding debt under the AAP Credit</w:t>
      </w:r>
    </w:p>
    <w:p>
      <w:pPr>
        <w:sectPr>
          <w:pgSz w:w="11900" w:h="16838" w:orient="portrait"/>
          <w:cols w:equalWidth="0" w:num="1">
            <w:col w:w="11460"/>
          </w:cols>
          <w:pgMar w:left="240" w:top="341" w:right="199" w:bottom="0" w:gutter="0" w:footer="0" w:header="0"/>
        </w:sectPr>
      </w:pPr>
    </w:p>
    <w:bookmarkStart w:id="6" w:name="page7"/>
    <w:bookmarkEnd w:id="6"/>
    <w:p>
      <w:pPr>
        <w:spacing w:after="0" w:line="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Agreement in exchange for (i) AAP’s direct interest in the PAA IDRs and (ii) AAP’s indirect interest in the economic rights associated with the PAA General Partner Interest.</w:t>
      </w:r>
    </w:p>
    <w:p>
      <w:pPr>
        <w:spacing w:after="0" w:line="170" w:lineRule="exact"/>
        <w:rPr>
          <w:sz w:val="20"/>
          <w:szCs w:val="20"/>
          <w:color w:val="auto"/>
        </w:rPr>
      </w:pPr>
    </w:p>
    <w:p>
      <w:pPr>
        <w:ind w:right="240" w:firstLine="656"/>
        <w:spacing w:after="0" w:line="277" w:lineRule="auto"/>
        <w:tabs>
          <w:tab w:leader="none" w:pos="130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GP LLC Conflicts Committee (as defined below) has approved the Transactions on behalf of PAA pursuant to the terms of the PAA Partnership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of Directors of GP LLC has approved the Transactions on behalf of GP LLC, AAP and PAA GP pursuant to the organizational documents of such entities.</w:t>
      </w:r>
    </w:p>
    <w:p>
      <w:pPr>
        <w:spacing w:after="0" w:line="170" w:lineRule="exact"/>
        <w:rPr>
          <w:rFonts w:ascii="Arial" w:cs="Arial" w:eastAsia="Arial" w:hAnsi="Arial"/>
          <w:sz w:val="18"/>
          <w:szCs w:val="18"/>
          <w:color w:val="auto"/>
        </w:rPr>
      </w:pPr>
    </w:p>
    <w:p>
      <w:pPr>
        <w:ind w:right="160" w:firstLine="656"/>
        <w:spacing w:after="0" w:line="277" w:lineRule="auto"/>
        <w:tabs>
          <w:tab w:leader="none" w:pos="129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of Directors of PAGP GP (the “</w:t>
      </w:r>
      <w:r>
        <w:rPr>
          <w:rFonts w:ascii="Arial" w:cs="Arial" w:eastAsia="Arial" w:hAnsi="Arial"/>
          <w:sz w:val="18"/>
          <w:szCs w:val="18"/>
          <w:b w:val="1"/>
          <w:bCs w:val="1"/>
          <w:i w:val="1"/>
          <w:iCs w:val="1"/>
          <w:color w:val="auto"/>
        </w:rPr>
        <w:t>PAGP GP Board</w:t>
      </w:r>
      <w:r>
        <w:rPr>
          <w:rFonts w:ascii="Arial" w:cs="Arial" w:eastAsia="Arial" w:hAnsi="Arial"/>
          <w:sz w:val="18"/>
          <w:szCs w:val="18"/>
          <w:color w:val="auto"/>
        </w:rPr>
        <w:t>”) has, subject to receipt of the Required Shareholder Approval, approved the Transactions pursuant to the terms of the PAGP Partnership Agreement.</w:t>
      </w:r>
    </w:p>
    <w:p>
      <w:pPr>
        <w:spacing w:after="0" w:line="170" w:lineRule="exact"/>
        <w:rPr>
          <w:rFonts w:ascii="Arial" w:cs="Arial" w:eastAsia="Arial" w:hAnsi="Arial"/>
          <w:sz w:val="18"/>
          <w:szCs w:val="18"/>
          <w:color w:val="auto"/>
        </w:rPr>
      </w:pPr>
    </w:p>
    <w:p>
      <w:pPr>
        <w:ind w:right="60" w:firstLine="656"/>
        <w:spacing w:after="0" w:line="312"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Concurrently with the execution of this Agreement, Existing Owners holding a Share Majority (as such term is defined in the PAGP Partnership Agreement) have entered into a Voting Agreement irrevocably obligating such Existing Owners to vote the PAGP Class A Shares and PAGP Class B Shares held by them in favor of this Agreement and the Transactions, subject to the terms and conditions set forth therein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NOW, THEREFORE, for and in consideration of the premises and mutual covenants herein contained, the parties hereto hereby agree as follows: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specified or referred to in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AAP Partnership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Administrative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2.9(a)(iii)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GP LLC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PAA Partnership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PAGP GP LLC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PAGP Partnership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AAP Assumed Debt”</w:t>
      </w:r>
      <w:r>
        <w:rPr>
          <w:rFonts w:ascii="Arial" w:cs="Arial" w:eastAsia="Arial" w:hAnsi="Arial"/>
          <w:sz w:val="16"/>
          <w:szCs w:val="16"/>
          <w:color w:val="auto"/>
        </w:rPr>
        <w:t xml:space="preserve"> means the AAP debt issued pursuant to the AAP Credit Agreement that is assumed by PAA pursuant to </w:t>
      </w:r>
      <w:r>
        <w:rPr>
          <w:rFonts w:ascii="Arial" w:cs="Arial" w:eastAsia="Arial" w:hAnsi="Arial"/>
          <w:sz w:val="16"/>
          <w:szCs w:val="16"/>
          <w:u w:val="single" w:color="auto"/>
          <w:color w:val="auto"/>
        </w:rPr>
        <w:t>Section 2.5(d)</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is defined in the Recitals.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Class B Units representing limited partner interests in AAP and having the rights and obligations specified in the AAP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AAP Credit Agreement</w:t>
      </w:r>
      <w:r>
        <w:rPr>
          <w:rFonts w:ascii="Arial" w:cs="Arial" w:eastAsia="Arial" w:hAnsi="Arial"/>
          <w:sz w:val="16"/>
          <w:szCs w:val="16"/>
          <w:color w:val="auto"/>
        </w:rPr>
        <w:t>” means the Second Amended and Restated Credit Agreement dated as of September 26, 2013 among AAP, Citibank, 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lenders party 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General Partner Interest</w:t>
      </w:r>
      <w:r>
        <w:rPr>
          <w:rFonts w:ascii="Arial" w:cs="Arial" w:eastAsia="Arial" w:hAnsi="Arial"/>
          <w:sz w:val="18"/>
          <w:szCs w:val="18"/>
          <w:color w:val="auto"/>
        </w:rPr>
        <w:t>” is defined in the Recitals.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Seventh Amended and Restated Limited Partnership Agreement of AAP, dated as of October 21, 2013, as amended by Amendment No. 1 thereto, dated as of December 31, 2013.</w:t>
      </w:r>
    </w:p>
    <w:p>
      <w:pPr>
        <w:spacing w:after="0" w:line="170"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AAP Reverse Unit Split</w:t>
      </w:r>
      <w:r>
        <w:rPr>
          <w:rFonts w:ascii="Arial" w:cs="Arial" w:eastAsia="Arial" w:hAnsi="Arial"/>
          <w:sz w:val="16"/>
          <w:szCs w:val="16"/>
          <w:color w:val="auto"/>
        </w:rPr>
        <w:t>” means a reverse split (a) of the outstanding AAP Class A Units such that each holder of outstanding AAP Class A Units will hold following the completion of such reverse split (after taking into account any rounding mechanics utilized in such split), a number of outstanding AAP Class A Units equal to the product of (i) the number of AAP Class A Units held by such holder immediately prior to the split and (ii) the Exchange Ratio, and (b) of the outstanding AAP Class B Units such that each holder of outstanding AAP Class B Units will hold following the completion of such reverse split (after taking into account any rounding mechanics utilized in such split), a number of outstanding AAP Class B Units equal to the product of</w:t>
      </w:r>
    </w:p>
    <w:p>
      <w:pPr>
        <w:spacing w:after="0" w:line="2" w:lineRule="exact"/>
        <w:rPr>
          <w:sz w:val="20"/>
          <w:szCs w:val="20"/>
          <w:color w:val="auto"/>
        </w:rPr>
      </w:pPr>
    </w:p>
    <w:p>
      <w:pPr>
        <w:ind w:left="660" w:right="3020" w:hanging="652"/>
        <w:spacing w:after="0" w:line="524" w:lineRule="auto"/>
        <w:tabs>
          <w:tab w:leader="none" w:pos="22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AAP Class B Units held by such holder immediately prior to the split and (ii) the Exchange Ratio. “</w:t>
      </w:r>
      <w:r>
        <w:rPr>
          <w:rFonts w:ascii="Arial" w:cs="Arial" w:eastAsia="Arial" w:hAnsi="Arial"/>
          <w:sz w:val="17"/>
          <w:szCs w:val="17"/>
          <w:b w:val="1"/>
          <w:bCs w:val="1"/>
          <w:i w:val="1"/>
          <w:iCs w:val="1"/>
          <w:color w:val="auto"/>
        </w:rPr>
        <w:t>AAP Revolving Credit Facility</w:t>
      </w:r>
      <w:r>
        <w:rPr>
          <w:rFonts w:ascii="Arial" w:cs="Arial" w:eastAsia="Arial" w:hAnsi="Arial"/>
          <w:sz w:val="17"/>
          <w:szCs w:val="17"/>
          <w:color w:val="auto"/>
        </w:rPr>
        <w:t>” means the revolving credit facility under the AAP Credit Agreement. “</w:t>
      </w:r>
      <w:r>
        <w:rPr>
          <w:rFonts w:ascii="Arial" w:cs="Arial" w:eastAsia="Arial" w:hAnsi="Arial"/>
          <w:sz w:val="17"/>
          <w:szCs w:val="17"/>
          <w:b w:val="1"/>
          <w:bCs w:val="1"/>
          <w:i w:val="1"/>
          <w:iCs w:val="1"/>
          <w:color w:val="auto"/>
        </w:rPr>
        <w:t>AAP Term Loan</w:t>
      </w:r>
      <w:r>
        <w:rPr>
          <w:rFonts w:ascii="Arial" w:cs="Arial" w:eastAsia="Arial" w:hAnsi="Arial"/>
          <w:sz w:val="17"/>
          <w:szCs w:val="17"/>
          <w:color w:val="auto"/>
        </w:rPr>
        <w:t>” means the term loan under the AAP Credit Agreement.</w:t>
      </w:r>
    </w:p>
    <w:p>
      <w:pPr>
        <w:spacing w:after="0" w:line="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specified Person through one or more intermediaries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defined in the Preamble.</w:t>
      </w:r>
    </w:p>
    <w:p>
      <w:pPr>
        <w:sectPr>
          <w:pgSz w:w="11900" w:h="16874" w:orient="portrait"/>
          <w:cols w:equalWidth="0" w:num="1">
            <w:col w:w="11360"/>
          </w:cols>
          <w:pgMar w:left="240" w:top="125" w:right="299" w:bottom="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Barclays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each day of the week except Saturdays, Sundays and days on which banking institutions are authorized or required to close in the State of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Recommendation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on which Closing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Commitments</w:t>
      </w:r>
      <w:r>
        <w:rPr>
          <w:rFonts w:ascii="Arial" w:cs="Arial" w:eastAsia="Arial" w:hAnsi="Arial"/>
          <w:sz w:val="16"/>
          <w:szCs w:val="16"/>
          <w:color w:val="auto"/>
        </w:rPr>
        <w:t>” means (a) options, warrants, convertible securities, exchangeable securities, subscription rights, conversion rights, exchange rights or other contracts or agreements that could require a Person to issue any of its Equity Interests or to sell any Equity Interests it owns in another Person;</w:t>
      </w:r>
    </w:p>
    <w:p>
      <w:pPr>
        <w:jc w:val="both"/>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securities convertible into, exchangeable or exercisable for, or representing the right to subscribe for any Equity Interest of a Person or owned by a Person; (c) statutory pre-emptive rights or pre-emptive rights granted under a Person’s organizational documents; and (d) stock appreciation rights, phantom stock, profit participation or other similar rights with respect to a Person.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“Common Unit Fungibility”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Contributed AAP Units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LLC Act</w:t>
      </w:r>
      <w:r>
        <w:rPr>
          <w:rFonts w:ascii="Arial" w:cs="Arial" w:eastAsia="Arial" w:hAnsi="Arial"/>
          <w:sz w:val="18"/>
          <w:szCs w:val="18"/>
          <w:color w:val="auto"/>
        </w:rPr>
        <w:t>” means the Delaware Limited Liability Company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LP Act</w:t>
      </w:r>
      <w:r>
        <w:rPr>
          <w:rFonts w:ascii="Arial" w:cs="Arial" w:eastAsia="Arial" w:hAnsi="Arial"/>
          <w:sz w:val="18"/>
          <w:szCs w:val="18"/>
          <w:color w:val="auto"/>
        </w:rPr>
        <w:t>” means the Delaware Revised Uniform Limited Partnership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mortgage, pledge, lien, encumbrance, charge, or other security interest.</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with respect to a corporation, any and all shares of capital stock and any Commitments with respect thereto, (b) with respect to a partnership, limited liability company, trust or similar Person, any and all units, interests or other partnership/limited liability company interests, and any Commitments with respect thereto, and (c) any other direct or indirect equity ownership or participation in a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jc w:val="both"/>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means the quotient resulting from the division of (a) 245,500,000 by (b) 653,758,644 (as such figure may be reduced prior to Closing to account for the forfeiture of any AAP Class B Units during the period between the date hereof and the Closing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xml:space="preserve">” means the Persons identified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225"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means any legislature, agency, bureau, branch, department, division, commission, court, tribunal, magistrate, justice, multi-national organization, quasi-governmental body, or other similar recognized organization or body of any federal, state, county, municipal, local, or foreign government or other similar recognized organization or body exercising similar powers or authority having competent jurisdiction.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w:t>
      </w:r>
      <w:r>
        <w:rPr>
          <w:rFonts w:ascii="Arial" w:cs="Arial" w:eastAsia="Arial" w:hAnsi="Arial"/>
          <w:sz w:val="18"/>
          <w:szCs w:val="18"/>
          <w:color w:val="auto"/>
        </w:rPr>
        <w:t>” is defined in the Preamble.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 Agreement</w:t>
      </w:r>
      <w:r>
        <w:rPr>
          <w:rFonts w:ascii="Arial" w:cs="Arial" w:eastAsia="Arial" w:hAnsi="Arial"/>
          <w:sz w:val="18"/>
          <w:szCs w:val="18"/>
          <w:color w:val="auto"/>
        </w:rPr>
        <w:t>” means the Sixth Amended and Restated Limited Liability Company Agreement of GP LLC, dated as of October 21, 2013, as amended by Amendment No. 1 thereto, dated as of January 28, 2016.</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 Conflicts Committee</w:t>
      </w:r>
      <w:r>
        <w:rPr>
          <w:rFonts w:ascii="Arial" w:cs="Arial" w:eastAsia="Arial" w:hAnsi="Arial"/>
          <w:sz w:val="18"/>
          <w:szCs w:val="18"/>
          <w:color w:val="auto"/>
        </w:rPr>
        <w:t>” means a committee of the board of directors of GP LLC satisfying the requirements of a “Conflicts Committee” set forth in the PAA Partnership Agreement and in the GP LLC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 Membership Interests</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IDR Redemption and Exchange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PAA GP Capacity</w:t>
      </w:r>
      <w:r>
        <w:rPr>
          <w:rFonts w:ascii="Arial" w:cs="Arial" w:eastAsia="Arial" w:hAnsi="Arial"/>
          <w:sz w:val="18"/>
          <w:szCs w:val="18"/>
          <w:color w:val="auto"/>
        </w:rPr>
        <w:t>” means the capacity in which GP LLC is acting when it takes action as the general partner of AAP, in AAP’s capacity as the sole member of PAA GP, in PAA GP’s capacity as the general partner of PAA.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Intended Tax Treatment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Jefferies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3.5(f)</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8" w:name="page9"/>
    <w:bookmarkEnd w:id="8"/>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law (statutory, common, or otherwise), constitution, treaty, convention, ordinance, equitable principle, code, rule, regulation, executive order, or other similar authority enacted, adopted, promulgated, or applied by any Governmental Authority, each as amended and now and hereinafter in effect.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Non-Contribution Revolver Borrowings</w:t>
      </w:r>
      <w:r>
        <w:rPr>
          <w:rFonts w:ascii="Arial" w:cs="Arial" w:eastAsia="Arial" w:hAnsi="Arial"/>
          <w:sz w:val="18"/>
          <w:szCs w:val="18"/>
          <w:color w:val="auto"/>
        </w:rPr>
        <w:t>” means amounts included in the AAP Assumed Debt that are attributable to the outstanding balance of the AAP Revolving Credit Facility to the extent not attributable under Temporary Treasury Regulations Section 1.163-8T solely to capital contributions to PAA to satisfy PAA GP’s contribution obligations under the PAA Partnership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Non-Economic PAA General Partner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2.9(a)(ii)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order, writ, injunction, decree, ruling, compliance or consent order or decree, settlement agreement, schedule and similar binding legal agreement issued by or entered into with a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w:t>
      </w:r>
      <w:r>
        <w:rPr>
          <w:rFonts w:ascii="Arial" w:cs="Arial" w:eastAsia="Arial" w:hAnsi="Arial"/>
          <w:sz w:val="18"/>
          <w:szCs w:val="18"/>
          <w:color w:val="auto"/>
        </w:rPr>
        <w:t>” is defined in the Preamble.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Common Unit</w:t>
      </w:r>
      <w:r>
        <w:rPr>
          <w:rFonts w:ascii="Arial" w:cs="Arial" w:eastAsia="Arial" w:hAnsi="Arial"/>
          <w:sz w:val="18"/>
          <w:szCs w:val="18"/>
          <w:color w:val="auto"/>
        </w:rPr>
        <w:t>” means a common unit representing a limited partner interest in PAA and having the rights and obligations specified in the PAA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Common Unit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General Partner Interest</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General Partner Interest Recapitalization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 LLC Agreement</w:t>
      </w:r>
      <w:r>
        <w:rPr>
          <w:rFonts w:ascii="Arial" w:cs="Arial" w:eastAsia="Arial" w:hAnsi="Arial"/>
          <w:sz w:val="18"/>
          <w:szCs w:val="18"/>
          <w:color w:val="auto"/>
        </w:rPr>
        <w:t>” means the Limited Liability Company Agreement of PAA GP, dated as of December 28,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 Membership Interests</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IDRs</w:t>
      </w:r>
      <w:r>
        <w:rPr>
          <w:rFonts w:ascii="Arial" w:cs="Arial" w:eastAsia="Arial" w:hAnsi="Arial"/>
          <w:sz w:val="18"/>
          <w:szCs w:val="18"/>
          <w:color w:val="auto"/>
        </w:rPr>
        <w:t>” is defined in the Recitals.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Partnership Agreement</w:t>
      </w:r>
      <w:r>
        <w:rPr>
          <w:rFonts w:ascii="Arial" w:cs="Arial" w:eastAsia="Arial" w:hAnsi="Arial"/>
          <w:sz w:val="18"/>
          <w:szCs w:val="18"/>
          <w:color w:val="auto"/>
        </w:rPr>
        <w:t>” means the Fifth Amended and Restated Agreement of Limited Partnership of PAA dated as of January 28, 2016, as amended by Amendment No. 1 thereto, dated as of July 10, 2016.</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SEC Reports</w:t>
      </w:r>
      <w:r>
        <w:rPr>
          <w:rFonts w:ascii="Arial" w:cs="Arial" w:eastAsia="Arial" w:hAnsi="Arial"/>
          <w:sz w:val="18"/>
          <w:szCs w:val="18"/>
          <w:color w:val="auto"/>
        </w:rPr>
        <w:t>” means the forms, reports, schedules, registration statements and other documents filed with or furnished to the SEC by PAA and PAGP on or after January 1, 2015 and prior to the date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Series A PIK Units</w:t>
      </w:r>
      <w:r>
        <w:rPr>
          <w:rFonts w:ascii="Arial" w:cs="Arial" w:eastAsia="Arial" w:hAnsi="Arial"/>
          <w:sz w:val="18"/>
          <w:szCs w:val="18"/>
          <w:color w:val="auto"/>
        </w:rPr>
        <w:t>” has the meaning given to the term “Series A PIK Units” in the PAA Partnership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“PAA Series A Preferred Unit</w:t>
      </w:r>
      <w:r>
        <w:rPr>
          <w:rFonts w:ascii="Arial" w:cs="Arial" w:eastAsia="Arial" w:hAnsi="Arial"/>
          <w:sz w:val="18"/>
          <w:szCs w:val="18"/>
          <w:color w:val="auto"/>
        </w:rPr>
        <w:t>” means a Series A Preferred Unit representing a limited partner interest in PAA and having the rights and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the PAA Partnership Agreement.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PAA/AAP Interest Restructuring</w:t>
      </w:r>
      <w:r>
        <w:rPr>
          <w:rFonts w:ascii="Arial" w:cs="Arial" w:eastAsia="Arial" w:hAnsi="Arial"/>
          <w:sz w:val="18"/>
          <w:szCs w:val="18"/>
          <w:color w:val="auto"/>
        </w:rPr>
        <w:t xml:space="preserve">” means collectively the PAA General Partner Interest Recapitalization, the IDR Redemption and Exchange and the assumption of the AAP Assumed Debt pursuant to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is defined in the Preamble.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Class A Shares representing limited partner interests in PAGP and having the rights and obligations specified in the PAGP Partnership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Class B Shares representing limited partner interests in PAGP and having the rights and obligations specified in the PAGP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C Share Issuance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C Shares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General Partner Interest</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Board</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Board Recommendation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p>
    <w:p>
      <w:pPr>
        <w:sectPr>
          <w:pgSz w:w="11900" w:h="16838" w:orient="portrait"/>
          <w:cols w:equalWidth="0" w:num="1">
            <w:col w:w="11400"/>
          </w:cols>
          <w:pgMar w:left="240" w:top="125" w:right="25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Company Units</w:t>
      </w:r>
      <w:r>
        <w:rPr>
          <w:rFonts w:ascii="Arial" w:cs="Arial" w:eastAsia="Arial" w:hAnsi="Arial"/>
          <w:sz w:val="18"/>
          <w:szCs w:val="18"/>
          <w:color w:val="auto"/>
        </w:rPr>
        <w:t>” is defined in the Recitals.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LLC Agreement</w:t>
      </w:r>
      <w:r>
        <w:rPr>
          <w:rFonts w:ascii="Arial" w:cs="Arial" w:eastAsia="Arial" w:hAnsi="Arial"/>
          <w:sz w:val="18"/>
          <w:szCs w:val="18"/>
          <w:color w:val="auto"/>
        </w:rPr>
        <w:t>” means the Amended and Restated Limited Liability Company Agreement of PAGP GP, dated as of October 21, 2013, as amended by Amendment No. 1 thereto, dated as of December 31, 2013.</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Reverse Unit Split</w:t>
      </w:r>
      <w:r>
        <w:rPr>
          <w:rFonts w:ascii="Arial" w:cs="Arial" w:eastAsia="Arial" w:hAnsi="Arial"/>
          <w:sz w:val="18"/>
          <w:szCs w:val="18"/>
          <w:color w:val="auto"/>
        </w:rPr>
        <w:t>” means a reverse split of the outstanding PAGP GP Company Units at a ratio such that, to the greatest extent possible, following the completion of such reverse split (after taking into account any rounding mechanics utilized in such split), the number of outstanding PAGP GP Company Units held by each holder of such units shall equal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product of (i) the number of PAGP GP Company Units held by such holder immediately prior to the split and (ii) the Exchange Ratio.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Partnership Agreement</w:t>
      </w:r>
      <w:r>
        <w:rPr>
          <w:rFonts w:ascii="Arial" w:cs="Arial" w:eastAsia="Arial" w:hAnsi="Arial"/>
          <w:sz w:val="16"/>
          <w:szCs w:val="16"/>
          <w:color w:val="auto"/>
        </w:rPr>
        <w:t>” means the Amended and Restated Agreement of Limited Partnership of PAGP, dated as of October 21, 2013.</w:t>
      </w:r>
    </w:p>
    <w:p>
      <w:pPr>
        <w:spacing w:after="0" w:line="2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Reverse Stock Split</w:t>
      </w:r>
      <w:r>
        <w:rPr>
          <w:rFonts w:ascii="Arial" w:cs="Arial" w:eastAsia="Arial" w:hAnsi="Arial"/>
          <w:sz w:val="16"/>
          <w:szCs w:val="16"/>
          <w:color w:val="auto"/>
        </w:rPr>
        <w:t>” means a reverse split of the outstanding PAGP Class A Shares and PAGP Class B Shares at a ratio such that, to the greatest extent possible, following the completion of such reverse split (after taking into account any rounding mechanics utilized in such split), the number of outstanding PAGP Class A Shares or PAGP Class B Shares, as applicable, held by each holder of such partnership interests shall equal the product of (i) the number of PAGP Class A Shares or PAGP Class B Shares, as applicable, held by such holder immediately prior to the split and (ii) the Exchange Ratio.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Reverse Stock Split Effective Time</w:t>
      </w:r>
      <w:r>
        <w:rPr>
          <w:rFonts w:ascii="Arial" w:cs="Arial" w:eastAsia="Arial" w:hAnsi="Arial"/>
          <w:sz w:val="18"/>
          <w:szCs w:val="18"/>
          <w:color w:val="auto"/>
        </w:rPr>
        <w:t>” is defined in Section 2.7(a).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is defined in the Preamble.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or entity, including any firm, corporation, partnership (general or limited), limited liability company, trust, joint venture,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Q3 Distribution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Q3 Distribution True-Up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2.9(a)(i)</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shall mean with respect to a Person, its directors, officers, employees, agents and representatives, including any investment banker, financial advisor, attorney, accountant or other advisor, agent or representative.</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Shareholder Approval</w:t>
      </w:r>
      <w:r>
        <w:rPr>
          <w:rFonts w:ascii="Arial" w:cs="Arial" w:eastAsia="Arial" w:hAnsi="Arial"/>
          <w:sz w:val="18"/>
          <w:szCs w:val="18"/>
          <w:color w:val="auto"/>
        </w:rPr>
        <w:t>” means the affirmative vote of holders of a Share Majority (as such term is defined in the PAGP Partnership Agreement) in favor of the Shareholder Proposal.</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shall mean, with respect to any Person, securities or obligations convertible into or exchangeable for, or giving any person any right to subscribe for or acquire, or any options, calls or commitments relating to, Equity Interests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Conversion Rate</w:t>
      </w:r>
      <w:r>
        <w:rPr>
          <w:rFonts w:ascii="Arial" w:cs="Arial" w:eastAsia="Arial" w:hAnsi="Arial"/>
          <w:sz w:val="18"/>
          <w:szCs w:val="18"/>
          <w:color w:val="auto"/>
        </w:rPr>
        <w:t>” has the meaning given such term in the PAA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Meeting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Proposal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any corporation, limited liability company, partnership, association or other business entity of which a majority of the Voting Interests are at the time owned or Controlled, directly or indirectly, by that Person or one or more of the other Subsidiaries of that Person or a combination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“Tax Opinion”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“Tax Opinion Certificate”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the Omnibus Agreement, the Registration Rights Agreement, the A&amp;R PAA Partnership Agreement, the A&amp;R AAP Partnership Agreement, the A&amp;R GP LLC Agreement, the A&amp;R PAGP Partnership Agreement, the A&amp;R PAGP GP LLC Agreement, the A&amp;R Administrative Agreement, the Voting Agreement, and each of the other documents and agreements to be delivered by the Parties in connection with the consummation of the Transactions.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xml:space="preserve">” means the transactions contemplated by this Agreement and the other Transaction Documents, including each of the Transactions contemplated by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Tudor Pickering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Agreement</w:t>
      </w:r>
      <w:r>
        <w:rPr>
          <w:rFonts w:ascii="Arial" w:cs="Arial" w:eastAsia="Arial" w:hAnsi="Arial"/>
          <w:sz w:val="18"/>
          <w:szCs w:val="18"/>
          <w:color w:val="auto"/>
        </w:rPr>
        <w:t>” is defined in the Recitals.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Interests</w:t>
      </w:r>
      <w:r>
        <w:rPr>
          <w:rFonts w:ascii="Arial" w:cs="Arial" w:eastAsia="Arial" w:hAnsi="Arial"/>
          <w:sz w:val="16"/>
          <w:szCs w:val="16"/>
          <w:color w:val="auto"/>
        </w:rPr>
        <w:t>” of any Person as of any date means (i) the equity interests of such Person pursuant to which the holders thereof have the general voting power under ordinary circumstances and are entitled to vote in the election of at least a majority of the board of directors, managers or trustees of such Person (regardless of whether, at the time, equity interests of any other class or classes shall have, or might have, voting power by reason of the occurrence of any contingency) or (ii) with respect to a partnership (whether general or limited), any general partner interest in such partnership.</w:t>
      </w:r>
    </w:p>
    <w:p>
      <w:pPr>
        <w:spacing w:after="0" w:line="150"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Certain Interpretive Matters</w:t>
      </w:r>
      <w:r>
        <w:rPr>
          <w:rFonts w:ascii="Arial" w:cs="Arial" w:eastAsia="Arial" w:hAnsi="Arial"/>
          <w:sz w:val="17"/>
          <w:szCs w:val="17"/>
          <w:color w:val="auto"/>
        </w:rPr>
        <w:t>. In this Agreement:</w:t>
      </w:r>
    </w:p>
    <w:p>
      <w:pPr>
        <w:spacing w:after="0" w:line="229" w:lineRule="exact"/>
        <w:rPr>
          <w:sz w:val="20"/>
          <w:szCs w:val="20"/>
          <w:color w:val="auto"/>
        </w:rPr>
      </w:pPr>
    </w:p>
    <w:p>
      <w:pPr>
        <w:ind w:left="660" w:right="160" w:firstLine="645"/>
        <w:spacing w:after="0" w:line="342" w:lineRule="auto"/>
        <w:tabs>
          <w:tab w:leader="none" w:pos="19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reference to a statute, regulation or Law will be deemed also to refer to any amendment thereto and all rules and regulations promulgated thereunder, in each case as of the date of such reference but not thereafter, unless the context expressly requires otherwise;</w:t>
      </w:r>
    </w:p>
    <w:p>
      <w:pPr>
        <w:spacing w:after="0" w:line="123" w:lineRule="exact"/>
        <w:rPr>
          <w:rFonts w:ascii="Arial" w:cs="Arial" w:eastAsia="Arial" w:hAnsi="Arial"/>
          <w:sz w:val="16"/>
          <w:szCs w:val="16"/>
          <w:color w:val="auto"/>
        </w:rPr>
      </w:pPr>
    </w:p>
    <w:p>
      <w:pPr>
        <w:ind w:left="660" w:right="380" w:firstLine="645"/>
        <w:spacing w:after="0" w:line="342" w:lineRule="auto"/>
        <w:tabs>
          <w:tab w:leader="none" w:pos="1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reference to an agreement, instrument or document will be deemed to refer to that agreement, instrument or document as amended, restated, supplemented and otherwise modified from time to time, unless the context expressly requires otherwise;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words “include,” “includes,” and “including” will be deemed to be followed by “without limitation”;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Examples will not be construed to limit, expressly or by implication, the matter they illustrate;</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pronoun will include the corresponding masculine, feminine or neuter forms, and the singular form of nouns, pronouns and verbs will include the plural and vice versa, unless the context otherwise expressly requires;</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words “this Agreement,” “herein,” “hereof,” “hereby,” “hereunder,” and words of similar import refer to this Agreement as a whole and not to any particular subdivision unless expressly so limited;</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“cost” includes expense and the term “expense” includes cost;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headings and titles herein are for convenience only and will have no significance in the interpretation hereof;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amounts referenced herein are in U.S. Dollars;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the context otherwise requires, all references to time mean time in Houston, Texas;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refers to calendar days unless Business Days are specified; and</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 term is defined as one part of speech (such as a noun), it has a corresponding meaning when used as another part of speech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as a verb).</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CLOSING; CLOSING TRANSACTIONS</w:t>
      </w:r>
    </w:p>
    <w:p>
      <w:pPr>
        <w:spacing w:after="0" w:line="20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The Closing</w:t>
      </w:r>
      <w:r>
        <w:rPr>
          <w:rFonts w:ascii="Arial" w:cs="Arial" w:eastAsia="Arial" w:hAnsi="Arial"/>
          <w:sz w:val="18"/>
          <w:szCs w:val="18"/>
          <w:color w:val="auto"/>
        </w:rPr>
        <w:t>. Upon the terms and subject to the conditions of this Agreement, the closing of the Transactions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place at 8:30 a.m., Houston, Texas time, on the first Business Day after satisfaction (or waiver in accordance with this Agreement) of the last to occur of the conditions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any such conditions which by their nature cannot be satisfied until the Closing Date, which shall be required to be so satisfied or (to the extent permitted by applicable law and this Agreement) waived on the Closing Date), at the offices of Vinson &amp; Elkins L.L.P., in Houston, Texas, unless another date or place is agreed to in writing by the Parties.</w:t>
      </w:r>
    </w:p>
    <w:p>
      <w:pPr>
        <w:spacing w:after="0" w:line="184"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Closing Transactions; Order of Closing Transactions</w:t>
      </w:r>
      <w:r>
        <w:rPr>
          <w:rFonts w:ascii="Arial" w:cs="Arial" w:eastAsia="Arial" w:hAnsi="Arial"/>
          <w:sz w:val="16"/>
          <w:szCs w:val="16"/>
          <w:color w:val="auto"/>
        </w:rPr>
        <w:t>. At the Closing, upon the terms and subject to the conditions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Transactions shall be consummated as set forth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The Transactions provided for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completed in the order set forth below, with each Transaction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occurring immediately following and conditioned upon the consummation of the prior Transaction (except in the case of the adoption of the governance documents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which shall be deemed to have occurred at such time, if any, as is necessary to consummate any earlier Transaction), and the deliveries set forth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occurring immediately thereafter or, to the extent necessary to consummate any earlier Transaction contemplated by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2.8</w:t>
      </w:r>
      <w:r>
        <w:rPr>
          <w:rFonts w:ascii="Arial" w:cs="Arial" w:eastAsia="Arial" w:hAnsi="Arial"/>
          <w:sz w:val="16"/>
          <w:szCs w:val="16"/>
          <w:color w:val="auto"/>
        </w:rPr>
        <w:t>, at the time of such earlier Transaction.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Contribution of AAP Class A Units from PAGP to GP LLC</w:t>
      </w:r>
      <w:r>
        <w:rPr>
          <w:rFonts w:ascii="Arial" w:cs="Arial" w:eastAsia="Arial" w:hAnsi="Arial"/>
          <w:sz w:val="18"/>
          <w:szCs w:val="18"/>
          <w:color w:val="auto"/>
        </w:rPr>
        <w:t>. PAGP shall, and effective as of and contingent upon the Closing,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does, contribute and assign to GP LLC a number of AAP Class A Units representing 1.0% of all of the AAP Class A Units then held by PAGP (the “</w:t>
      </w:r>
      <w:r>
        <w:rPr>
          <w:rFonts w:ascii="Arial" w:cs="Arial" w:eastAsia="Arial" w:hAnsi="Arial"/>
          <w:sz w:val="18"/>
          <w:szCs w:val="18"/>
          <w:b w:val="1"/>
          <w:bCs w:val="1"/>
          <w:i w:val="1"/>
          <w:iCs w:val="1"/>
          <w:color w:val="auto"/>
        </w:rPr>
        <w:t>Contributed AAP Units</w:t>
      </w:r>
      <w:r>
        <w:rPr>
          <w:rFonts w:ascii="Arial" w:cs="Arial" w:eastAsia="Arial" w:hAnsi="Arial"/>
          <w:sz w:val="18"/>
          <w:szCs w:val="18"/>
          <w:color w:val="auto"/>
        </w:rPr>
        <w:t>”). GP LLC shall, and effective as of and contingent upon the Closing, hereby (a) accepts such Contributed AAP Units as a contribution to the capital of GP LLC, (b) agrees to be bound by the AAP Partnership Agreement as a limited partner of AAP and (c) is admitted as a limited partner of AAP with respect to the Contributed AAP Units.</w:t>
      </w:r>
    </w:p>
    <w:p>
      <w:pPr>
        <w:spacing w:after="0" w:line="184"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Election to Treat GP LLC as a Corporation for U.S. Federal Income Tax Purposes</w:t>
      </w:r>
      <w:r>
        <w:rPr>
          <w:rFonts w:ascii="Arial" w:cs="Arial" w:eastAsia="Arial" w:hAnsi="Arial"/>
          <w:sz w:val="18"/>
          <w:szCs w:val="18"/>
          <w:color w:val="auto"/>
        </w:rPr>
        <w:t>. GP LLC shall file a valid election on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Service Form 8832 for GP LLC to be treated for U.S. federal income tax purposes as an entity that is regarded as separate from its owner, to be effective on the Closing Date or as promptly as practicable thereafter.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Redemption of PAA IDRs by PAA in Exchange for PAA Common Units; Recapitalization of PAA General Partner Interest</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11" w:name="page12"/>
    <w:bookmarkEnd w:id="11"/>
    <w:p>
      <w:pPr>
        <w:spacing w:after="0" w:line="50" w:lineRule="exact"/>
        <w:rPr>
          <w:sz w:val="20"/>
          <w:szCs w:val="20"/>
          <w:color w:val="auto"/>
        </w:rPr>
      </w:pPr>
    </w:p>
    <w:p>
      <w:pPr>
        <w:ind w:left="660" w:firstLine="645"/>
        <w:spacing w:after="0" w:line="271" w:lineRule="auto"/>
        <w:tabs>
          <w:tab w:leader="none" w:pos="19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consideration for the IDR Redemption and Exchange contemplated by Section 2.5(b), the PAA General Partner Interest Recapitalization contemplated by Section 2.5(c) and the performance by the other Parties hereto of their respective obligations hereunder and under the various Transaction Documents, PAA agrees to (i) perform its obligations hereunder and under the various Transaction Documents to which it is a party and (ii) issue to AAP a total of up to 245,500,000 PAA Common Units (the “</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Effective as of and contingent upon the Closing, PAA shall issue to AAP a number of PAA Common Units equal to the PAA Common Unit Consideration less a number of PAA Common Units equal to the number of PAA Common Units that are issuable pursuant to Section 4.2(c)(i) of the Omnibus Agreement (assuming that each AAP Class B Unit issued and outstanding as of the Closing Date that is not an AAP Earned Unit (as defined in the Omnibus Agreement) as of the Closing Date becomes an AAP Earned Unit after the Closing Date).</w:t>
      </w:r>
    </w:p>
    <w:p>
      <w:pPr>
        <w:spacing w:after="0" w:line="178" w:lineRule="exact"/>
        <w:rPr>
          <w:rFonts w:ascii="Arial" w:cs="Arial" w:eastAsia="Arial" w:hAnsi="Arial"/>
          <w:sz w:val="17"/>
          <w:szCs w:val="17"/>
          <w:color w:val="auto"/>
        </w:rPr>
      </w:pPr>
    </w:p>
    <w:p>
      <w:pPr>
        <w:ind w:left="660" w:right="200" w:firstLine="645"/>
        <w:spacing w:after="0" w:line="257" w:lineRule="auto"/>
        <w:tabs>
          <w:tab w:leader="none" w:pos="1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shall, and effective as of and contingent upon the Closing, and concurrently with the issuance of the PAA Common Unit Consideration, hereby does, exchange the PAA IDRs for PAA Common Units by redeeming all of AAP’s right, title and interest in and to the PAA IDRs, free and clear of all liens in exchange for the issuance and delivery by PAA of the PAA Common Unit Consideration (together, the “</w:t>
      </w:r>
      <w:r>
        <w:rPr>
          <w:rFonts w:ascii="Arial" w:cs="Arial" w:eastAsia="Arial" w:hAnsi="Arial"/>
          <w:sz w:val="18"/>
          <w:szCs w:val="18"/>
          <w:b w:val="1"/>
          <w:bCs w:val="1"/>
          <w:i w:val="1"/>
          <w:iCs w:val="1"/>
          <w:color w:val="auto"/>
        </w:rPr>
        <w:t>IDR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Redemption and Exchange</w:t>
      </w:r>
      <w:r>
        <w:rPr>
          <w:rFonts w:ascii="Arial" w:cs="Arial" w:eastAsia="Arial" w:hAnsi="Arial"/>
          <w:sz w:val="18"/>
          <w:szCs w:val="18"/>
          <w:color w:val="auto"/>
        </w:rPr>
        <w:t>”). Upon the consummation of the IDR Redemption and Exchange, the PAA IDRs shall be automatically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permanently cancelled without any further action by any Party.</w:t>
      </w:r>
    </w:p>
    <w:p>
      <w:pPr>
        <w:spacing w:after="0" w:line="188" w:lineRule="exact"/>
        <w:rPr>
          <w:rFonts w:ascii="Arial" w:cs="Arial" w:eastAsia="Arial" w:hAnsi="Arial"/>
          <w:sz w:val="18"/>
          <w:szCs w:val="18"/>
          <w:color w:val="auto"/>
        </w:rPr>
      </w:pPr>
    </w:p>
    <w:p>
      <w:pPr>
        <w:ind w:left="660" w:right="140" w:firstLine="645"/>
        <w:spacing w:after="0" w:line="297" w:lineRule="auto"/>
        <w:tabs>
          <w:tab w:leader="none" w:pos="19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PAA General Partner Interest shall, effective as of and contingent upon the Closing, and concurrently with the IDR Redemption and Exchange, be automatically converted into a non-economic general partner interest in PAA (the “</w:t>
      </w:r>
      <w:r>
        <w:rPr>
          <w:rFonts w:ascii="Arial" w:cs="Arial" w:eastAsia="Arial" w:hAnsi="Arial"/>
          <w:sz w:val="16"/>
          <w:szCs w:val="16"/>
          <w:b w:val="1"/>
          <w:bCs w:val="1"/>
          <w:i w:val="1"/>
          <w:iCs w:val="1"/>
          <w:color w:val="auto"/>
        </w:rPr>
        <w:t>Non-Economic PAA General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Partner Interest</w:t>
      </w:r>
      <w:r>
        <w:rPr>
          <w:rFonts w:ascii="Arial" w:cs="Arial" w:eastAsia="Arial" w:hAnsi="Arial"/>
          <w:sz w:val="16"/>
          <w:szCs w:val="16"/>
          <w:color w:val="auto"/>
        </w:rPr>
        <w:t>”), as set forth in the Sixth Amended and Restated Agreement of Limited Partnership of PAA (in substantially the form attached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A&amp;R PAA Partnership Agreement</w:t>
      </w:r>
      <w:r>
        <w:rPr>
          <w:rFonts w:ascii="Arial" w:cs="Arial" w:eastAsia="Arial" w:hAnsi="Arial"/>
          <w:sz w:val="16"/>
          <w:szCs w:val="16"/>
          <w:color w:val="auto"/>
        </w:rPr>
        <w:t xml:space="preserve">”) in exchange for the issuance and delivery by PAA of the PAA Common Unit Consideration as contemplated in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(such conversion and issuance, together, the “</w:t>
      </w:r>
      <w:r>
        <w:rPr>
          <w:rFonts w:ascii="Arial" w:cs="Arial" w:eastAsia="Arial" w:hAnsi="Arial"/>
          <w:sz w:val="16"/>
          <w:szCs w:val="16"/>
          <w:b w:val="1"/>
          <w:bCs w:val="1"/>
          <w:i w:val="1"/>
          <w:iCs w:val="1"/>
          <w:color w:val="auto"/>
        </w:rPr>
        <w:t>PAA General Partner Interest Recapitalization</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97" w:lineRule="auto"/>
        <w:tabs>
          <w:tab w:leader="none" w:pos="19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Concurrently with the other transactions contemplated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(i) AAP shall, after establishing such reserves as may be necessary to satisfy any expenses payable by AAP, PAGP or PAGP GP in connection with the Transactions, apply any remaining cash balances towards the balance then due and payable under the AAP Credit Agreement, and (ii) PAA shall assume all remaining outstanding indebtedness, obligations and liabilities under the AAP Credit Agreement and any related collateral or other agreements and shall cause to be terminated and released all applicable obligations and liabilities of AAP related to the AAP Credit Agreement and such other agreements.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Adoption of Amended and Restated Governance Documents</w:t>
      </w:r>
      <w:r>
        <w:rPr>
          <w:rFonts w:ascii="Arial" w:cs="Arial" w:eastAsia="Arial" w:hAnsi="Arial"/>
          <w:sz w:val="16"/>
          <w:szCs w:val="16"/>
          <w:color w:val="auto"/>
        </w:rPr>
        <w:t>. Effective as of and contingent upon the Closing:</w:t>
      </w:r>
    </w:p>
    <w:p>
      <w:pPr>
        <w:spacing w:after="0" w:line="229" w:lineRule="exact"/>
        <w:rPr>
          <w:sz w:val="20"/>
          <w:szCs w:val="20"/>
          <w:color w:val="auto"/>
        </w:rPr>
      </w:pPr>
    </w:p>
    <w:p>
      <w:pPr>
        <w:ind w:left="660" w:right="320" w:firstLine="645"/>
        <w:spacing w:after="0" w:line="264" w:lineRule="auto"/>
        <w:tabs>
          <w:tab w:leader="none" w:pos="19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PAA GP, as the general partner of PAA, shall execute and deliver, and together with GP LLC, AAP, PAGP and PAGP GP, shall cause to be adopted, the A&amp;R PAA Partnership Agreement, which shall reflect and give effect to, among other things, the PAA General Partner Interest Recapitalization and the cancellation of the PAA IDRs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460" w:firstLine="645"/>
        <w:spacing w:after="0" w:line="342" w:lineRule="auto"/>
        <w:tabs>
          <w:tab w:leader="none" w:pos="19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GP LLC, as the general partner of AAP, shall execute and deliver and cause to be adopted the Eighth Amended and Restated Limited Partnership Agreement of AAP,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A&amp;R AAP Partnership Agreement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660" w:right="240" w:firstLine="645"/>
        <w:spacing w:after="0" w:line="381" w:lineRule="auto"/>
        <w:tabs>
          <w:tab w:leader="none" w:pos="19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PAGP GP, as the general partner of PAGP, shall execute and deliver and cause to be adopted the Second Amended and Restated Agreement of Limited Partnership of PAGP, in substantially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A&amp;R PAGP Partnership Agreement</w:t>
      </w:r>
      <w:r>
        <w:rPr>
          <w:rFonts w:ascii="Arial" w:cs="Arial" w:eastAsia="Arial" w:hAnsi="Arial"/>
          <w:sz w:val="15"/>
          <w:szCs w:val="15"/>
          <w:color w:val="auto"/>
        </w:rPr>
        <w:t>”).</w:t>
      </w:r>
    </w:p>
    <w:p>
      <w:pPr>
        <w:spacing w:after="0" w:line="100" w:lineRule="exact"/>
        <w:rPr>
          <w:rFonts w:ascii="Arial" w:cs="Arial" w:eastAsia="Arial" w:hAnsi="Arial"/>
          <w:sz w:val="15"/>
          <w:szCs w:val="15"/>
          <w:color w:val="auto"/>
        </w:rPr>
      </w:pPr>
    </w:p>
    <w:p>
      <w:pPr>
        <w:ind w:left="660" w:right="440" w:firstLine="645"/>
        <w:spacing w:after="0" w:line="381" w:lineRule="auto"/>
        <w:tabs>
          <w:tab w:leader="none" w:pos="1964"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PAGP, as the sole member of GP LLC, shall execute and deliver and cause to be adopted the Seventh Amended and Restated Limited Liability Company Agreement of GP LLC, in substantially the form attached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(the “</w:t>
      </w:r>
      <w:r>
        <w:rPr>
          <w:rFonts w:ascii="Arial" w:cs="Arial" w:eastAsia="Arial" w:hAnsi="Arial"/>
          <w:sz w:val="15"/>
          <w:szCs w:val="15"/>
          <w:b w:val="1"/>
          <w:bCs w:val="1"/>
          <w:i w:val="1"/>
          <w:iCs w:val="1"/>
          <w:color w:val="auto"/>
        </w:rPr>
        <w:t>A&amp;R GP LLC Agreement</w:t>
      </w:r>
      <w:r>
        <w:rPr>
          <w:rFonts w:ascii="Arial" w:cs="Arial" w:eastAsia="Arial" w:hAnsi="Arial"/>
          <w:sz w:val="15"/>
          <w:szCs w:val="15"/>
          <w:color w:val="auto"/>
        </w:rPr>
        <w:t>”).</w:t>
      </w:r>
    </w:p>
    <w:p>
      <w:pPr>
        <w:spacing w:after="0" w:line="100" w:lineRule="exact"/>
        <w:rPr>
          <w:rFonts w:ascii="Arial" w:cs="Arial" w:eastAsia="Arial" w:hAnsi="Arial"/>
          <w:sz w:val="15"/>
          <w:szCs w:val="15"/>
          <w:color w:val="auto"/>
        </w:rPr>
      </w:pPr>
    </w:p>
    <w:p>
      <w:pPr>
        <w:ind w:left="660" w:right="540" w:firstLine="645"/>
        <w:spacing w:after="0" w:line="308" w:lineRule="auto"/>
        <w:tabs>
          <w:tab w:leader="none" w:pos="19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PAGP GP shall execute and deliver and cause to be adopted the Second Amended and Restated Limited Liability Company Agreement of PAGP GP, in substantially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w:t>
      </w:r>
    </w:p>
    <w:p>
      <w:pPr>
        <w:spacing w:after="0" w:line="143"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Reverse Unit/Stock Splits</w:t>
      </w:r>
      <w:r>
        <w:rPr>
          <w:rFonts w:ascii="Arial" w:cs="Arial" w:eastAsia="Arial" w:hAnsi="Arial"/>
          <w:sz w:val="16"/>
          <w:szCs w:val="16"/>
          <w:color w:val="auto"/>
        </w:rPr>
        <w:t>. Effective as of and contingent upon the Closing:</w:t>
      </w:r>
    </w:p>
    <w:p>
      <w:pPr>
        <w:spacing w:after="0" w:line="229" w:lineRule="exact"/>
        <w:rPr>
          <w:sz w:val="20"/>
          <w:szCs w:val="20"/>
          <w:color w:val="auto"/>
        </w:rPr>
      </w:pPr>
    </w:p>
    <w:p>
      <w:pPr>
        <w:ind w:left="660" w:right="160" w:firstLine="645"/>
        <w:spacing w:after="0" w:line="264" w:lineRule="auto"/>
        <w:tabs>
          <w:tab w:leader="none" w:pos="19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PAGP GP and PAGP shall take all actions necessary to complete the PAGP Reverse Stock Split, to be effective upon the opening of trading of the PAGP Class A Shares on the NYSE on the Closing Date or as promptly as practicable thereafter (the “</w:t>
      </w:r>
      <w:r>
        <w:rPr>
          <w:rFonts w:ascii="Arial" w:cs="Arial" w:eastAsia="Arial" w:hAnsi="Arial"/>
          <w:sz w:val="18"/>
          <w:szCs w:val="18"/>
          <w:b w:val="1"/>
          <w:bCs w:val="1"/>
          <w:i w:val="1"/>
          <w:iCs w:val="1"/>
          <w:color w:val="auto"/>
        </w:rPr>
        <w:t>PAGP Reverse Stock Split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GP LLC and AAP shall take all actions necessary to complete the AAP Reverse Unit Split to be effective at the PAGP Reverse Stock Split Effective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277"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Directors of PAGP GP and PAGP GP shall take all actions necessary to complete the PAGP GP Reverse Unit Split, to be effective at the PAGP Reverse Stock Split Effective Time.</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b w:val="1"/>
          <w:bCs w:val="1"/>
          <w:u w:val="single" w:color="auto"/>
          <w:color w:val="auto"/>
        </w:rPr>
        <w:t>Issuance of PAGP Class C Shares</w:t>
      </w:r>
      <w:r>
        <w:rPr>
          <w:rFonts w:ascii="Arial" w:cs="Arial" w:eastAsia="Arial" w:hAnsi="Arial"/>
          <w:sz w:val="17"/>
          <w:szCs w:val="17"/>
          <w:color w:val="auto"/>
        </w:rPr>
        <w:t>. PAGP shall, and effective as of and contingent upon the Closing hereby does, issue to PAA newly</w:t>
      </w:r>
      <w:r>
        <w:rPr>
          <w:rFonts w:ascii="Arial" w:cs="Arial" w:eastAsia="Arial" w:hAnsi="Arial"/>
          <w:sz w:val="17"/>
          <w:szCs w:val="17"/>
          <w:b w:val="1"/>
          <w:bCs w:val="1"/>
          <w:color w:val="auto"/>
        </w:rPr>
        <w:t xml:space="preserve"> </w:t>
      </w:r>
      <w:r>
        <w:rPr>
          <w:rFonts w:ascii="Arial" w:cs="Arial" w:eastAsia="Arial" w:hAnsi="Arial"/>
          <w:sz w:val="17"/>
          <w:szCs w:val="17"/>
          <w:color w:val="auto"/>
        </w:rPr>
        <w:t>created Class C shares representing limited partner interests in PAGP, having the rights and preferences of “Class C Shares” as contemplated by the A&amp;R PAGP Partnership Agreement (the “</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The number of PAGP Class C Shares issued at Closing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equal the sum of (a) the number of outstanding PAA Common Units at such time (excluding any PAA Common Units constituting part of the PAA Common Unit Consideration) and (b) the number of PAA Common Units issuable as of such time assuming the conversion of all outstanding PAA Series A Preferred Units at the then applicable Series A Conversion Rate (such issuance, the “</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PAGP GP shall, as the registrar with respect to such PAGP Class C Shares, cause the issuance thereof and the admission of PAA as a limited partner of PAGP with respect to such PAGP Class C Shares to be recorded in the books and records of PAGP and PAGP GP.</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u w:val="single" w:color="auto"/>
          <w:color w:val="auto"/>
        </w:rPr>
        <w:t>Closing Deliverables</w:t>
      </w:r>
      <w:r>
        <w:rPr>
          <w:rFonts w:ascii="Arial" w:cs="Arial" w:eastAsia="Arial" w:hAnsi="Arial"/>
          <w:sz w:val="16"/>
          <w:szCs w:val="16"/>
          <w:color w:val="auto"/>
        </w:rPr>
        <w:t>. At or prior to the Closing, the applicable Parties will deliver or cause to be delivered, the documents as set forth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ectPr>
          <w:pgSz w:w="11900" w:h="16888" w:orient="portrait"/>
          <w:cols w:equalWidth="0" w:num="1">
            <w:col w:w="11400"/>
          </w:cols>
          <w:pgMar w:left="240" w:top="125" w:right="259" w:bottom="0" w:gutter="0" w:footer="0" w:header="0"/>
        </w:sectPr>
      </w:pPr>
    </w:p>
    <w:bookmarkStart w:id="12" w:name="page13"/>
    <w:bookmarkEnd w:id="12"/>
    <w:p>
      <w:pPr>
        <w:spacing w:after="0" w:line="36" w:lineRule="exact"/>
        <w:rPr>
          <w:sz w:val="20"/>
          <w:szCs w:val="20"/>
          <w:color w:val="auto"/>
        </w:rPr>
      </w:pPr>
    </w:p>
    <w:p>
      <w:pPr>
        <w:ind w:left="740" w:hanging="635"/>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PAA shall deliver:</w:t>
      </w:r>
    </w:p>
    <w:p>
      <w:pPr>
        <w:spacing w:after="0" w:line="225" w:lineRule="exact"/>
        <w:rPr>
          <w:rFonts w:ascii="Arial" w:cs="Arial" w:eastAsia="Arial" w:hAnsi="Arial"/>
          <w:sz w:val="18"/>
          <w:szCs w:val="18"/>
          <w:color w:val="auto"/>
        </w:rPr>
      </w:pPr>
    </w:p>
    <w:p>
      <w:pPr>
        <w:ind w:left="100" w:right="380" w:firstLine="653"/>
        <w:spacing w:after="0" w:line="277" w:lineRule="auto"/>
        <w:tabs>
          <w:tab w:leader="none" w:pos="14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the other parties thereto, a counterpart of the Registration Rights Agreement, in substantially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duly executed by PAA;</w:t>
      </w:r>
    </w:p>
    <w:p>
      <w:pPr>
        <w:spacing w:after="0" w:line="170" w:lineRule="exact"/>
        <w:rPr>
          <w:rFonts w:ascii="Arial" w:cs="Arial" w:eastAsia="Arial" w:hAnsi="Arial"/>
          <w:sz w:val="18"/>
          <w:szCs w:val="18"/>
          <w:color w:val="auto"/>
        </w:rPr>
      </w:pPr>
    </w:p>
    <w:p>
      <w:pPr>
        <w:ind w:left="100" w:right="360" w:firstLine="653"/>
        <w:spacing w:after="0" w:line="277" w:lineRule="auto"/>
        <w:tabs>
          <w:tab w:leader="none" w:pos="14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the other parties thereto, a counterpart of the Omnibus Agreement, in substantially the form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duly executed by PAA;</w:t>
      </w:r>
    </w:p>
    <w:p>
      <w:pPr>
        <w:spacing w:after="0" w:line="170" w:lineRule="exact"/>
        <w:rPr>
          <w:rFonts w:ascii="Arial" w:cs="Arial" w:eastAsia="Arial" w:hAnsi="Arial"/>
          <w:sz w:val="18"/>
          <w:szCs w:val="18"/>
          <w:color w:val="auto"/>
        </w:rPr>
      </w:pPr>
    </w:p>
    <w:p>
      <w:pPr>
        <w:ind w:left="100" w:right="200" w:firstLine="653"/>
        <w:spacing w:after="0" w:line="277" w:lineRule="auto"/>
        <w:tabs>
          <w:tab w:leader="none" w:pos="14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the other parties thereto, a counterpart of the Amended and Restated Administrative Agreement, in substantially the form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A&amp;R Administrative Agreement</w:t>
      </w:r>
      <w:r>
        <w:rPr>
          <w:rFonts w:ascii="Arial" w:cs="Arial" w:eastAsia="Arial" w:hAnsi="Arial"/>
          <w:sz w:val="18"/>
          <w:szCs w:val="18"/>
          <w:color w:val="auto"/>
        </w:rPr>
        <w:t>”), duly executed by PAA;</w:t>
      </w:r>
    </w:p>
    <w:p>
      <w:pPr>
        <w:spacing w:after="0" w:line="170" w:lineRule="exact"/>
        <w:rPr>
          <w:rFonts w:ascii="Arial" w:cs="Arial" w:eastAsia="Arial" w:hAnsi="Arial"/>
          <w:sz w:val="18"/>
          <w:szCs w:val="18"/>
          <w:color w:val="auto"/>
        </w:rPr>
      </w:pPr>
    </w:p>
    <w:p>
      <w:pPr>
        <w:jc w:val="both"/>
        <w:ind w:left="100" w:right="260" w:firstLine="653"/>
        <w:spacing w:after="0" w:line="264" w:lineRule="auto"/>
        <w:tabs>
          <w:tab w:leader="none" w:pos="14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AAP, evidence reasonably satisfactory to AAP of the book-entry issuance of the portion of the PAA Common Unit Consideration to be issued and delivered at Closing, which book-entry issuances may reflect customary legends or similar notations that such PAA Common Units are subject to trading restrictions under applicable Law;</w:t>
      </w:r>
    </w:p>
    <w:p>
      <w:pPr>
        <w:spacing w:after="0" w:line="181" w:lineRule="exact"/>
        <w:rPr>
          <w:rFonts w:ascii="Arial" w:cs="Arial" w:eastAsia="Arial" w:hAnsi="Arial"/>
          <w:sz w:val="18"/>
          <w:szCs w:val="18"/>
          <w:color w:val="auto"/>
        </w:rPr>
      </w:pPr>
    </w:p>
    <w:p>
      <w:pPr>
        <w:ind w:left="100" w:right="560" w:firstLine="653"/>
        <w:spacing w:after="0" w:line="342" w:lineRule="auto"/>
        <w:tabs>
          <w:tab w:leader="none" w:pos="1404"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to AAP, evidence reasonably satisfactory to AAP that PAA has assumed AAP’s obligations under the AAP Credit Agreement and that AAP’s obligations thereunder have been terminated, in each case in accordance with </w:t>
      </w:r>
      <w:r>
        <w:rPr>
          <w:rFonts w:ascii="Arial" w:cs="Arial" w:eastAsia="Arial" w:hAnsi="Arial"/>
          <w:sz w:val="16"/>
          <w:szCs w:val="16"/>
          <w:u w:val="single" w:color="auto"/>
          <w:color w:val="auto"/>
        </w:rPr>
        <w:t>Section 2.5(d)</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100" w:firstLine="653"/>
        <w:spacing w:after="0" w:line="277" w:lineRule="auto"/>
        <w:tabs>
          <w:tab w:leader="none" w:pos="14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the other Parties, an officer’s certificate, dated the Closing Date, to the effect that (i) the representations and warranties of PAA set forth in this Agreement are true and correct in all material respects on the Closing Date as</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0" w:right="80"/>
        <w:spacing w:after="0" w:line="264" w:lineRule="auto"/>
        <w:rPr>
          <w:sz w:val="20"/>
          <w:szCs w:val="20"/>
          <w:color w:val="auto"/>
        </w:rPr>
      </w:pPr>
      <w:r>
        <w:rPr>
          <w:rFonts w:ascii="Arial" w:cs="Arial" w:eastAsia="Arial" w:hAnsi="Arial"/>
          <w:sz w:val="18"/>
          <w:szCs w:val="18"/>
          <w:color w:val="auto"/>
        </w:rPr>
        <w:t>though made at and as of the Closing Date (unless expressly made as of an earlier date, in which case, as of such earlier date) and (ii) PAA has complied in all material respects with each of the covenants in this Agreement required to be complied with by such Party prior to the Closing.</w:t>
      </w:r>
    </w:p>
    <w:p>
      <w:pPr>
        <w:spacing w:after="0" w:line="181" w:lineRule="exact"/>
        <w:rPr>
          <w:sz w:val="20"/>
          <w:szCs w:val="20"/>
          <w:color w:val="auto"/>
        </w:rPr>
      </w:pPr>
    </w:p>
    <w:p>
      <w:pPr>
        <w:ind w:left="760" w:hanging="65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 GP shall deliver:</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PAA GP;</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PAA GP;</w:t>
      </w:r>
    </w:p>
    <w:p>
      <w:pPr>
        <w:spacing w:after="0" w:line="225" w:lineRule="exact"/>
        <w:rPr>
          <w:rFonts w:ascii="Arial" w:cs="Arial" w:eastAsia="Arial" w:hAnsi="Arial"/>
          <w:sz w:val="18"/>
          <w:szCs w:val="18"/>
          <w:color w:val="auto"/>
        </w:rPr>
      </w:pPr>
    </w:p>
    <w:p>
      <w:pPr>
        <w:ind w:left="100" w:right="180" w:firstLine="653"/>
        <w:spacing w:after="0" w:line="277" w:lineRule="auto"/>
        <w:tabs>
          <w:tab w:leader="none" w:pos="14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A&amp;R PAA Partnership Agreement, duly executed by PAA GP (in its capacity as the general partner of PAA and on behalf of the limited partners of PAA pursuant to powers of attorney granted to PAA GP); and</w:t>
      </w:r>
    </w:p>
    <w:p>
      <w:pPr>
        <w:spacing w:after="0" w:line="170" w:lineRule="exact"/>
        <w:rPr>
          <w:rFonts w:ascii="Arial" w:cs="Arial" w:eastAsia="Arial" w:hAnsi="Arial"/>
          <w:sz w:val="18"/>
          <w:szCs w:val="18"/>
          <w:color w:val="auto"/>
        </w:rPr>
      </w:pPr>
    </w:p>
    <w:p>
      <w:pPr>
        <w:ind w:left="100" w:firstLine="653"/>
        <w:spacing w:after="0" w:line="302" w:lineRule="auto"/>
        <w:tabs>
          <w:tab w:leader="none" w:pos="1413"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PAA GP set forth in this Agreement are true and correct in all material respects on the Closing Date as though made at and as of the Closing Date (unless expressly made as of an earlier date, in which case, as of such earlier date) and (ii) PAA GP has complied in all material respects with each of the covenants in this Agreement required to be complied with by such Party prior to the Closing.</w:t>
      </w:r>
    </w:p>
    <w:p>
      <w:pPr>
        <w:spacing w:after="0" w:line="154" w:lineRule="exact"/>
        <w:rPr>
          <w:rFonts w:ascii="Arial" w:cs="Arial" w:eastAsia="Arial" w:hAnsi="Arial"/>
          <w:sz w:val="16"/>
          <w:szCs w:val="16"/>
          <w:color w:val="auto"/>
        </w:rPr>
      </w:pPr>
    </w:p>
    <w:p>
      <w:pPr>
        <w:ind w:left="760" w:hanging="65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AAP shall deliver:</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Registration Rights Agreement, duly executed by AAP;</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AAP;</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AAP;</w:t>
      </w:r>
    </w:p>
    <w:p>
      <w:pPr>
        <w:spacing w:after="0" w:line="225" w:lineRule="exact"/>
        <w:rPr>
          <w:rFonts w:ascii="Arial" w:cs="Arial" w:eastAsia="Arial" w:hAnsi="Arial"/>
          <w:sz w:val="18"/>
          <w:szCs w:val="18"/>
          <w:color w:val="auto"/>
        </w:rPr>
      </w:pPr>
    </w:p>
    <w:p>
      <w:pPr>
        <w:ind w:left="100" w:right="160" w:firstLine="653"/>
        <w:spacing w:after="0" w:line="274" w:lineRule="auto"/>
        <w:tabs>
          <w:tab w:leader="none" w:pos="1413" w:val="left"/>
        </w:tabs>
        <w:numPr>
          <w:ilvl w:val="1"/>
          <w:numId w:val="19"/>
        </w:numPr>
        <w:rPr>
          <w:rFonts w:ascii="Arial" w:cs="Arial" w:eastAsia="Arial" w:hAnsi="Arial"/>
          <w:sz w:val="17"/>
          <w:szCs w:val="17"/>
          <w:color w:val="auto"/>
        </w:rPr>
      </w:pPr>
      <w:r>
        <w:rPr>
          <w:rFonts w:ascii="Arial" w:cs="Arial" w:eastAsia="Arial" w:hAnsi="Arial"/>
          <w:sz w:val="17"/>
          <w:szCs w:val="17"/>
          <w:color w:val="auto"/>
        </w:rPr>
        <w:t>to PAA, evidence reasonably satisfactory to PAA that AAP has applied any cash balances towards the repayment of the amount owed by AAP under the AAP Credit Agreement as contemplated by Section 2.5(d) and that, except as disclosed in</w:t>
      </w:r>
    </w:p>
    <w:p>
      <w:pPr>
        <w:ind w:left="100" w:right="140"/>
        <w:spacing w:after="0" w:line="261" w:lineRule="auto"/>
        <w:rPr>
          <w:rFonts w:ascii="Arial" w:cs="Arial" w:eastAsia="Arial" w:hAnsi="Arial"/>
          <w:sz w:val="17"/>
          <w:szCs w:val="17"/>
          <w:color w:val="auto"/>
        </w:rPr>
      </w:pPr>
      <w:r>
        <w:rPr>
          <w:rFonts w:ascii="Arial" w:cs="Arial" w:eastAsia="Arial" w:hAnsi="Arial"/>
          <w:sz w:val="18"/>
          <w:szCs w:val="18"/>
          <w:u w:val="single" w:color="auto"/>
          <w:color w:val="auto"/>
        </w:rPr>
        <w:t>Section 3.3(f)</w:t>
      </w:r>
      <w:r>
        <w:rPr>
          <w:rFonts w:ascii="Arial" w:cs="Arial" w:eastAsia="Arial" w:hAnsi="Arial"/>
          <w:sz w:val="18"/>
          <w:szCs w:val="18"/>
          <w:color w:val="auto"/>
        </w:rPr>
        <w:t xml:space="preserve"> or as incurred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there are no outstanding indebtedness, obligations and liabilities under the AAP Credit Agreement; and</w:t>
      </w:r>
    </w:p>
    <w:p>
      <w:pPr>
        <w:spacing w:after="0" w:line="183" w:lineRule="exact"/>
        <w:rPr>
          <w:rFonts w:ascii="Arial" w:cs="Arial" w:eastAsia="Arial" w:hAnsi="Arial"/>
          <w:sz w:val="17"/>
          <w:szCs w:val="17"/>
          <w:color w:val="auto"/>
        </w:rPr>
      </w:pPr>
    </w:p>
    <w:p>
      <w:pPr>
        <w:jc w:val="both"/>
        <w:ind w:left="100" w:right="20" w:firstLine="653"/>
        <w:spacing w:after="0" w:line="259" w:lineRule="auto"/>
        <w:tabs>
          <w:tab w:leader="none" w:pos="14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an officer’s certificate, dated the Closing Date, to the effect that (i) the representations and warranties of AAP set forth in this Agreement are true and correct in all material respects on the Closing Date as though made at and as of the Closing Date (unless expressly made as of an earlier date, in which case, as of such earlier date), (ii) AAP has complied in all material respects with each of the covenants in this Agreement required to be complied</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80"/>
        <w:spacing w:after="0" w:line="277" w:lineRule="auto"/>
        <w:rPr>
          <w:sz w:val="20"/>
          <w:szCs w:val="20"/>
          <w:color w:val="auto"/>
        </w:rPr>
      </w:pPr>
      <w:r>
        <w:rPr>
          <w:rFonts w:ascii="Arial" w:cs="Arial" w:eastAsia="Arial" w:hAnsi="Arial"/>
          <w:sz w:val="18"/>
          <w:szCs w:val="18"/>
          <w:color w:val="auto"/>
        </w:rPr>
        <w:t>with by such Party prior to the Closing and (iii) all of the approvals required under the AAP Credit Agreement in order to consummate the Transactions have been obtained.</w:t>
      </w:r>
    </w:p>
    <w:p>
      <w:pPr>
        <w:spacing w:after="0" w:line="170" w:lineRule="exact"/>
        <w:rPr>
          <w:sz w:val="20"/>
          <w:szCs w:val="20"/>
          <w:color w:val="auto"/>
        </w:rPr>
      </w:pPr>
    </w:p>
    <w:p>
      <w:pPr>
        <w:ind w:left="760" w:hanging="655"/>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GP LLC shall deliver:</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GP LLC;</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GP LLC;</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other parties thereto, the A&amp;R AAP Partnership Agreement, duly executed by GP LLC; and</w:t>
      </w:r>
    </w:p>
    <w:p>
      <w:pPr>
        <w:sectPr>
          <w:pgSz w:w="11900" w:h="16874" w:orient="portrait"/>
          <w:cols w:equalWidth="0" w:num="1">
            <w:col w:w="10160"/>
          </w:cols>
          <w:pgMar w:left="1440" w:top="341" w:right="299" w:bottom="0" w:gutter="0" w:footer="0" w:header="0"/>
        </w:sectPr>
      </w:pPr>
    </w:p>
    <w:bookmarkStart w:id="13" w:name="page14"/>
    <w:bookmarkEnd w:id="13"/>
    <w:p>
      <w:pPr>
        <w:spacing w:after="0" w:line="79" w:lineRule="exact"/>
        <w:rPr>
          <w:sz w:val="20"/>
          <w:szCs w:val="20"/>
          <w:color w:val="auto"/>
        </w:rPr>
      </w:pPr>
    </w:p>
    <w:p>
      <w:pPr>
        <w:ind w:left="640" w:right="60" w:firstLine="653"/>
        <w:spacing w:after="0" w:line="302" w:lineRule="auto"/>
        <w:tabs>
          <w:tab w:leader="none" w:pos="19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GP LLC set forth in this Agreement are true and correct in all material respects on the Closing Date as though made at and as of the Closing Date (unless expressly made as of an earlier date, in which case, as of such earlier date) and (ii) GP LLC has complied in all material respects with each of the covenants in this Agreement required to be complied with by such Party prior to the Closing.</w:t>
      </w:r>
    </w:p>
    <w:p>
      <w:pPr>
        <w:spacing w:after="0" w:line="154" w:lineRule="exact"/>
        <w:rPr>
          <w:rFonts w:ascii="Arial" w:cs="Arial" w:eastAsia="Arial" w:hAnsi="Arial"/>
          <w:sz w:val="16"/>
          <w:szCs w:val="16"/>
          <w:color w:val="auto"/>
        </w:rPr>
      </w:pPr>
    </w:p>
    <w:p>
      <w:pPr>
        <w:ind w:left="1300" w:hanging="65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PAGP shall deliver:</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PAGP;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PAGP;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A&amp;R GP LLC Agreement, duly executed by PAGP;</w:t>
      </w:r>
    </w:p>
    <w:p>
      <w:pPr>
        <w:spacing w:after="0" w:line="225" w:lineRule="exact"/>
        <w:rPr>
          <w:rFonts w:ascii="Arial" w:cs="Arial" w:eastAsia="Arial" w:hAnsi="Arial"/>
          <w:sz w:val="18"/>
          <w:szCs w:val="18"/>
          <w:color w:val="auto"/>
        </w:rPr>
      </w:pPr>
    </w:p>
    <w:p>
      <w:pPr>
        <w:ind w:left="640" w:right="40" w:firstLine="653"/>
        <w:spacing w:after="0" w:line="277" w:lineRule="auto"/>
        <w:tabs>
          <w:tab w:leader="none" w:pos="19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PAA, evidence reasonably satisfactory to PAA of the book-entry issuance to PAA of the PAGP Class C Shares issuable in the PAGP Class C Share Issuance;</w:t>
      </w:r>
    </w:p>
    <w:p>
      <w:pPr>
        <w:spacing w:after="0" w:line="170" w:lineRule="exact"/>
        <w:rPr>
          <w:rFonts w:ascii="Arial" w:cs="Arial" w:eastAsia="Arial" w:hAnsi="Arial"/>
          <w:sz w:val="18"/>
          <w:szCs w:val="18"/>
          <w:color w:val="auto"/>
        </w:rPr>
      </w:pPr>
    </w:p>
    <w:p>
      <w:pPr>
        <w:ind w:left="640" w:right="320" w:firstLine="653"/>
        <w:spacing w:after="0" w:line="277" w:lineRule="auto"/>
        <w:tabs>
          <w:tab w:leader="none" w:pos="19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to GP LLC, documentation reasonably satisfactory to GP LLC necessary to reflect the contribution of the Contributed AAP Units to GP LLC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40" w:firstLine="653"/>
        <w:spacing w:after="0" w:line="302" w:lineRule="auto"/>
        <w:tabs>
          <w:tab w:leader="none" w:pos="1953"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PAGP set forth in this Agreement are true and correct in all material respects on the Closing Date as though made at and as of the Closing Date (unless expressly made as of an earlier date, in which case, as of such earlier date) and (ii) PAGP has complied in all material respects with each of the covenants in this Agreement required to be complied with by such Party prior to the Closing.</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5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PAGP GP shall deliver:</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PAGP 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PAGP 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A&amp;R PAGP GP LLC Agreement, duly executed by PAGP;</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A&amp;R PAGP Partnership Agreement, duly executed by PAGP GP (in its capacity as the general partner of PAGP); and</w:t>
      </w:r>
    </w:p>
    <w:p>
      <w:pPr>
        <w:spacing w:after="0" w:line="248" w:lineRule="exact"/>
        <w:rPr>
          <w:rFonts w:ascii="Arial" w:cs="Arial" w:eastAsia="Arial" w:hAnsi="Arial"/>
          <w:sz w:val="16"/>
          <w:szCs w:val="16"/>
          <w:color w:val="auto"/>
        </w:rPr>
      </w:pPr>
    </w:p>
    <w:p>
      <w:pPr>
        <w:ind w:left="640" w:right="80" w:firstLine="653"/>
        <w:spacing w:after="0" w:line="302" w:lineRule="auto"/>
        <w:tabs>
          <w:tab w:leader="none" w:pos="1944"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PAGP GP set forth in this Agreement are true and correct in all material respects on the Closing Date as though made at and as of the Closing Date (unless expressly made as of an earlier date, in which case, as of such earlier date) and (ii) PAGP GP has complied in all material respects with each of the covenants in this Agreement required to be complied with by such Party prior to the Closing.</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Intended Tax Treatment, Tax Opinion and Common Unit Fungibility</w:t>
      </w:r>
      <w:r>
        <w:rPr>
          <w:rFonts w:ascii="Arial" w:cs="Arial" w:eastAsia="Arial" w:hAnsi="Arial"/>
          <w:sz w:val="16"/>
          <w:szCs w:val="16"/>
          <w:color w:val="auto"/>
        </w:rPr>
        <w:t>.</w:t>
      </w:r>
    </w:p>
    <w:p>
      <w:pPr>
        <w:spacing w:after="0" w:line="229" w:lineRule="exact"/>
        <w:rPr>
          <w:sz w:val="20"/>
          <w:szCs w:val="20"/>
          <w:color w:val="auto"/>
        </w:rPr>
      </w:pPr>
    </w:p>
    <w:p>
      <w:pPr>
        <w:ind w:right="80" w:firstLine="645"/>
        <w:spacing w:after="0" w:line="264" w:lineRule="auto"/>
        <w:tabs>
          <w:tab w:leader="none" w:pos="12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Parties intend that the PAA/AAP Interest Restructuring will be treated for U.S. federal income tax purposes as set forth below in this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“Intended Tax Treatment”</w:t>
      </w:r>
      <w:r>
        <w:rPr>
          <w:rFonts w:ascii="Arial" w:cs="Arial" w:eastAsia="Arial" w:hAnsi="Arial"/>
          <w:sz w:val="18"/>
          <w:szCs w:val="18"/>
          <w:color w:val="auto"/>
        </w:rPr>
        <w:t>). Each Party shall, and shall cause its controlled Affiliates to, file all tax returns and other reports consistent with the Intended Tax Treatment, unless required by Law to do otherwise.</w:t>
      </w:r>
    </w:p>
    <w:p>
      <w:pPr>
        <w:spacing w:after="0" w:line="181" w:lineRule="exact"/>
        <w:rPr>
          <w:rFonts w:ascii="Arial" w:cs="Arial" w:eastAsia="Arial" w:hAnsi="Arial"/>
          <w:sz w:val="18"/>
          <w:szCs w:val="18"/>
          <w:color w:val="auto"/>
        </w:rPr>
      </w:pPr>
    </w:p>
    <w:p>
      <w:pPr>
        <w:ind w:left="640" w:right="40" w:firstLine="653"/>
        <w:spacing w:after="0" w:line="270" w:lineRule="auto"/>
        <w:tabs>
          <w:tab w:leader="none" w:pos="1958"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PAA/AAP Interest Restructuring will be treated as either (A) a transaction described in Section 721 of the Code in a manner consistent with Revenue Ruling 84-52, 1984-1 C.B. 157, and the AAP Assumed Debt will be treated as “qualified liabilities” under Treas. Reg. § 1.707-5(a)(6), or (B) a readjustment of partnership items among existing partners of a partnership not involving a sale or exchange. As a result, no gain or loss will be recognized by PAA or its partners except (A) in the case of the existing owners of PAA Common Units, to the extent any gain is recognized as a result of the PAA/AAP Interest Restructuring causing a decrease in their share of PAA liabilities under Section 752 of the Code and (B) in the case of AAP, to the extent (1) any gain results from the assumption of the Non-Contribution Revolver Borrowings, or (2) the AAP Assumed Debt exceeds AAP’s basis in its PAA Common Units received in the PAA/AAP Interest Restructuring after taking into account any adjustments resulting from the PAA/AAP Interest Restructuring in its share of PAA liabilities under Section 752 outstanding after the completion of all of the Transactions.</w:t>
      </w:r>
    </w:p>
    <w:p>
      <w:pPr>
        <w:spacing w:after="0" w:line="181" w:lineRule="exact"/>
        <w:rPr>
          <w:rFonts w:ascii="Arial" w:cs="Arial" w:eastAsia="Arial" w:hAnsi="Arial"/>
          <w:sz w:val="17"/>
          <w:szCs w:val="17"/>
          <w:color w:val="auto"/>
        </w:rPr>
      </w:pPr>
    </w:p>
    <w:p>
      <w:pPr>
        <w:ind w:left="640" w:right="560" w:firstLine="653"/>
        <w:spacing w:after="0" w:line="308" w:lineRule="auto"/>
        <w:tabs>
          <w:tab w:leader="none" w:pos="1967"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PAA/AAP Interest Restructuring will result in an adjustment to the capital accounts of PAA’s partners and the carrying values of PAA’s properties in accordance with Treasury Regulation Section 1.704-1(b)(2)(iv)(f).</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firstLine="653"/>
        <w:spacing w:after="0" w:line="257" w:lineRule="auto"/>
        <w:tabs>
          <w:tab w:leader="none" w:pos="19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Following the Transactions, AAP’s aggregate basis in its PAA Common Units and non-economic PAA general partner interest received in the PAA/AAP Interest Restructuring will equal its aggregate basis in the PAA General Partner Interest and PAA IDRs immediately prior to Closing, decreased by the AAP Assumed Debt, increased by its share of PAA liabilities under Section 752 (after taking into account any adjustments resulting from the Transactions), and increased by gain, if any, recognized by AAP as a result of the PAA/AAP Interest Restructuring.</w:t>
      </w:r>
    </w:p>
    <w:p>
      <w:pPr>
        <w:spacing w:after="0" w:line="188" w:lineRule="exact"/>
        <w:rPr>
          <w:rFonts w:ascii="Arial" w:cs="Arial" w:eastAsia="Arial" w:hAnsi="Arial"/>
          <w:sz w:val="18"/>
          <w:szCs w:val="18"/>
          <w:color w:val="auto"/>
        </w:rPr>
      </w:pPr>
    </w:p>
    <w:p>
      <w:pPr>
        <w:ind w:right="240" w:firstLine="645"/>
        <w:spacing w:after="0" w:line="264"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PAA and PAGP have received the opinion of Vinson &amp; Elkins LLP dated as of the date hereof (the “</w:t>
      </w:r>
      <w:r>
        <w:rPr>
          <w:rFonts w:ascii="Arial" w:cs="Arial" w:eastAsia="Arial" w:hAnsi="Arial"/>
          <w:sz w:val="18"/>
          <w:szCs w:val="18"/>
          <w:b w:val="1"/>
          <w:bCs w:val="1"/>
          <w:i w:val="1"/>
          <w:iCs w:val="1"/>
          <w:color w:val="auto"/>
        </w:rPr>
        <w:t>Tax Opinion</w:t>
      </w:r>
      <w:r>
        <w:rPr>
          <w:rFonts w:ascii="Arial" w:cs="Arial" w:eastAsia="Arial" w:hAnsi="Arial"/>
          <w:sz w:val="18"/>
          <w:szCs w:val="18"/>
          <w:color w:val="auto"/>
        </w:rPr>
        <w:t xml:space="preserve">”) that the PAA/AAP Interest Restructuring should receive the Intended Tax Treatment. Such opinion is based upon, among other things, the representations set forth in the </w:t>
      </w:r>
      <w:r>
        <w:rPr>
          <w:rFonts w:ascii="Arial" w:cs="Arial" w:eastAsia="Arial" w:hAnsi="Arial"/>
          <w:sz w:val="18"/>
          <w:szCs w:val="18"/>
          <w:b w:val="1"/>
          <w:bCs w:val="1"/>
          <w:i w:val="1"/>
          <w:iCs w:val="1"/>
          <w:color w:val="auto"/>
        </w:rPr>
        <w:t>“Tax Opinion Certificate”</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w:t>
      </w:r>
    </w:p>
    <w:p>
      <w:pPr>
        <w:sectPr>
          <w:pgSz w:w="11900" w:h="16918" w:orient="portrait"/>
          <w:cols w:equalWidth="0" w:num="1">
            <w:col w:w="10760"/>
          </w:cols>
          <w:pgMar w:left="900" w:top="341" w:right="239" w:bottom="0" w:gutter="0" w:footer="0" w:header="0"/>
        </w:sectPr>
      </w:pPr>
    </w:p>
    <w:bookmarkStart w:id="14" w:name="page15"/>
    <w:bookmarkEnd w:id="14"/>
    <w:p>
      <w:pPr>
        <w:spacing w:after="0" w:line="96" w:lineRule="exact"/>
        <w:rPr>
          <w:sz w:val="20"/>
          <w:szCs w:val="20"/>
          <w:color w:val="auto"/>
        </w:rPr>
      </w:pPr>
    </w:p>
    <w:p>
      <w:pPr>
        <w:ind w:right="40" w:firstLine="645"/>
        <w:spacing w:after="0" w:line="270" w:lineRule="auto"/>
        <w:tabs>
          <w:tab w:leader="none" w:pos="13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Upon a subsequent transfer in a fully taxable transaction to a transferee that is unrelated to the transferor, it is contemplated that each PAA Common Unit issued pursuant to the PAA/AAP Interest Restructuring should in the hands of such transferee have,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 </w:t>
      </w:r>
      <w:r>
        <w:rPr>
          <w:rFonts w:ascii="Arial" w:cs="Arial" w:eastAsia="Arial" w:hAnsi="Arial"/>
          <w:sz w:val="17"/>
          <w:szCs w:val="17"/>
          <w:b w:val="1"/>
          <w:bCs w:val="1"/>
          <w:i w:val="1"/>
          <w:iCs w:val="1"/>
          <w:color w:val="auto"/>
        </w:rPr>
        <w:t>(“Common Unit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Fungibility”</w:t>
      </w:r>
      <w:r>
        <w:rPr>
          <w:rFonts w:ascii="Arial" w:cs="Arial" w:eastAsia="Arial" w:hAnsi="Arial"/>
          <w:sz w:val="17"/>
          <w:szCs w:val="17"/>
          <w:color w:val="auto"/>
        </w:rPr>
        <w:t>) and PAA GP (i) will exercise its authority and discretion to the maximum extent permitted under the PAA Partnership Agreement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 to ensure Common Unit Fungibility and (ii) upon a subsequent transfer in a fully taxable transaction will treat each PAA Common Unit issued pursuant to the PAA/AAP Interest Restructuring acquired by such transferee as having,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w:t>
      </w:r>
    </w:p>
    <w:p>
      <w:pPr>
        <w:spacing w:after="0" w:line="181" w:lineRule="exact"/>
        <w:rPr>
          <w:rFonts w:ascii="Arial" w:cs="Arial" w:eastAsia="Arial" w:hAnsi="Arial"/>
          <w:sz w:val="17"/>
          <w:szCs w:val="17"/>
          <w:color w:val="auto"/>
        </w:rPr>
      </w:pPr>
    </w:p>
    <w:p>
      <w:pPr>
        <w:ind w:right="40" w:firstLine="645"/>
        <w:spacing w:after="0" w:line="279" w:lineRule="auto"/>
        <w:tabs>
          <w:tab w:leader="none" w:pos="13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Party represents that neither it nor any of its Subsidiaries is aware of any fact that is in existence on the date hereof or may reasonably be expected to occur on or prior to the Closing, or has taken or agreed to take any action, that would reasonably be expected to prevent or impede (i) the PAA/AAP Interest Restructuring from qualifying for the Intended Tax Treatment, (ii) the representation in the Tax Opinion Certificate from being true and correct on the date hereof or on the Closing Date, or (iii) the achievement of Common Unit Fungibility.</w:t>
      </w:r>
    </w:p>
    <w:p>
      <w:pPr>
        <w:spacing w:after="0" w:line="171" w:lineRule="exact"/>
        <w:rPr>
          <w:rFonts w:ascii="Arial" w:cs="Arial" w:eastAsia="Arial" w:hAnsi="Arial"/>
          <w:sz w:val="17"/>
          <w:szCs w:val="17"/>
          <w:color w:val="auto"/>
        </w:rPr>
      </w:pPr>
    </w:p>
    <w:p>
      <w:pPr>
        <w:ind w:right="20" w:firstLine="645"/>
        <w:spacing w:after="0" w:line="264"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Party agrees to use its reasonable best efforts to cause the representations in the Tax Opinion Certificate to continue to be true and correct at Closing, including by not taking or failing to take any action which action or failure to act such party knows is reasonably likely to prevent the representations in the Tax Opinion Certificate to continue to be true and correct at Closing.</w:t>
      </w:r>
    </w:p>
    <w:p>
      <w:pPr>
        <w:spacing w:after="0" w:line="181" w:lineRule="exact"/>
        <w:rPr>
          <w:rFonts w:ascii="Arial" w:cs="Arial" w:eastAsia="Arial" w:hAnsi="Arial"/>
          <w:sz w:val="18"/>
          <w:szCs w:val="18"/>
          <w:color w:val="auto"/>
        </w:rPr>
      </w:pPr>
    </w:p>
    <w:p>
      <w:pPr>
        <w:ind w:right="60" w:firstLine="645"/>
        <w:spacing w:after="0" w:line="277" w:lineRule="auto"/>
        <w:tabs>
          <w:tab w:leader="none" w:pos="13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Party agrees to use its reasonable best efforts to (i) cause the PAA/AAP Interest Restructuring to qualify for the Intended Tax Treatment, and (ii) cause the achievement of Common Unit Fungibility, including by not taking or failing to</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take any action which action or failure to act such party knows is reasonably likely to prevent such qualification or achievement.</w:t>
      </w: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Representations and Warranties of PAA</w:t>
      </w:r>
      <w:r>
        <w:rPr>
          <w:rFonts w:ascii="Arial" w:cs="Arial" w:eastAsia="Arial" w:hAnsi="Arial"/>
          <w:sz w:val="16"/>
          <w:szCs w:val="16"/>
          <w:color w:val="auto"/>
        </w:rPr>
        <w:t>. PAA hereby represents and warrants to the other Parties hereto as follows:</w:t>
      </w:r>
    </w:p>
    <w:p>
      <w:pPr>
        <w:spacing w:after="0" w:line="229" w:lineRule="exact"/>
        <w:rPr>
          <w:sz w:val="20"/>
          <w:szCs w:val="20"/>
          <w:color w:val="auto"/>
        </w:rPr>
      </w:pPr>
    </w:p>
    <w:p>
      <w:pPr>
        <w:ind w:right="40" w:firstLine="645"/>
        <w:spacing w:after="0" w:line="291" w:lineRule="auto"/>
        <w:tabs>
          <w:tab w:leader="none" w:pos="129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Organization, Standing and Authority</w:t>
      </w:r>
      <w:r>
        <w:rPr>
          <w:rFonts w:ascii="Arial" w:cs="Arial" w:eastAsia="Arial" w:hAnsi="Arial"/>
          <w:sz w:val="16"/>
          <w:szCs w:val="16"/>
          <w:color w:val="auto"/>
        </w:rPr>
        <w:t>. PAA (i) is a limited partnership duly formed, validly existing and in good standing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and its Subsidiaries, taken as a whole.</w:t>
      </w:r>
    </w:p>
    <w:p>
      <w:pPr>
        <w:spacing w:after="0" w:line="167" w:lineRule="exact"/>
        <w:rPr>
          <w:rFonts w:ascii="Arial" w:cs="Arial" w:eastAsia="Arial" w:hAnsi="Arial"/>
          <w:sz w:val="16"/>
          <w:szCs w:val="16"/>
          <w:color w:val="auto"/>
        </w:rPr>
      </w:pPr>
    </w:p>
    <w:p>
      <w:pPr>
        <w:ind w:right="20" w:firstLine="645"/>
        <w:spacing w:after="0" w:line="288" w:lineRule="auto"/>
        <w:tabs>
          <w:tab w:leader="none" w:pos="130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As of the date hereof, there are 397,736,728 PAA Common Units (excluding 2,769,764 unvested phantom units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under PAA’s long-term incentive plan), 61,888,566 PAA Series A Preferred Units, the PAA IDRs, and the PAA General Partner Interest issued and outstanding, which collectively constitute all of the issued and outstanding Equity Interests of PAA. The limited partner interests represented by the PAA Common Units and the PAA Series A Preferred Units have been duly authorized and validly issued in accordance with the PAA Partnership Agreement and are fully paid (to the extent required under the PAA Partnership Agreement) and nonassessable (except as such nonassessability may be affected by Sections 17-303, 17-607, and 17-804 of the Delaware LP Act). The general partner interest represented by the PAA General Partner Interest has been duly authorized and validly issued in accordance with the PAA Partnership Agreement. Except as expressly contemplated by this Agreement, otherwise disclosed in the PAA SEC Reports or pursuant to PAA’s long-term incentive plan, employee benefit plans, qualified stock option plans or employee compensation plans, there are no issued or outstanding Commitments of PAA GP or PAA with respect to any equity securities of PAA and neither PAA GP nor PAA has any commitment to authorize, issue or sell any such equity securities or Commitments.</w:t>
      </w:r>
    </w:p>
    <w:p>
      <w:pPr>
        <w:spacing w:after="0" w:line="169" w:lineRule="exact"/>
        <w:rPr>
          <w:rFonts w:ascii="Arial" w:cs="Arial" w:eastAsia="Arial" w:hAnsi="Arial"/>
          <w:sz w:val="16"/>
          <w:szCs w:val="16"/>
          <w:color w:val="auto"/>
        </w:rPr>
      </w:pPr>
    </w:p>
    <w:p>
      <w:pPr>
        <w:jc w:val="both"/>
        <w:ind w:right="180" w:firstLine="645"/>
        <w:spacing w:after="0" w:line="264" w:lineRule="auto"/>
        <w:tabs>
          <w:tab w:leader="none" w:pos="130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Each of PAA’s Subsidiaries has the entity power and authority to carry on its business as it is now being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and to own all its properties and assets, except as would not (individually or in the aggregate) reasonably be expected to be material to PAA and its Subsidiaries, taken as a whole.</w:t>
      </w:r>
    </w:p>
    <w:p>
      <w:pPr>
        <w:spacing w:after="0" w:line="181" w:lineRule="exact"/>
        <w:rPr>
          <w:rFonts w:ascii="Arial" w:cs="Arial" w:eastAsia="Arial" w:hAnsi="Arial"/>
          <w:sz w:val="18"/>
          <w:szCs w:val="18"/>
          <w:color w:val="auto"/>
        </w:rPr>
      </w:pPr>
    </w:p>
    <w:p>
      <w:pPr>
        <w:ind w:right="120" w:firstLine="645"/>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Assuming the accuracy of the representations and warranties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3.2(d)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3.3(d)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3.6(d)</w:t>
      </w:r>
      <w:r>
        <w:rPr>
          <w:rFonts w:ascii="Arial" w:cs="Arial" w:eastAsia="Arial" w:hAnsi="Arial"/>
          <w:sz w:val="18"/>
          <w:szCs w:val="18"/>
          <w:color w:val="auto"/>
        </w:rPr>
        <w:t>, this Agreement and the matters contemplated hereby, including, to the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extent applicable, the Transactions and the Transaction Documents, have been authorized by all necessary limited partnership action by PAA, and this Agreement has been, and each other Transaction Document to be executed or delivered by PAA will be at the time it is delivered, duly executed and delivered and is or, when delivered will be, a legal, valid and binding agreement of PAA,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3" w:lineRule="exact"/>
        <w:rPr>
          <w:sz w:val="20"/>
          <w:szCs w:val="20"/>
          <w:color w:val="auto"/>
        </w:rPr>
      </w:pPr>
    </w:p>
    <w:p>
      <w:pPr>
        <w:ind w:right="20" w:firstLine="645"/>
        <w:spacing w:after="0" w:line="293" w:lineRule="auto"/>
        <w:tabs>
          <w:tab w:leader="none" w:pos="130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No Defaults</w:t>
      </w:r>
      <w:r>
        <w:rPr>
          <w:rFonts w:ascii="Arial" w:cs="Arial" w:eastAsia="Arial" w:hAnsi="Arial"/>
          <w:sz w:val="16"/>
          <w:szCs w:val="16"/>
          <w:color w:val="auto"/>
        </w:rPr>
        <w:t>. Subject to required filings under federal and state securities Laws and compliance with the rules and regulations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NYSE, the execution, delivery and performance of this Agreement and the consummation of the transactions contemplated hereby, including the entrance by PAA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w:t>
      </w:r>
    </w:p>
    <w:p>
      <w:pPr>
        <w:sectPr>
          <w:pgSz w:w="11900" w:h="16934" w:orient="portrait"/>
          <w:cols w:equalWidth="0" w:num="1">
            <w:col w:w="10760"/>
          </w:cols>
          <w:pgMar w:left="900" w:top="341" w:right="239" w:bottom="0" w:gutter="0" w:footer="0" w:header="0"/>
        </w:sectPr>
      </w:pPr>
    </w:p>
    <w:bookmarkStart w:id="15" w:name="page16"/>
    <w:bookmarkEnd w:id="15"/>
    <w:p>
      <w:pPr>
        <w:ind w:right="60"/>
        <w:spacing w:after="0" w:line="259" w:lineRule="auto"/>
        <w:rPr>
          <w:sz w:val="20"/>
          <w:szCs w:val="20"/>
          <w:color w:val="auto"/>
        </w:rPr>
      </w:pPr>
      <w:r>
        <w:rPr>
          <w:rFonts w:ascii="Arial" w:cs="Arial" w:eastAsia="Arial" w:hAnsi="Arial"/>
          <w:sz w:val="18"/>
          <w:szCs w:val="18"/>
          <w:color w:val="auto"/>
        </w:rPr>
        <w:t>Subsidiaries or properties is subject or bound that is material to PAA and its Subsidiaries, taken as a whole, (ii) constitute a breach or violation of, or a default under the PAA Partnership Agreement, (iii) contravene or conflict with or constitute a violation of any provision of any Law or Order binding upon or applicable to PAA or any of its Subsidiaries, or (iv) result in the creation of any Encumbrance on any of PAA’s (or any of its Subsidiaries’) assets.</w:t>
      </w:r>
    </w:p>
    <w:p>
      <w:pPr>
        <w:spacing w:after="0" w:line="187" w:lineRule="exact"/>
        <w:rPr>
          <w:sz w:val="20"/>
          <w:szCs w:val="20"/>
          <w:color w:val="auto"/>
        </w:rPr>
      </w:pPr>
    </w:p>
    <w:p>
      <w:pPr>
        <w:ind w:right="60" w:firstLine="645"/>
        <w:spacing w:after="0" w:line="264" w:lineRule="auto"/>
        <w:tabs>
          <w:tab w:leader="none" w:pos="130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Except for the fees payable by PAA to Tudor Pickering Holt &amp; Co LLC (“</w:t>
      </w:r>
      <w:r>
        <w:rPr>
          <w:rFonts w:ascii="Arial" w:cs="Arial" w:eastAsia="Arial" w:hAnsi="Arial"/>
          <w:sz w:val="18"/>
          <w:szCs w:val="18"/>
          <w:b w:val="1"/>
          <w:bCs w:val="1"/>
          <w:i w:val="1"/>
          <w:iCs w:val="1"/>
          <w:color w:val="auto"/>
        </w:rPr>
        <w:t>Tudor Pickering</w:t>
      </w:r>
      <w:r>
        <w:rPr>
          <w:rFonts w:ascii="Arial" w:cs="Arial" w:eastAsia="Arial" w:hAnsi="Arial"/>
          <w:sz w:val="18"/>
          <w:szCs w:val="18"/>
          <w:color w:val="auto"/>
        </w:rPr>
        <w:t>”) and to Barclays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Inc. (“</w:t>
      </w:r>
      <w:r>
        <w:rPr>
          <w:rFonts w:ascii="Arial" w:cs="Arial" w:eastAsia="Arial" w:hAnsi="Arial"/>
          <w:sz w:val="18"/>
          <w:szCs w:val="18"/>
          <w:b w:val="1"/>
          <w:bCs w:val="1"/>
          <w:i w:val="1"/>
          <w:iCs w:val="1"/>
          <w:color w:val="auto"/>
        </w:rPr>
        <w:t>Barclays</w:t>
      </w:r>
      <w:r>
        <w:rPr>
          <w:rFonts w:ascii="Arial" w:cs="Arial" w:eastAsia="Arial" w:hAnsi="Arial"/>
          <w:sz w:val="18"/>
          <w:szCs w:val="18"/>
          <w:color w:val="auto"/>
        </w:rPr>
        <w:t>”), no action has been taken by or on behalf of PAA that would 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600" w:firstLine="645"/>
        <w:spacing w:after="0" w:line="308" w:lineRule="auto"/>
        <w:tabs>
          <w:tab w:leader="none" w:pos="13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PAA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pacing w:after="0" w:line="146" w:lineRule="exact"/>
        <w:rPr>
          <w:rFonts w:ascii="Arial" w:cs="Arial" w:eastAsia="Arial" w:hAnsi="Arial"/>
          <w:sz w:val="17"/>
          <w:szCs w:val="17"/>
          <w:color w:val="auto"/>
        </w:rPr>
      </w:pPr>
    </w:p>
    <w:p>
      <w:pPr>
        <w:ind w:right="200" w:firstLine="645"/>
        <w:spacing w:after="0" w:line="293" w:lineRule="auto"/>
        <w:tabs>
          <w:tab w:leader="none" w:pos="130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Issuances of Common Units</w:t>
      </w:r>
      <w:r>
        <w:rPr>
          <w:rFonts w:ascii="Arial" w:cs="Arial" w:eastAsia="Arial" w:hAnsi="Arial"/>
          <w:sz w:val="16"/>
          <w:szCs w:val="16"/>
          <w:color w:val="auto"/>
        </w:rPr>
        <w:t>. All PAA Common Units issued pursuant to this Agreement, including the PAA Common Unit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when so issued as provided in this Agreement or the Omnibus Agreement, will be duly authorized, validly issued, fully paid (to the extent required by the PAA Partnership Agreement or, upon its adoption, the A&amp;R PAA Partnership Agreement, as applicable) and non-assessable (except as such non-assessability may be affected by Sections 17-303, 17-607, and 17-804 of the Delaware LP Act) and free of preemptive rights (except as provided in Section 5.9 of the PAA Partnership Agreement or, upon its adoption, the A&amp;R PAA Partnership Agreement, as applicable) and will entitle such recipient thereof to all of the rights of a holder of PAA Common Units in accordance with the PAA Partnership</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(and, upon its adoption, the A&amp;R PAA Partnership Agreement) and the Delaware LP Act.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Representations and Warranties of PAA GP</w:t>
      </w:r>
      <w:r>
        <w:rPr>
          <w:rFonts w:ascii="Arial" w:cs="Arial" w:eastAsia="Arial" w:hAnsi="Arial"/>
          <w:sz w:val="16"/>
          <w:szCs w:val="16"/>
          <w:color w:val="auto"/>
        </w:rPr>
        <w:t>. PAA GP hereby represents and warrants to the other Parties hereto as follows:</w:t>
      </w:r>
    </w:p>
    <w:p>
      <w:pPr>
        <w:spacing w:after="0" w:line="229" w:lineRule="exact"/>
        <w:rPr>
          <w:sz w:val="20"/>
          <w:szCs w:val="20"/>
          <w:color w:val="auto"/>
        </w:rPr>
      </w:pPr>
    </w:p>
    <w:p>
      <w:pPr>
        <w:ind w:right="60" w:firstLine="645"/>
        <w:spacing w:after="0" w:line="272" w:lineRule="auto"/>
        <w:tabs>
          <w:tab w:leader="none" w:pos="129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PAA GP (i) is a limited liability company duly formed,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GP.</w:t>
      </w:r>
    </w:p>
    <w:p>
      <w:pPr>
        <w:spacing w:after="0" w:line="177" w:lineRule="exact"/>
        <w:rPr>
          <w:rFonts w:ascii="Arial" w:cs="Arial" w:eastAsia="Arial" w:hAnsi="Arial"/>
          <w:sz w:val="17"/>
          <w:szCs w:val="17"/>
          <w:color w:val="auto"/>
        </w:rPr>
      </w:pPr>
    </w:p>
    <w:p>
      <w:pPr>
        <w:ind w:right="60" w:firstLine="645"/>
        <w:spacing w:after="0" w:line="255"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The only Equity Interests of PAA GP issued and outstanding are the PAA GP Membership Interests.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issued or outstanding Commitments of PAA GP with respect to any equity securities of PAA GP and PAA GP does not have any commitment to authorize, issue or sell any such equity securities or Commitments. The limited liability company interests represented by the PAA GP Membership Interests have been duly authorized and validly issued in accordance with the PAA GP LLC Agreement and are fully paid (to the extent required under the PAA GP LLC Agreement) and nonassessable (except as such nonassessability may be affected by Sections 18-607 and 18-804 of the Delaware LLC Act).</w:t>
      </w:r>
    </w:p>
    <w:p>
      <w:pPr>
        <w:spacing w:after="0" w:line="193" w:lineRule="exact"/>
        <w:rPr>
          <w:rFonts w:ascii="Arial" w:cs="Arial" w:eastAsia="Arial" w:hAnsi="Arial"/>
          <w:sz w:val="18"/>
          <w:szCs w:val="18"/>
          <w:color w:val="auto"/>
        </w:rPr>
      </w:pPr>
    </w:p>
    <w:p>
      <w:pPr>
        <w:ind w:right="20" w:firstLine="645"/>
        <w:spacing w:after="0" w:line="286" w:lineRule="auto"/>
        <w:tabs>
          <w:tab w:leader="none" w:pos="1307"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Ownership</w:t>
      </w:r>
      <w:r>
        <w:rPr>
          <w:rFonts w:ascii="Arial" w:cs="Arial" w:eastAsia="Arial" w:hAnsi="Arial"/>
          <w:sz w:val="17"/>
          <w:szCs w:val="17"/>
          <w:color w:val="auto"/>
        </w:rPr>
        <w:t>. PAA GP owns beneficially and of record the PAA General Partner Interest, free and clear of all Encumbrances.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consummation of the PAA General Partner Interest Recapitalization in accordance with the terms of this Agreement, PAA GP will own beneficially and of record the Non-Economic PAA General Partner Interest free and clear of all Encumbrances.</w:t>
      </w:r>
    </w:p>
    <w:p>
      <w:pPr>
        <w:spacing w:after="0" w:line="165" w:lineRule="exact"/>
        <w:rPr>
          <w:rFonts w:ascii="Arial" w:cs="Arial" w:eastAsia="Arial" w:hAnsi="Arial"/>
          <w:sz w:val="17"/>
          <w:szCs w:val="17"/>
          <w:color w:val="auto"/>
        </w:rPr>
      </w:pPr>
    </w:p>
    <w:p>
      <w:pPr>
        <w:ind w:right="60" w:firstLine="645"/>
        <w:spacing w:after="0" w:line="272" w:lineRule="auto"/>
        <w:tabs>
          <w:tab w:leader="none" w:pos="130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Assuming the accuracy of the representations and warranties set forth in Section 3.1(d),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 PAA GP, and this Agreement has been, and each other Transaction Document to be executed or delivered by PAA GP will be at the time it is delivered, duly executed and delivered and is or, when delivered, will be a legal, valid and binding agreement of PAA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70" w:lineRule="auto"/>
        <w:tabs>
          <w:tab w:leader="none" w:pos="1307"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No Defaults</w:t>
      </w:r>
      <w:r>
        <w:rPr>
          <w:rFonts w:ascii="Arial" w:cs="Arial" w:eastAsia="Arial" w:hAnsi="Arial"/>
          <w:sz w:val="17"/>
          <w:szCs w:val="17"/>
          <w:color w:val="auto"/>
        </w:rPr>
        <w:t>. Subject to required filings under federal and state securities Laws and compliance with the rules and regulations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NYSE, the execution, delivery and performance of this Agreement and the consummation of the transactions contemplated hereby, including the entrance by PAA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GP is a party or by which PAA GP is subject or bound that is material to PAA GP, (ii) constitute a breach or violation of, or a default under the PAA GP LLC Agreement, (iii) contravene or conflict with or constitute a violation of any provision of any Law or Order binding upon or applicable to PAA or PAA GP or any of their respective Subsidiaries, or (iv) result in the creation of any Encumbrance on any of PAA GP’s assets.</w:t>
      </w:r>
    </w:p>
    <w:p>
      <w:pPr>
        <w:spacing w:after="0" w:line="181" w:lineRule="exact"/>
        <w:rPr>
          <w:rFonts w:ascii="Arial" w:cs="Arial" w:eastAsia="Arial" w:hAnsi="Arial"/>
          <w:sz w:val="17"/>
          <w:szCs w:val="17"/>
          <w:color w:val="auto"/>
        </w:rPr>
      </w:pPr>
    </w:p>
    <w:p>
      <w:pPr>
        <w:ind w:right="200" w:firstLine="645"/>
        <w:spacing w:after="0" w:line="264" w:lineRule="auto"/>
        <w:tabs>
          <w:tab w:leader="none" w:pos="130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Excluding fees payable by any of the other Parties, no action has been taken by or on behalf of PAA GP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320" w:firstLine="645"/>
        <w:spacing w:after="0" w:line="308" w:lineRule="auto"/>
        <w:tabs>
          <w:tab w:leader="none" w:pos="1317"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PAA GP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ectPr>
          <w:pgSz w:w="11900" w:h="16838" w:orient="portrait"/>
          <w:cols w:equalWidth="0" w:num="1">
            <w:col w:w="10740"/>
          </w:cols>
          <w:pgMar w:left="900" w:top="125" w:right="259" w:bottom="0" w:gutter="0" w:footer="0" w:header="0"/>
        </w:sectPr>
      </w:pPr>
    </w:p>
    <w:bookmarkStart w:id="16" w:name="page17"/>
    <w:bookmarkEnd w:id="16"/>
    <w:p>
      <w:pPr>
        <w:spacing w:after="0" w:line="114" w:lineRule="exact"/>
        <w:rPr>
          <w:sz w:val="20"/>
          <w:szCs w:val="20"/>
          <w:color w:val="auto"/>
        </w:rPr>
      </w:pPr>
    </w:p>
    <w:p>
      <w:pPr>
        <w:ind w:right="40" w:firstLine="645"/>
        <w:spacing w:after="0" w:line="293" w:lineRule="auto"/>
        <w:tabs>
          <w:tab w:leader="none" w:pos="130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Private Placement</w:t>
      </w:r>
      <w:r>
        <w:rPr>
          <w:rFonts w:ascii="Arial" w:cs="Arial" w:eastAsia="Arial" w:hAnsi="Arial"/>
          <w:sz w:val="16"/>
          <w:szCs w:val="16"/>
          <w:color w:val="auto"/>
        </w:rPr>
        <w:t>. PAA GP is an “accredited investor,” as such term is defined in Regulation D promulgated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PAA has made available and PAA GP has reviewed such information as PAA GP considers necessary or appropriate to evaluate the risks and merits of an investment in PAA Common Units or other securities of PAA and the consummation of the Transactions. Any securities of PAA acquired by PAA GP pursuant to the Transactions are, except as contemplated by the Transactions, being acquired for PAA GP’s own account, not as a nominee or agent, and with no intention of distributing such securities or any part thereof, and PAA GP has no present intention of selling or granting any participation in or otherwise distributing the same in any transaction in violation of the securities laws of the United States or any State.</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Representations and Warranties of AAP</w:t>
      </w:r>
      <w:r>
        <w:rPr>
          <w:rFonts w:ascii="Arial" w:cs="Arial" w:eastAsia="Arial" w:hAnsi="Arial"/>
          <w:sz w:val="16"/>
          <w:szCs w:val="16"/>
          <w:color w:val="auto"/>
        </w:rPr>
        <w:t>. AAP hereby represents and warrants to the other Parties hereto as follows:</w:t>
      </w:r>
    </w:p>
    <w:p>
      <w:pPr>
        <w:spacing w:after="0" w:line="229" w:lineRule="exact"/>
        <w:rPr>
          <w:sz w:val="20"/>
          <w:szCs w:val="20"/>
          <w:color w:val="auto"/>
        </w:rPr>
      </w:pPr>
    </w:p>
    <w:p>
      <w:pPr>
        <w:ind w:right="40" w:firstLine="645"/>
        <w:spacing w:after="0" w:line="257" w:lineRule="auto"/>
        <w:tabs>
          <w:tab w:leader="none" w:pos="129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Organization, Standing and Authority</w:t>
      </w:r>
      <w:r>
        <w:rPr>
          <w:rFonts w:ascii="Arial" w:cs="Arial" w:eastAsia="Arial" w:hAnsi="Arial"/>
          <w:sz w:val="18"/>
          <w:szCs w:val="18"/>
          <w:color w:val="auto"/>
        </w:rPr>
        <w:t>. AAP (i) is a limited partnership duly formed, validly existing and in good standing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necessary for it to own or lease its properties and assets and to carry on its business as it is now conducted; except, in the instance of</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clauses (ii) through (iii) above, where the failure to be so qualified or in good standing, or to have in effect all such governmental authorizations and permits would not, individually or in the aggregate, be material to AAP.</w:t>
      </w:r>
    </w:p>
    <w:p>
      <w:pPr>
        <w:spacing w:after="0" w:line="184" w:lineRule="exact"/>
        <w:rPr>
          <w:sz w:val="20"/>
          <w:szCs w:val="20"/>
          <w:color w:val="auto"/>
        </w:rPr>
      </w:pPr>
    </w:p>
    <w:p>
      <w:pPr>
        <w:ind w:firstLine="645"/>
        <w:spacing w:after="0" w:line="270" w:lineRule="auto"/>
        <w:tabs>
          <w:tab w:leader="none" w:pos="1304"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only Equity Interests of AAP issued and outstanding are 640,730,181 AAP Class A Units, 13,840,461 AAP</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Units and the AAP General Partner Interest, which collectively constitute all of the issued and outstanding Equity Interests of AAP. The limited partner interests represented by the AAP Class A Units and the AAP Class B Units have been duly authorized and validly issued in accordance with the AAP Partnership Agreement and are fully paid (to the extent required under the AAP Partnership Agreement) and nonassessable (except as such nonassessability may be affected by Sections 17-303, 17-607, and 17-804 of the Delaware LP Act). The general partner interest represented by the AAP General Partner Interest has been duly authorized and validly issued in accordance with the AAP Partnership Agreement. Except as expressly contemplated by this Agreement, otherwise disclosed in the PAA SEC Reports or pursuant to employee benefit plans, qualified stock option plans or employee compensation plans, there are no issued or outstanding Commitments of AAP with respect to any equity securities of AAP and AAP has no commitment to authorize, issue or sell any equity securities or Commitments.</w:t>
      </w:r>
    </w:p>
    <w:p>
      <w:pPr>
        <w:spacing w:after="0" w:line="181" w:lineRule="exact"/>
        <w:rPr>
          <w:rFonts w:ascii="Arial" w:cs="Arial" w:eastAsia="Arial" w:hAnsi="Arial"/>
          <w:sz w:val="17"/>
          <w:szCs w:val="17"/>
          <w:color w:val="auto"/>
        </w:rPr>
      </w:pPr>
    </w:p>
    <w:p>
      <w:pPr>
        <w:ind w:right="60" w:firstLine="645"/>
        <w:spacing w:after="0" w:line="254"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AAP owns beneficially and of record all of the PAA IDRs, free and clear of all Encumbrances,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Encumbrances under the AAP Credit Agreement which shall be eliminated immediately prior to Closing and Encumbrances provided for under the PAA Partnership Agreement. AAP owns beneficially and of record all of the PAA GP Membership Interests, free and clear of all Encumbrances, other than Encumbrances under the AAP Credit Agreement which shall be eliminated at Closing and Encumbrances provided for under the PAA GP LLC Agreement. Upon the consummation of the IDR Redemption and Exchange and the PAA General Partner Interest Recapitalization in accordance with the terms of this Agreement, AAP will own beneficially and of record the portion of the PAA Common Unit Consideration to be issued and delivered to AAP at Closing, free and clear of all Encumbrances (other than Encumbrances provided for under the PAA Partnership Agreement).</w:t>
      </w:r>
    </w:p>
    <w:p>
      <w:pPr>
        <w:spacing w:after="0" w:line="192" w:lineRule="exact"/>
        <w:rPr>
          <w:rFonts w:ascii="Arial" w:cs="Arial" w:eastAsia="Arial" w:hAnsi="Arial"/>
          <w:sz w:val="18"/>
          <w:szCs w:val="18"/>
          <w:color w:val="auto"/>
        </w:rPr>
      </w:pPr>
    </w:p>
    <w:p>
      <w:pPr>
        <w:ind w:right="120" w:firstLine="645"/>
        <w:spacing w:after="0" w:line="271" w:lineRule="auto"/>
        <w:tabs>
          <w:tab w:leader="none" w:pos="1304"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Assuming the accuracy of the representations and warranties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partnership action by AAP, and this Agreement has been, and each other Transaction Document to be executed or delivered by AAP will be at the time it is delivered, duly executed and delivered and is or, when delivered, will be a legal, valid and binding agreement of AAP,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To the extent required in connection with the consummation of the Transactions, all approvals required to be obtained from the limited partners of AAP have been obtained.</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70" w:lineRule="auto"/>
        <w:tabs>
          <w:tab w:leader="none" w:pos="1307"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No Defaults</w:t>
      </w:r>
      <w:r>
        <w:rPr>
          <w:rFonts w:ascii="Arial" w:cs="Arial" w:eastAsia="Arial" w:hAnsi="Arial"/>
          <w:sz w:val="17"/>
          <w:szCs w:val="17"/>
          <w:color w:val="auto"/>
        </w:rPr>
        <w:t>. Subject to required filings under federal and state securities Laws, required approvals under the AAP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compliance with the rules and regulations of the NYSE, the execution, delivery and performance of this Agreement and the consummation of the transactions contemplated hereby, including the entrance by AAP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AAP is a party or by which AAP or its properties is subject or bound that is material to AAP, (ii) constitute a breach or violation of, or a default under the AAP Partnership Agreement, (iii) contravene or conflict with or constitute a violation of any provision of any Law or Order binding upon or applicable to AAP, or (iv) result in the creation of any Encumbrance on any of AAP’s assets.</w:t>
      </w:r>
    </w:p>
    <w:p>
      <w:pPr>
        <w:spacing w:after="0" w:line="181" w:lineRule="exact"/>
        <w:rPr>
          <w:rFonts w:ascii="Arial" w:cs="Arial" w:eastAsia="Arial" w:hAnsi="Arial"/>
          <w:sz w:val="17"/>
          <w:szCs w:val="17"/>
          <w:color w:val="auto"/>
        </w:rPr>
      </w:pPr>
    </w:p>
    <w:p>
      <w:pPr>
        <w:ind w:left="1300" w:hanging="655"/>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AAP Credit Agreement</w:t>
      </w:r>
      <w:r>
        <w:rPr>
          <w:rFonts w:ascii="Arial" w:cs="Arial" w:eastAsia="Arial" w:hAnsi="Arial"/>
          <w:sz w:val="16"/>
          <w:szCs w:val="16"/>
          <w:color w:val="auto"/>
        </w:rPr>
        <w:t>. As of the date of this Agreement, the amount of indebtedness outstanding under the AAP Term Loan is</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$550 million and the AAP Revolving Credit Facility is $43 million. Except as set forth in the previous sentence and with respect to any indebtedness incurred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4.10</w:t>
      </w:r>
      <w:r>
        <w:rPr>
          <w:rFonts w:ascii="Arial" w:cs="Arial" w:eastAsia="Arial" w:hAnsi="Arial"/>
          <w:sz w:val="18"/>
          <w:szCs w:val="18"/>
          <w:color w:val="auto"/>
        </w:rPr>
        <w:t>, AAP is not liable for any other indebtedness, obligations or liabilities under the AAP Credit Agreement or any related collateral or other agreements.</w:t>
      </w:r>
    </w:p>
    <w:p>
      <w:pPr>
        <w:spacing w:after="0" w:line="190" w:lineRule="exact"/>
        <w:rPr>
          <w:sz w:val="20"/>
          <w:szCs w:val="20"/>
          <w:color w:val="auto"/>
        </w:rPr>
      </w:pPr>
    </w:p>
    <w:p>
      <w:pPr>
        <w:ind w:right="120" w:firstLine="645"/>
        <w:spacing w:after="0" w:line="264" w:lineRule="auto"/>
        <w:tabs>
          <w:tab w:leader="none" w:pos="1317"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Excluding fees payable by any of the other Parties, no action has been taken by or on behalf of AAP that would give</w:t>
      </w:r>
      <w:r>
        <w:rPr>
          <w:rFonts w:ascii="Arial" w:cs="Arial" w:eastAsia="Arial" w:hAnsi="Arial"/>
          <w:sz w:val="18"/>
          <w:szCs w:val="18"/>
          <w:i w:val="1"/>
          <w:iCs w:val="1"/>
          <w:color w:val="auto"/>
        </w:rPr>
        <w:t xml:space="preserve"> </w:t>
      </w:r>
      <w:r>
        <w:rPr>
          <w:rFonts w:ascii="Arial" w:cs="Arial" w:eastAsia="Arial" w:hAnsi="Arial"/>
          <w:sz w:val="18"/>
          <w:szCs w:val="18"/>
          <w:color w:val="auto"/>
        </w:rPr>
        <w:t>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620" w:firstLine="645"/>
        <w:spacing w:after="0" w:line="308" w:lineRule="auto"/>
        <w:tabs>
          <w:tab w:leader="none" w:pos="1304"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AAP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ectPr>
          <w:pgSz w:w="11900" w:h="16953" w:orient="portrait"/>
          <w:cols w:equalWidth="0" w:num="1">
            <w:col w:w="10760"/>
          </w:cols>
          <w:pgMar w:left="900" w:top="125" w:right="239" w:bottom="0" w:gutter="0" w:footer="0" w:header="0"/>
        </w:sectPr>
      </w:pPr>
    </w:p>
    <w:bookmarkStart w:id="17" w:name="page18"/>
    <w:bookmarkEnd w:id="17"/>
    <w:p>
      <w:pPr>
        <w:spacing w:after="0" w:line="83" w:lineRule="exact"/>
        <w:rPr>
          <w:sz w:val="20"/>
          <w:szCs w:val="20"/>
          <w:color w:val="auto"/>
        </w:rPr>
      </w:pPr>
    </w:p>
    <w:p>
      <w:pPr>
        <w:ind w:right="20" w:firstLine="645"/>
        <w:spacing w:after="0" w:line="293" w:lineRule="auto"/>
        <w:tabs>
          <w:tab w:leader="none" w:pos="131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Private Placement</w:t>
      </w:r>
      <w:r>
        <w:rPr>
          <w:rFonts w:ascii="Arial" w:cs="Arial" w:eastAsia="Arial" w:hAnsi="Arial"/>
          <w:sz w:val="16"/>
          <w:szCs w:val="16"/>
          <w:color w:val="auto"/>
        </w:rPr>
        <w:t>. AAP is an “accredited investor,” as such term is defined in Regulation D promulgated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PAA has made available and AAP has reviewed such information as AAP considers necessary or appropriate to evaluate the risks and merits of an investment in PAA Common Units or other securities of PAA and the consummation of the Transactions. Any securities of PAA acquired by AAP pursuant to the Transactions are, except as contemplated by the Transactions, being acquired for AAP’s own account, not as a nominee or agent, and with no intention of distributing such securities or any part thereof, and AAP has no present intention of selling or granting any participation in or otherwise distributing the same in any transaction in violation of the securities laws of the United States or any State.</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Representations and Warranties of GP LLC</w:t>
      </w:r>
      <w:r>
        <w:rPr>
          <w:rFonts w:ascii="Arial" w:cs="Arial" w:eastAsia="Arial" w:hAnsi="Arial"/>
          <w:sz w:val="16"/>
          <w:szCs w:val="16"/>
          <w:color w:val="auto"/>
        </w:rPr>
        <w:t>. GP LLC hereby represents and warrants to the other Parties hereto as follows:</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5"/>
        <w:spacing w:after="0" w:line="272" w:lineRule="auto"/>
        <w:tabs>
          <w:tab w:leader="none" w:pos="129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GP LLC (i) is a limited liability company duly formed,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GP LLC.</w:t>
      </w:r>
    </w:p>
    <w:p>
      <w:pPr>
        <w:spacing w:after="0" w:line="177" w:lineRule="exact"/>
        <w:rPr>
          <w:rFonts w:ascii="Arial" w:cs="Arial" w:eastAsia="Arial" w:hAnsi="Arial"/>
          <w:sz w:val="17"/>
          <w:szCs w:val="17"/>
          <w:color w:val="auto"/>
        </w:rPr>
      </w:pPr>
    </w:p>
    <w:p>
      <w:pPr>
        <w:ind w:right="200" w:firstLine="645"/>
        <w:spacing w:after="0" w:line="272" w:lineRule="auto"/>
        <w:tabs>
          <w:tab w:leader="none" w:pos="130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only Equity Interests of GP LLC issued and outstanding are the GP LLC Membership Interests.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expressly contemplated by this Agreement, otherwise disclosed in the PAA SEC Reports or pursuant to employee benefit plans, qualified stock option plans or employee compensation plans, there are no issued or outstanding Commitments of GP LLC with respect to any equity securities of GP LLC and GP LLC does not have any commitment to authorize, issue or sell any equity securities or Commitments. The limited liability company interests represented by the GP LLC Membership Interests have been duly authorized and validly issued in accordance with the GP LLC Agreement and are fully paid (to the extent required under the GP LLC Agreement) and nonassessable (except as such nonassessability may be affected by Sections 18-607 and 18-804 of the Delaware LLC Act).</w:t>
      </w:r>
    </w:p>
    <w:p>
      <w:pPr>
        <w:spacing w:after="0" w:line="177" w:lineRule="exact"/>
        <w:rPr>
          <w:rFonts w:ascii="Arial" w:cs="Arial" w:eastAsia="Arial" w:hAnsi="Arial"/>
          <w:sz w:val="17"/>
          <w:szCs w:val="17"/>
          <w:color w:val="auto"/>
        </w:rPr>
      </w:pPr>
    </w:p>
    <w:p>
      <w:pPr>
        <w:ind w:right="80" w:firstLine="645"/>
        <w:spacing w:after="0" w:line="259"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GP LLC owns beneficially and of record the AAP General Partner Interest, free and clear of all Encumbrances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Encumbrances provided for under the AAP Partnership Agreement). Upon the consummation of the Transaction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GP LLC will own beneficially and of record the Contributed AAP Units, free and clear of all Encumbrances (other than Encumbrances provided for under the AAP Partnership Agreement).</w:t>
      </w:r>
    </w:p>
    <w:p>
      <w:pPr>
        <w:spacing w:after="0" w:line="186" w:lineRule="exact"/>
        <w:rPr>
          <w:rFonts w:ascii="Arial" w:cs="Arial" w:eastAsia="Arial" w:hAnsi="Arial"/>
          <w:sz w:val="18"/>
          <w:szCs w:val="18"/>
          <w:color w:val="auto"/>
        </w:rPr>
      </w:pPr>
    </w:p>
    <w:p>
      <w:pPr>
        <w:ind w:firstLine="645"/>
        <w:spacing w:after="0" w:line="271" w:lineRule="auto"/>
        <w:tabs>
          <w:tab w:leader="none" w:pos="130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Assuming the accuracy of the representations and warranties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 GP LLC (including, to the extent applicable, in its capacity as the general partner of AAP and in its Indirect PAA GP Capacity), and this Agreement has been, and each other Transaction Document to be executed or delivered by GP LLC will be at the time it is delivered, duly executed and delivered and is or, when delivered, will be a legal, valid and binding agreement of GP LLC,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8" w:lineRule="exact"/>
        <w:rPr>
          <w:rFonts w:ascii="Arial" w:cs="Arial" w:eastAsia="Arial" w:hAnsi="Arial"/>
          <w:sz w:val="17"/>
          <w:szCs w:val="17"/>
          <w:color w:val="auto"/>
        </w:rPr>
      </w:pPr>
    </w:p>
    <w:p>
      <w:pPr>
        <w:ind w:right="180" w:firstLine="645"/>
        <w:spacing w:after="0" w:line="277"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No Defaults</w:t>
      </w:r>
      <w:r>
        <w:rPr>
          <w:rFonts w:ascii="Arial" w:cs="Arial" w:eastAsia="Arial" w:hAnsi="Arial"/>
          <w:sz w:val="18"/>
          <w:szCs w:val="18"/>
          <w:color w:val="auto"/>
        </w:rPr>
        <w:t>. Subject to required filings under federal and state securities Laws and compliance with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the execution, delivery</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and performance of this Agreement and the consummation of the transactions contemplated hereby, including the entrance by GP LLC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GP LLC is a party or by which GP LLC or its properties is subject or bound that is material to GP LLC, (ii) constitute a breach or violation of, or a default under the GP LLC Agreement, (iii) contravene or conflict with or constitute a violation of any provision of any Law or Order binding upon or applicable to GP LLC, or (iv) result in the creation of any Encumbrance on any of GP LLC’s assets.</w:t>
      </w:r>
    </w:p>
    <w:p>
      <w:pPr>
        <w:spacing w:after="0" w:line="192" w:lineRule="exact"/>
        <w:rPr>
          <w:sz w:val="20"/>
          <w:szCs w:val="20"/>
          <w:color w:val="auto"/>
        </w:rPr>
      </w:pPr>
    </w:p>
    <w:p>
      <w:pPr>
        <w:ind w:firstLine="645"/>
        <w:spacing w:after="0" w:line="264" w:lineRule="auto"/>
        <w:tabs>
          <w:tab w:leader="none" w:pos="130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Other than the fees owed by PAA or GP LLC to Tudor Pickering, as advisor to the GP LLC Conflicts Committee, and</w:t>
      </w:r>
      <w:r>
        <w:rPr>
          <w:rFonts w:ascii="Arial" w:cs="Arial" w:eastAsia="Arial" w:hAnsi="Arial"/>
          <w:sz w:val="18"/>
          <w:szCs w:val="18"/>
          <w:i w:val="1"/>
          <w:iCs w:val="1"/>
          <w:color w:val="auto"/>
        </w:rPr>
        <w:t xml:space="preserve"> </w:t>
      </w:r>
      <w:r>
        <w:rPr>
          <w:rFonts w:ascii="Arial" w:cs="Arial" w:eastAsia="Arial" w:hAnsi="Arial"/>
          <w:sz w:val="18"/>
          <w:szCs w:val="18"/>
          <w:color w:val="auto"/>
        </w:rPr>
        <w:t>to Barclays, no action has been taken by or on behalf of GP LLC that would 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320" w:firstLine="645"/>
        <w:spacing w:after="0" w:line="308" w:lineRule="auto"/>
        <w:tabs>
          <w:tab w:leader="none" w:pos="1317"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GP LLC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Representations and Warranties of PAGP</w:t>
      </w:r>
      <w:r>
        <w:rPr>
          <w:rFonts w:ascii="Arial" w:cs="Arial" w:eastAsia="Arial" w:hAnsi="Arial"/>
          <w:sz w:val="16"/>
          <w:szCs w:val="16"/>
          <w:color w:val="auto"/>
        </w:rPr>
        <w:t>. PAGP hereby represents and warrants to the other Parties hereto as follows:</w:t>
      </w:r>
    </w:p>
    <w:p>
      <w:pPr>
        <w:spacing w:after="0" w:line="229" w:lineRule="exact"/>
        <w:rPr>
          <w:sz w:val="20"/>
          <w:szCs w:val="20"/>
          <w:color w:val="auto"/>
        </w:rPr>
      </w:pPr>
    </w:p>
    <w:p>
      <w:pPr>
        <w:ind w:right="20" w:firstLine="645"/>
        <w:spacing w:after="0" w:line="272" w:lineRule="auto"/>
        <w:tabs>
          <w:tab w:leader="none" w:pos="129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PAGP (i) is a limited partnership duly formed, validly existing and in good standing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w:t>
      </w:r>
    </w:p>
    <w:p>
      <w:pPr>
        <w:sectPr>
          <w:pgSz w:w="11900" w:h="16921" w:orient="portrait"/>
          <w:cols w:equalWidth="0" w:num="1">
            <w:col w:w="10740"/>
          </w:cols>
          <w:pgMar w:left="900" w:top="341" w:right="259" w:bottom="0" w:gutter="0" w:footer="0" w:header="0"/>
        </w:sectPr>
      </w:pPr>
    </w:p>
    <w:bookmarkStart w:id="18" w:name="page19"/>
    <w:bookmarkEnd w:id="18"/>
    <w:p>
      <w:pPr>
        <w:spacing w:after="0" w:line="103" w:lineRule="exact"/>
        <w:rPr>
          <w:sz w:val="20"/>
          <w:szCs w:val="20"/>
          <w:color w:val="auto"/>
        </w:rPr>
      </w:pPr>
    </w:p>
    <w:p>
      <w:pPr>
        <w:ind w:right="120" w:firstLine="645"/>
        <w:spacing w:after="0" w:line="276" w:lineRule="auto"/>
        <w:tabs>
          <w:tab w:leader="none" w:pos="1304"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As of the date hereof, the only Equity Interests of PAGP issued and outstanding are 267,032,219 PAGP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Shares (excluding 83,200 PAGP unvested phantom Class A Shares issued under PAGP’s long-term incentive plan), 373,697,962 PAGP Class B Shares and the PAGP General Partner Interest, which collectively constitute all of the issued and outstanding Equity Interests of PAGP. The limited partner interests represented by the PAGP Class A Shares and the PAGP Class B Shares have been duly authorized and validly issued in accordance with the PAGP Partnership Agreement and are fully paid (to the extent required under the PAGP</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Partnership Agreement) and nonassessable (except as such nonassessability may be affected by Sections 17-303, 17-607, and 17-804 of the Delaware LP Act). The general partner interest represented by the PAGP General Partner Interest has been duly authorized and validly issued in accordance with the PAGP Partnership Agreement. Except as expressly contemplated by this Agreement, otherwise disclosed in the PAA SEC Reports or pursuant to PAGP’s long-term incentive plan, employee benefit plans, qualified stock option plans or employee compensation plans, there are no issued or outstanding Commitments of PAGP with respect to any equity securities PAGP and PAGP has no commitment to authorize, issue or sell any equity securities or Commitments.</w:t>
      </w:r>
    </w:p>
    <w:p>
      <w:pPr>
        <w:spacing w:after="0" w:line="193" w:lineRule="exact"/>
        <w:rPr>
          <w:sz w:val="20"/>
          <w:szCs w:val="20"/>
          <w:color w:val="auto"/>
        </w:rPr>
      </w:pPr>
    </w:p>
    <w:p>
      <w:pPr>
        <w:ind w:firstLine="645"/>
        <w:spacing w:after="0" w:line="257" w:lineRule="auto"/>
        <w:tabs>
          <w:tab w:leader="none" w:pos="1307"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PAGP owns beneficially and of record 267,032,219 AAP Class A Units, free and clear of all Encumbrances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Encumbrances provided for under the AAP Partnership Agreement). PAGP owns beneficially and of record 254,037,317 PAGP GP Company Units, free and clear of all Encumbrances (other than Encumbrances provided for under the PAGP GP LLC Agreement). PAGP owns beneficially and of record all of the GP LLC Membership Interests, free and clear of all Encumbrances (other than Encumbrances provided for under the GP LLC Agreement).</w:t>
      </w:r>
    </w:p>
    <w:p>
      <w:pPr>
        <w:spacing w:after="0" w:line="188" w:lineRule="exact"/>
        <w:rPr>
          <w:rFonts w:ascii="Arial" w:cs="Arial" w:eastAsia="Arial" w:hAnsi="Arial"/>
          <w:sz w:val="18"/>
          <w:szCs w:val="18"/>
          <w:color w:val="auto"/>
        </w:rPr>
      </w:pPr>
    </w:p>
    <w:p>
      <w:pPr>
        <w:ind w:firstLine="645"/>
        <w:spacing w:after="0" w:line="289" w:lineRule="auto"/>
        <w:tabs>
          <w:tab w:leader="none" w:pos="1304"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Authority</w:t>
      </w:r>
      <w:r>
        <w:rPr>
          <w:rFonts w:ascii="Arial" w:cs="Arial" w:eastAsia="Arial" w:hAnsi="Arial"/>
          <w:sz w:val="16"/>
          <w:szCs w:val="16"/>
          <w:color w:val="auto"/>
        </w:rPr>
        <w:t>. Assuming the accuracy of the representations and warranties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3.6(d)</w:t>
      </w:r>
      <w:r>
        <w:rPr>
          <w:rFonts w:ascii="Arial" w:cs="Arial" w:eastAsia="Arial" w:hAnsi="Arial"/>
          <w:sz w:val="16"/>
          <w:szCs w:val="16"/>
          <w:color w:val="auto"/>
        </w:rPr>
        <w:t>, this Agreement and the matters contemplated hereby, including, to the extent applicable, the Transactions and the Transaction Documents have, subject to receipt of the Required Shareholder Approval, been authorized by all necessary limited partnership action by PAGP, and this Agreement has been, and each other Transaction Document to be executed or delivered by PAGP will be at the time it is delivered, duly executed and delivered and is or, when delivered, will be a legal, valid and binding agreement of PAGP,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Prior to the execution of this Agreement, limited partners of PAGP holding, in the aggregate, interests constituting a Share Majority (as such term is defined in the PAGP Partnership Agreement), have executed and delivered the Voting Agreement with respect to this Agreement and the Transactions.</w:t>
      </w:r>
    </w:p>
    <w:p>
      <w:pPr>
        <w:spacing w:after="0" w:line="166" w:lineRule="exact"/>
        <w:rPr>
          <w:rFonts w:ascii="Arial" w:cs="Arial" w:eastAsia="Arial" w:hAnsi="Arial"/>
          <w:sz w:val="16"/>
          <w:szCs w:val="16"/>
          <w:color w:val="auto"/>
        </w:rPr>
      </w:pPr>
    </w:p>
    <w:p>
      <w:pPr>
        <w:ind w:right="80" w:firstLine="645"/>
        <w:spacing w:after="0" w:line="254" w:lineRule="auto"/>
        <w:tabs>
          <w:tab w:leader="none" w:pos="1307"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No Defaults</w:t>
      </w:r>
      <w:r>
        <w:rPr>
          <w:rFonts w:ascii="Arial" w:cs="Arial" w:eastAsia="Arial" w:hAnsi="Arial"/>
          <w:sz w:val="18"/>
          <w:szCs w:val="18"/>
          <w:color w:val="auto"/>
        </w:rPr>
        <w:t>. Subject to required filings under federal and state securities Laws and compliance with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the execution, delivery and performance of this Agreement and the consummation of the transactions contemplated hereby, including the entrance by PAGP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is a party or by which PAGP or its properties is subject or bound that is material to PAGP, (ii) constitute a breach or violation of, or a default under the PAGP Partnership Agreement, (iii) contravene or conflict with or constitute a</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violation of any provision of any Law or Order binding upon or applicable to PAGP, or (iv) result in the creation of any Encumbrance on any of PAGP’s assets.</w:t>
      </w:r>
    </w:p>
    <w:p>
      <w:pPr>
        <w:spacing w:after="0" w:line="170" w:lineRule="exact"/>
        <w:rPr>
          <w:sz w:val="20"/>
          <w:szCs w:val="20"/>
          <w:color w:val="auto"/>
        </w:rPr>
      </w:pPr>
    </w:p>
    <w:p>
      <w:pPr>
        <w:ind w:right="80" w:firstLine="645"/>
        <w:spacing w:after="0" w:line="264" w:lineRule="auto"/>
        <w:tabs>
          <w:tab w:leader="none" w:pos="130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Except for the fees payable to Jefferies LLC (“</w:t>
      </w:r>
      <w:r>
        <w:rPr>
          <w:rFonts w:ascii="Arial" w:cs="Arial" w:eastAsia="Arial" w:hAnsi="Arial"/>
          <w:sz w:val="18"/>
          <w:szCs w:val="18"/>
          <w:b w:val="1"/>
          <w:bCs w:val="1"/>
          <w:i w:val="1"/>
          <w:iCs w:val="1"/>
          <w:color w:val="auto"/>
        </w:rPr>
        <w:t>Jefferies</w:t>
      </w:r>
      <w:r>
        <w:rPr>
          <w:rFonts w:ascii="Arial" w:cs="Arial" w:eastAsia="Arial" w:hAnsi="Arial"/>
          <w:sz w:val="18"/>
          <w:szCs w:val="18"/>
          <w:color w:val="auto"/>
        </w:rPr>
        <w:t>”) and Barclays, no action has been taken by or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PAGP that would 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520" w:firstLine="645"/>
        <w:spacing w:after="0" w:line="308" w:lineRule="auto"/>
        <w:tabs>
          <w:tab w:leader="none" w:pos="1317"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PAGP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pacing w:after="0" w:line="146" w:lineRule="exact"/>
        <w:rPr>
          <w:rFonts w:ascii="Arial" w:cs="Arial" w:eastAsia="Arial" w:hAnsi="Arial"/>
          <w:sz w:val="17"/>
          <w:szCs w:val="17"/>
          <w:color w:val="auto"/>
        </w:rPr>
      </w:pPr>
    </w:p>
    <w:p>
      <w:pPr>
        <w:ind w:right="60" w:firstLine="645"/>
        <w:spacing w:after="0" w:line="293" w:lineRule="auto"/>
        <w:tabs>
          <w:tab w:leader="none" w:pos="130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Private Placement</w:t>
      </w:r>
      <w:r>
        <w:rPr>
          <w:rFonts w:ascii="Arial" w:cs="Arial" w:eastAsia="Arial" w:hAnsi="Arial"/>
          <w:sz w:val="16"/>
          <w:szCs w:val="16"/>
          <w:color w:val="auto"/>
        </w:rPr>
        <w:t>. PAGP is an “accredited investor,” as such term is defined in Regulation D promulgated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PAA has made available and PAGP has reviewed such information as PAGP considers necessary or appropriate to evaluate the risks and merits of an investment in PAA Common Units or other securities of PAA and the consummation of the Transactions. Any securities of PAA acquired by PAGP pursuant to the Transactions are, except as contemplated by the Transactions, being acquired for PAGP’s own account, not as a nominee or agent, and with no intention of distributing such securities or any part thereof, and PAGP has no present intention of selling or granting any participation in or otherwise distributing the same in any transaction in violation of the securities laws of the United States or any State.</w:t>
      </w:r>
    </w:p>
    <w:p>
      <w:pPr>
        <w:spacing w:after="0" w:line="164" w:lineRule="exact"/>
        <w:rPr>
          <w:rFonts w:ascii="Arial" w:cs="Arial" w:eastAsia="Arial" w:hAnsi="Arial"/>
          <w:sz w:val="16"/>
          <w:szCs w:val="16"/>
          <w:color w:val="auto"/>
        </w:rPr>
      </w:pPr>
    </w:p>
    <w:p>
      <w:pPr>
        <w:ind w:right="80" w:firstLine="645"/>
        <w:spacing w:after="0" w:line="255" w:lineRule="auto"/>
        <w:tabs>
          <w:tab w:leader="none" w:pos="131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Issuances of Class C Shares</w:t>
      </w:r>
      <w:r>
        <w:rPr>
          <w:rFonts w:ascii="Arial" w:cs="Arial" w:eastAsia="Arial" w:hAnsi="Arial"/>
          <w:sz w:val="18"/>
          <w:szCs w:val="18"/>
          <w:color w:val="auto"/>
        </w:rPr>
        <w:t>. The PAGP Class C Shares issued pursuant to this Agreement, when so issued as provided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will be duly authorized, validly issued, fully paid (to the extent required by the PAGP Partnership Agreement or, upon its adoption, the A&amp;R PAGP Partnership Agreement, as applicable) and non-assessable (except as such non-assessability may be affected by Sections 17-303, 17-607, and 17-804 of the Delaware LP Act) and free of preemptive rights and will entitle such recipient thereof to all of the rights of a holder of PAGP Class C Shares in accordance with the PAGP Partnership Agreement (or, upon its adoption, the A&amp;R PAGP Partnership Agreement) and the Delaware LP Act.</w:t>
      </w:r>
    </w:p>
    <w:p>
      <w:pPr>
        <w:spacing w:after="0" w:line="193" w:lineRule="exact"/>
        <w:rPr>
          <w:rFonts w:ascii="Arial" w:cs="Arial" w:eastAsia="Arial" w:hAnsi="Arial"/>
          <w:sz w:val="18"/>
          <w:szCs w:val="18"/>
          <w:color w:val="auto"/>
        </w:rPr>
      </w:pPr>
    </w:p>
    <w:p>
      <w:pPr>
        <w:ind w:right="80" w:firstLine="645"/>
        <w:spacing w:after="0" w:line="297" w:lineRule="auto"/>
        <w:tabs>
          <w:tab w:leader="none" w:pos="130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Proxy Statement</w:t>
      </w:r>
      <w:r>
        <w:rPr>
          <w:rFonts w:ascii="Arial" w:cs="Arial" w:eastAsia="Arial" w:hAnsi="Arial"/>
          <w:sz w:val="16"/>
          <w:szCs w:val="16"/>
          <w:color w:val="auto"/>
        </w:rPr>
        <w:t>. The Proxy Statement will, when definitively filed, comply as to form in all material respects with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Exchange Act. At the time the Proxy Statement and any amendments or supplements thereto are first mailed to the holders of PAGP Class A Shares and PAGP Class B Shares and at the time the Shareholder Proposal is submitted to such holders,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w:t>
      </w:r>
    </w:p>
    <w:p>
      <w:pPr>
        <w:sectPr>
          <w:pgSz w:w="11900" w:h="16941" w:orient="portrait"/>
          <w:cols w:equalWidth="0" w:num="1">
            <w:col w:w="10760"/>
          </w:cols>
          <w:pgMar w:left="900" w:top="341" w:right="239" w:bottom="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representations and warranties contained in this Section 3.5(j) will not apply to statements or omissions included or incorporated by reference in the Proxy Statement based upon information supplied by the other Parties or any of their respective representatives or advisors specifically for use or incorporation by reference therein.</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u w:val="single" w:color="auto"/>
          <w:color w:val="auto"/>
        </w:rPr>
        <w:t>Representations and Warranties of PAGP GP</w:t>
      </w:r>
      <w:r>
        <w:rPr>
          <w:rFonts w:ascii="Arial" w:cs="Arial" w:eastAsia="Arial" w:hAnsi="Arial"/>
          <w:sz w:val="16"/>
          <w:szCs w:val="16"/>
          <w:color w:val="auto"/>
        </w:rPr>
        <w:t>. PAGP GP hereby represents and warrants to the other Parties hereto as follows:</w:t>
      </w:r>
    </w:p>
    <w:p>
      <w:pPr>
        <w:spacing w:after="0" w:line="229" w:lineRule="exact"/>
        <w:rPr>
          <w:sz w:val="20"/>
          <w:szCs w:val="20"/>
          <w:color w:val="auto"/>
        </w:rPr>
      </w:pPr>
    </w:p>
    <w:p>
      <w:pPr>
        <w:ind w:right="60" w:firstLine="645"/>
        <w:spacing w:after="0" w:line="272" w:lineRule="auto"/>
        <w:tabs>
          <w:tab w:leader="none" w:pos="1294"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PAGP GP (i) is a limited liability company duly formed,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 GP.</w:t>
      </w:r>
    </w:p>
    <w:p>
      <w:pPr>
        <w:spacing w:after="0" w:line="177" w:lineRule="exact"/>
        <w:rPr>
          <w:rFonts w:ascii="Arial" w:cs="Arial" w:eastAsia="Arial" w:hAnsi="Arial"/>
          <w:sz w:val="17"/>
          <w:szCs w:val="17"/>
          <w:color w:val="auto"/>
        </w:rPr>
      </w:pPr>
    </w:p>
    <w:p>
      <w:pPr>
        <w:ind w:right="20" w:firstLine="645"/>
        <w:spacing w:after="0" w:line="272" w:lineRule="auto"/>
        <w:tabs>
          <w:tab w:leader="none" w:pos="1304"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only Equity Interests of PAGP GP issued and outstanding are 605,845,150 PAGP GP Company Units.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expressly contemplated by this Agreement, otherwise disclosed in the PAA SEC Reports or pursuant to employee benefit plans, qualified stock option plans or employee compensation plans, there are no issued or outstanding Commitments of PAGP GP with respect to any equity securities of PAGP GP and PAGP GP does not have any commitment to authorize, issue or sell any equity securities or Commitments. The limited liability company interests represented by the PAGP GP Company Units have been duly authorized and validly issued in accordance with the PAGP GP LLC Agreement and are fully paid (to the extent required under the PAGP GP LLC Agreement) and nonassessable (except as such nonassessability may be affected by Sections 18-607 and 18-804 of the Delaware LLC Act).</w:t>
      </w:r>
    </w:p>
    <w:p>
      <w:pPr>
        <w:spacing w:after="0" w:line="177" w:lineRule="exact"/>
        <w:rPr>
          <w:rFonts w:ascii="Arial" w:cs="Arial" w:eastAsia="Arial" w:hAnsi="Arial"/>
          <w:sz w:val="17"/>
          <w:szCs w:val="17"/>
          <w:color w:val="auto"/>
        </w:rPr>
      </w:pPr>
    </w:p>
    <w:p>
      <w:pPr>
        <w:ind w:right="360" w:firstLine="645"/>
        <w:spacing w:after="0" w:line="277" w:lineRule="auto"/>
        <w:tabs>
          <w:tab w:leader="none" w:pos="130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PAGP GP owns beneficially and of record the PAGP General Partner Interest, free and clear of all Encumbrances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Encumbrances provided for under the PAGP Partnership Agreement).</w:t>
      </w:r>
    </w:p>
    <w:p>
      <w:pPr>
        <w:spacing w:after="0" w:line="170" w:lineRule="exact"/>
        <w:rPr>
          <w:rFonts w:ascii="Arial" w:cs="Arial" w:eastAsia="Arial" w:hAnsi="Arial"/>
          <w:sz w:val="18"/>
          <w:szCs w:val="18"/>
          <w:color w:val="auto"/>
        </w:rPr>
      </w:pPr>
    </w:p>
    <w:p>
      <w:pPr>
        <w:ind w:firstLine="645"/>
        <w:spacing w:after="0" w:line="289" w:lineRule="auto"/>
        <w:tabs>
          <w:tab w:leader="none" w:pos="1304"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Authority</w:t>
      </w:r>
      <w:r>
        <w:rPr>
          <w:rFonts w:ascii="Arial" w:cs="Arial" w:eastAsia="Arial" w:hAnsi="Arial"/>
          <w:sz w:val="16"/>
          <w:szCs w:val="16"/>
          <w:color w:val="auto"/>
        </w:rPr>
        <w:t>. Assuming the accuracy of the representations and warranties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3.5(d)</w:t>
      </w:r>
      <w:r>
        <w:rPr>
          <w:rFonts w:ascii="Arial" w:cs="Arial" w:eastAsia="Arial" w:hAnsi="Arial"/>
          <w:sz w:val="16"/>
          <w:szCs w:val="16"/>
          <w:color w:val="auto"/>
        </w:rPr>
        <w:t>, this Agreement and the matters contemplated hereby, including, to the extent applicable, the Transactions and the Transaction Documents, have been authorized by all necessary limited liability company action by PAGP GP (including, to the extent applicable, in its capacity as the general partner of PAGP), and this Agreement has been, and each other Transaction Document to be executed or delivered by PAGP GP will be at the time it is delivered, duly executed and delivered and is or, when delivered, will be a legal, valid and binding agreement of PAGP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The amendments to the provisions of PAGP GP LLC Agreement set forth in Article IV thereof contemplated by the A&amp;R PAGP GP LLC Agreement have been approved by a majority of the Independent Directors (as such term is defined in the PAGP GP LLC Agreement)</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 PAGP GP. To the extent required in connection with the consummation of the Transactions, all approvals required to be obtained from the members of PAGP GP have been obtained.</w:t>
      </w:r>
    </w:p>
    <w:p>
      <w:pPr>
        <w:spacing w:after="0" w:line="170" w:lineRule="exact"/>
        <w:rPr>
          <w:sz w:val="20"/>
          <w:szCs w:val="20"/>
          <w:color w:val="auto"/>
        </w:rPr>
      </w:pPr>
    </w:p>
    <w:p>
      <w:pPr>
        <w:ind w:firstLine="645"/>
        <w:spacing w:after="0" w:line="270" w:lineRule="auto"/>
        <w:tabs>
          <w:tab w:leader="none" w:pos="1307"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No Defaults</w:t>
      </w:r>
      <w:r>
        <w:rPr>
          <w:rFonts w:ascii="Arial" w:cs="Arial" w:eastAsia="Arial" w:hAnsi="Arial"/>
          <w:sz w:val="17"/>
          <w:szCs w:val="17"/>
          <w:color w:val="auto"/>
        </w:rPr>
        <w:t>. Subject to required filings under federal and state securities Laws and compliance with the rules and regulations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NYSE, the execution, delivery and performance of this Agreement and the consummation of the transactions contemplated hereby, including the entrance by PAGP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GP is a party or by which PAGP GP or its properties is subject or bound that is material to PAGP GP, (ii) constitute a breach or violation of, or a default under the PAGP GP LLC Agreement, (iii) contravene or conflict with or constitute a violation of any provision of any Law or Order binding upon or applicable to PAGP GP, or (iv) result in the creation of any Encumbrance on any of PAGP GP’s assets.</w:t>
      </w:r>
    </w:p>
    <w:p>
      <w:pPr>
        <w:spacing w:after="0" w:line="181" w:lineRule="exact"/>
        <w:rPr>
          <w:rFonts w:ascii="Arial" w:cs="Arial" w:eastAsia="Arial" w:hAnsi="Arial"/>
          <w:sz w:val="17"/>
          <w:szCs w:val="17"/>
          <w:color w:val="auto"/>
        </w:rPr>
      </w:pPr>
    </w:p>
    <w:p>
      <w:pPr>
        <w:jc w:val="both"/>
        <w:ind w:right="40" w:firstLine="645"/>
        <w:spacing w:after="0" w:line="264" w:lineRule="auto"/>
        <w:tabs>
          <w:tab w:leader="none" w:pos="130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Other than the fees owed by PAGP to Jefferies as advisor to the PAGP GP Board, and to Barclays, no action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taken by or on behalf of PAGP GP that would give rise to any valid claim against any party hereto for a brokerage commission, finder’s fee or other like payment with respect to the matters contemplated hereby.</w:t>
      </w:r>
    </w:p>
    <w:p>
      <w:pPr>
        <w:spacing w:after="0" w:line="17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u w:val="single" w:color="auto"/>
          <w:color w:val="auto"/>
        </w:rPr>
        <w:t>COVENANTS AND AGREEMENTS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The Proxy Statement and the Shareholder Meeting</w:t>
      </w:r>
      <w:r>
        <w:rPr>
          <w:rFonts w:ascii="Arial" w:cs="Arial" w:eastAsia="Arial" w:hAnsi="Arial"/>
          <w:sz w:val="16"/>
          <w:szCs w:val="16"/>
          <w:color w:val="auto"/>
        </w:rPr>
        <w:t>.</w:t>
      </w:r>
    </w:p>
    <w:p>
      <w:pPr>
        <w:spacing w:after="0" w:line="229" w:lineRule="exact"/>
        <w:rPr>
          <w:sz w:val="20"/>
          <w:szCs w:val="20"/>
          <w:color w:val="auto"/>
        </w:rPr>
      </w:pPr>
    </w:p>
    <w:p>
      <w:pPr>
        <w:ind w:firstLine="645"/>
        <w:spacing w:after="0" w:line="288" w:lineRule="auto"/>
        <w:tabs>
          <w:tab w:leader="none" w:pos="129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hereof (and in any event within 20 Business Days after the date hereof), PAGP will prepare and file with the SEC a proxy statement containing the information specified in Schedule 14A of the Exchange Act with respect to the Transactions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in preliminary form. Unless the PAGP GP Board has made a Change of Recommendation in accordance with the provisions of this Agreement, the PAGP GP Board Recommendation shall be included in the Proxy Statement. The Parties will cooperate with each other in the preparation of the Proxy Statement, including with respect to any additional proxy soliciting materials of PAGP; without limiting the generality of the foregoing, the other Parties will furnish to PAGP the information relating to the other Parties required by the Exchange Act to be set forth in the Proxy Statement and such other information concerning such Party as may be reasonably requested by PAGP in connection with the preparation, filing and distribution of the Proxy Statement, and such Parties and their counsel will be given the opportunity to review and comment on the Proxy Statement (or any amendment or supplement thereto) prior to the filing thereof with the SEC. The Parties will each use their reasonable best efforts, after consultation with the other Parties, to respond promptly to any comments made by the SEC with respect to the Proxy</w:t>
      </w:r>
    </w:p>
    <w:p>
      <w:pPr>
        <w:sectPr>
          <w:pgSz w:w="11900" w:h="16838" w:orient="portrait"/>
          <w:cols w:equalWidth="0" w:num="1">
            <w:col w:w="10740"/>
          </w:cols>
          <w:pgMar w:left="900" w:top="125" w:right="25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Statement, and PAGP (i) shall provide the other Parties a reasonable opportunity to review and comment on such response and (ii) shall include in such response all comments reasonably proposed by the other Parties. PAGP will cause the Proxy Statement to be transmitted to the holders of PAGP Class A Shares and PAGP Class B Shares as promptly as practicable following the date on which the SEC confirms it has no further comments on the Proxy Statement.</w:t>
      </w:r>
    </w:p>
    <w:p>
      <w:pPr>
        <w:spacing w:after="0" w:line="187" w:lineRule="exact"/>
        <w:rPr>
          <w:sz w:val="20"/>
          <w:szCs w:val="20"/>
          <w:color w:val="auto"/>
        </w:rPr>
      </w:pPr>
    </w:p>
    <w:p>
      <w:pPr>
        <w:ind w:left="660" w:right="80" w:firstLine="645"/>
        <w:spacing w:after="0" w:line="283" w:lineRule="auto"/>
        <w:tabs>
          <w:tab w:leader="none" w:pos="1964" w:val="left"/>
        </w:tabs>
        <w:numPr>
          <w:ilvl w:val="1"/>
          <w:numId w:val="48"/>
        </w:numPr>
        <w:rPr>
          <w:rFonts w:ascii="Arial" w:cs="Arial" w:eastAsia="Arial" w:hAnsi="Arial"/>
          <w:sz w:val="16"/>
          <w:szCs w:val="16"/>
          <w:color w:val="auto"/>
        </w:rPr>
      </w:pPr>
      <w:r>
        <w:rPr>
          <w:rFonts w:ascii="Arial" w:cs="Arial" w:eastAsia="Arial" w:hAnsi="Arial"/>
          <w:sz w:val="16"/>
          <w:szCs w:val="16"/>
          <w:color w:val="auto"/>
        </w:rPr>
        <w:t>PAGP will advise the other Parties promptly after it receives notice of any request by the SEC for amendment of the Proxy Statement or comments thereon and responses thereto or requests by the SEC for additional information. If at any time prior to the date of the Shareholder Meeting, any information relating to the Parties, or any of their respective affiliates, officers or directors, should be discovered by any Party that should be set forth in an amendment or supplement to the Proxy Statement, so that any of such documents would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will promptly notify the other Parties and an appropriate amendment or supplement describing such information will be promptly filed with the SEC and, to the extent required by Law, disseminated to the holders of PAGP Class A Shares and PAGP Class B Shares. PAGP will not mail any Proxy Statement, or any amendment or supplement thereto, with respect to which any Party reasonably objects to disclosure therein specifically regarding such Party or any Representative of such Party. Once the Shareholder Meeting has been called and noticed, PAGP will not postpone or adjourn the Shareholder Meeting without the consent of the other Parties, which consent will not be unreasonably withheld, conditioned or delayed, other than (i) for the absence of a quorum, (ii) to allow reasonable additional time for the filing and mailing of any supplemental or amended disclosure that PAGP has determined in good faith, after consultation with its outside legal advisors, is necessary under applicable Law and for such supplemental or amended disclosure to be disseminated to and reviewed by the holders of PAGP Class A Shares and PAGP Class B Shares prior to the Shareholder Meeting,</w:t>
      </w:r>
    </w:p>
    <w:p>
      <w:pPr>
        <w:spacing w:after="0" w:line="2" w:lineRule="exact"/>
        <w:rPr>
          <w:rFonts w:ascii="Arial" w:cs="Arial" w:eastAsia="Arial" w:hAnsi="Arial"/>
          <w:sz w:val="16"/>
          <w:szCs w:val="16"/>
          <w:color w:val="auto"/>
        </w:rPr>
      </w:pPr>
    </w:p>
    <w:p>
      <w:pPr>
        <w:ind w:left="660" w:right="200" w:hanging="4"/>
        <w:spacing w:after="0" w:line="254"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 the event PAGP has delivered any notice contemplated by Section 4.1(d) and the time periods contemplated by Section 4.1(d) have not expired or (iv) an adjournment or postponement of up to 10 Business Days to solicit additional proxies from holders of PAGP Class A Shares and PAGP Class B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may the Shareholder Meeting be delayed to a date after the date that is two Business Days prior to the Outside Date.</w:t>
      </w:r>
    </w:p>
    <w:p>
      <w:pPr>
        <w:spacing w:after="0" w:line="189" w:lineRule="exact"/>
        <w:rPr>
          <w:rFonts w:ascii="Arial" w:cs="Arial" w:eastAsia="Arial" w:hAnsi="Arial"/>
          <w:sz w:val="18"/>
          <w:szCs w:val="18"/>
          <w:color w:val="auto"/>
        </w:rPr>
      </w:pPr>
    </w:p>
    <w:p>
      <w:pPr>
        <w:ind w:left="660" w:right="20" w:firstLine="645"/>
        <w:spacing w:after="0" w:line="272" w:lineRule="auto"/>
        <w:tabs>
          <w:tab w:leader="none" w:pos="1967" w:val="left"/>
        </w:tabs>
        <w:numPr>
          <w:ilvl w:val="1"/>
          <w:numId w:val="49"/>
        </w:numPr>
        <w:rPr>
          <w:rFonts w:ascii="Arial" w:cs="Arial" w:eastAsia="Arial" w:hAnsi="Arial"/>
          <w:sz w:val="17"/>
          <w:szCs w:val="17"/>
          <w:color w:val="auto"/>
        </w:rPr>
      </w:pPr>
      <w:r>
        <w:rPr>
          <w:rFonts w:ascii="Arial" w:cs="Arial" w:eastAsia="Arial" w:hAnsi="Arial"/>
          <w:sz w:val="17"/>
          <w:szCs w:val="17"/>
          <w:color w:val="auto"/>
        </w:rPr>
        <w:t>PAGP GP, as general partner of PAGP, will take, in accordance with applicable Law, NYSE rules and the PAGP Partnership Agreement, all action necessary to call, hold and convene an appropriate meeting of the holders of PAGP Class A Shares and PAGP Class B Shares (including any adjournment or postponement, the “</w:t>
      </w:r>
      <w:r>
        <w:rPr>
          <w:rFonts w:ascii="Arial" w:cs="Arial" w:eastAsia="Arial" w:hAnsi="Arial"/>
          <w:sz w:val="17"/>
          <w:szCs w:val="17"/>
          <w:b w:val="1"/>
          <w:bCs w:val="1"/>
          <w:i w:val="1"/>
          <w:iCs w:val="1"/>
          <w:color w:val="auto"/>
        </w:rPr>
        <w:t>Shareholder Meeting</w:t>
      </w:r>
      <w:r>
        <w:rPr>
          <w:rFonts w:ascii="Arial" w:cs="Arial" w:eastAsia="Arial" w:hAnsi="Arial"/>
          <w:sz w:val="17"/>
          <w:szCs w:val="17"/>
          <w:color w:val="auto"/>
        </w:rPr>
        <w:t>”) to consider and vote upon a proposal to approve this Agreement and the Transactions and any other matters required to be approved by them for consummation of the matters contemplated hereby or thereby (the “</w:t>
      </w:r>
      <w:r>
        <w:rPr>
          <w:rFonts w:ascii="Arial" w:cs="Arial" w:eastAsia="Arial" w:hAnsi="Arial"/>
          <w:sz w:val="17"/>
          <w:szCs w:val="17"/>
          <w:b w:val="1"/>
          <w:bCs w:val="1"/>
          <w:i w:val="1"/>
          <w:iCs w:val="1"/>
          <w:color w:val="auto"/>
        </w:rPr>
        <w:t>Shareholder Proposal</w:t>
      </w:r>
      <w:r>
        <w:rPr>
          <w:rFonts w:ascii="Arial" w:cs="Arial" w:eastAsia="Arial" w:hAnsi="Arial"/>
          <w:sz w:val="17"/>
          <w:szCs w:val="17"/>
          <w:color w:val="auto"/>
        </w:rPr>
        <w:t xml:space="preserve">”) as promptly as reasonably practicable after the filing of the Proxy Statement in definitive form with the SEC. Subject to any adjournment in accordance with </w:t>
      </w:r>
      <w:r>
        <w:rPr>
          <w:rFonts w:ascii="Arial" w:cs="Arial" w:eastAsia="Arial" w:hAnsi="Arial"/>
          <w:sz w:val="17"/>
          <w:szCs w:val="17"/>
          <w:u w:val="single" w:color="auto"/>
          <w:color w:val="auto"/>
        </w:rPr>
        <w:t>Section 4.1(b)</w:t>
      </w:r>
      <w:r>
        <w:rPr>
          <w:rFonts w:ascii="Arial" w:cs="Arial" w:eastAsia="Arial" w:hAnsi="Arial"/>
          <w:sz w:val="17"/>
          <w:szCs w:val="17"/>
          <w:color w:val="auto"/>
        </w:rPr>
        <w:t>, PAGP will convene and hold the Shareholder Meeting not later than 20 Business Days following the mailing of the Proxy Statement to the holders of PAGP Class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 xml:space="preserve">Shares and PAGP Class B Shares. Subject to </w:t>
      </w:r>
      <w:r>
        <w:rPr>
          <w:rFonts w:ascii="Arial" w:cs="Arial" w:eastAsia="Arial" w:hAnsi="Arial"/>
          <w:sz w:val="18"/>
          <w:szCs w:val="18"/>
          <w:u w:val="single" w:color="auto"/>
          <w:color w:val="auto"/>
        </w:rPr>
        <w:t>Section 4.1(d)</w:t>
      </w:r>
      <w:r>
        <w:rPr>
          <w:rFonts w:ascii="Arial" w:cs="Arial" w:eastAsia="Arial" w:hAnsi="Arial"/>
          <w:sz w:val="18"/>
          <w:szCs w:val="18"/>
          <w:color w:val="auto"/>
        </w:rPr>
        <w:t>, PAGP will take all reasonable lawful action to solicit approval of the Shareholder Proposal by the holders of PAGP Class A Shares and PAGP Class B Shares.</w:t>
      </w:r>
    </w:p>
    <w:p>
      <w:pPr>
        <w:spacing w:after="0" w:line="170" w:lineRule="exact"/>
        <w:rPr>
          <w:sz w:val="20"/>
          <w:szCs w:val="20"/>
          <w:color w:val="auto"/>
        </w:rPr>
      </w:pPr>
    </w:p>
    <w:p>
      <w:pPr>
        <w:ind w:left="660" w:right="20" w:firstLine="645"/>
        <w:spacing w:after="0" w:line="283" w:lineRule="auto"/>
        <w:tabs>
          <w:tab w:leader="none" w:pos="1964"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PAGP GP Board will recommend that the holders of PAGP Class A Shares and PAGP Class B Shares approve the Shareholder Proposal (the “</w:t>
      </w:r>
      <w:r>
        <w:rPr>
          <w:rFonts w:ascii="Arial" w:cs="Arial" w:eastAsia="Arial" w:hAnsi="Arial"/>
          <w:sz w:val="16"/>
          <w:szCs w:val="16"/>
          <w:b w:val="1"/>
          <w:bCs w:val="1"/>
          <w:i w:val="1"/>
          <w:iCs w:val="1"/>
          <w:color w:val="auto"/>
        </w:rPr>
        <w:t>PAGP GP Board Recommendation</w:t>
      </w:r>
      <w:r>
        <w:rPr>
          <w:rFonts w:ascii="Arial" w:cs="Arial" w:eastAsia="Arial" w:hAnsi="Arial"/>
          <w:sz w:val="16"/>
          <w:szCs w:val="16"/>
          <w:color w:val="auto"/>
        </w:rPr>
        <w:t>”). Notwithstanding the foregoing, at any time prior to obtaining the Required Shareholder Approval at the Shareholder Meeting, the PAGP GP Board may withdraw, modify or qualify in any manner adverse to PAA or any other Party the PAGP GP Board Recommendation (any such action a “</w:t>
      </w:r>
      <w:r>
        <w:rPr>
          <w:rFonts w:ascii="Arial" w:cs="Arial" w:eastAsia="Arial" w:hAnsi="Arial"/>
          <w:sz w:val="16"/>
          <w:szCs w:val="16"/>
          <w:b w:val="1"/>
          <w:bCs w:val="1"/>
          <w:i w:val="1"/>
          <w:iCs w:val="1"/>
          <w:color w:val="auto"/>
        </w:rPr>
        <w:t>Change in Recommendation</w:t>
      </w:r>
      <w:r>
        <w:rPr>
          <w:rFonts w:ascii="Arial" w:cs="Arial" w:eastAsia="Arial" w:hAnsi="Arial"/>
          <w:sz w:val="16"/>
          <w:szCs w:val="16"/>
          <w:color w:val="auto"/>
        </w:rPr>
        <w:t xml:space="preserve">”) if the PAGP GP Board shall have concluded in good faith, after consultation with its outside legal advisors and financial advisors, that a Change in Recommendation is necessary to comply with its duties under the PAGP Partnership Agreement or that the failure to make a Change in Recommendation would otherwise result in a material violation of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PAGP GP Board shall not be entitled to exercise its rights to make a Change in Recommendation pursuant to this sentence unless PAGP has provided to PAA five Business Days’ prior written notice advising PAA that the PAGP GP Board intends to take such action and specifying the reasons therefor in reasonable detail. For the avoidance of doubt, any Change in Recommendation will not</w:t>
      </w:r>
    </w:p>
    <w:p>
      <w:pPr>
        <w:spacing w:after="0" w:line="6" w:lineRule="exact"/>
        <w:rPr>
          <w:rFonts w:ascii="Arial" w:cs="Arial" w:eastAsia="Arial" w:hAnsi="Arial"/>
          <w:sz w:val="16"/>
          <w:szCs w:val="16"/>
          <w:color w:val="auto"/>
        </w:rPr>
      </w:pPr>
    </w:p>
    <w:p>
      <w:pPr>
        <w:ind w:left="660" w:right="300" w:hanging="4"/>
        <w:spacing w:after="0" w:line="255" w:lineRule="auto"/>
        <w:tabs>
          <w:tab w:leader="none" w:pos="8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approval of this Agreement and the Transactions or any other approval of the PAGP GP Board or (ii) relieve PAGP GP or PAGP of any of its obligations under this Agreement (including under Section 4.1(a) or Section 4.1(b)), including their respective obligations to hold the Shareholder Meeting.</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Subject to the terms and conditions of this Agreement, each Party will use commercially reasonable efforts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faith to take, or cause to be taken, all actions, and to do, or cause to be done, all things necessary, proper, desirable or advisable under applicable Laws, so as to enable consummation of the matters contemplated hereby, including obtaining any third party approval that is required to be obtained by the Party in connection with the Transactions and the other matters contemplated by this Agreement and the Transaction Documents (including, without limitation, obtaining any required approvals under the AAP Credit Agreement), and using commercially reasonable efforts to lift or rescind any injunction or restraining order or other order adversely affecting the ability of the Parties to consummate the matters contemplated hereby, and using commercially reasonable efforts to defend any litigation seeking to enjoin, prevent or delay the consummation of the matters contemplated hereby or seeking material damages, and each Party will cooperate fully with the other Parties to that end, and will furnish to the other Parties copies of all correspondence, filings and communications between it and its Affiliates, on the one hand, and any Governmental Authority, on the other hand, with respect to the matters contemplated hereby.</w:t>
      </w:r>
    </w:p>
    <w:p>
      <w:pPr>
        <w:spacing w:after="0" w:line="16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Press Releases</w:t>
      </w:r>
      <w:r>
        <w:rPr>
          <w:rFonts w:ascii="Arial" w:cs="Arial" w:eastAsia="Arial" w:hAnsi="Arial"/>
          <w:sz w:val="18"/>
          <w:szCs w:val="18"/>
          <w:color w:val="auto"/>
        </w:rPr>
        <w:t>. No Party will, without the prior approval of the other Parties, issue any press release or written statement for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circulation relating to the matters contemplated hereby, except as otherwise required by applicable Law or regulation or the rules of the NYSE, in which case it will consult with the other applicable Party before issuing any such press release or written statement.</w:t>
      </w:r>
    </w:p>
    <w:p>
      <w:pPr>
        <w:spacing w:after="0" w:line="17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Certain Business Activities</w:t>
      </w:r>
      <w:r>
        <w:rPr>
          <w:rFonts w:ascii="Arial" w:cs="Arial" w:eastAsia="Arial" w:hAnsi="Arial"/>
          <w:sz w:val="18"/>
          <w:szCs w:val="18"/>
          <w:color w:val="auto"/>
        </w:rPr>
        <w:t>. From the date hereof until the Closing and except as contemplated by the Transactions or as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without the prior written</w:t>
      </w:r>
    </w:p>
    <w:p>
      <w:pPr>
        <w:sectPr>
          <w:pgSz w:w="11900" w:h="16838" w:orient="portrait"/>
          <w:cols w:equalWidth="0" w:num="1">
            <w:col w:w="11420"/>
          </w:cols>
          <w:pgMar w:left="240" w:top="125" w:right="239" w:bottom="55"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consent of the other Parties hereto, each of the Parties shall not, and shall not take any action to cause any other Party to:</w:t>
      </w:r>
    </w:p>
    <w:p>
      <w:pPr>
        <w:spacing w:after="0" w:line="225" w:lineRule="exact"/>
        <w:rPr>
          <w:sz w:val="20"/>
          <w:szCs w:val="20"/>
          <w:color w:val="auto"/>
        </w:rPr>
      </w:pPr>
    </w:p>
    <w:p>
      <w:pPr>
        <w:ind w:left="660" w:right="120" w:firstLine="645"/>
        <w:spacing w:after="0" w:line="264" w:lineRule="auto"/>
        <w:tabs>
          <w:tab w:leader="none" w:pos="1954" w:val="left"/>
        </w:tabs>
        <w:numPr>
          <w:ilvl w:val="1"/>
          <w:numId w:val="52"/>
        </w:numPr>
        <w:rPr>
          <w:rFonts w:ascii="Arial" w:cs="Arial" w:eastAsia="Arial" w:hAnsi="Arial"/>
          <w:sz w:val="18"/>
          <w:szCs w:val="18"/>
          <w:color w:val="auto"/>
        </w:rPr>
      </w:pPr>
      <w:r>
        <w:rPr>
          <w:rFonts w:ascii="Arial" w:cs="Arial" w:eastAsia="Arial" w:hAnsi="Arial"/>
          <w:sz w:val="18"/>
          <w:szCs w:val="18"/>
          <w:color w:val="auto"/>
        </w:rPr>
        <w:t>take any action that would be reasonably likely to result in a material adverse effect on its ability to perform any of its obligations under this Agreement, including, without limitation, in the case of PAA GP, transferring the PAA General Partner Interest and, in the case of AAP, transferring the PAA GP Membership Interests or the PAA IDRs;</w:t>
      </w:r>
    </w:p>
    <w:p>
      <w:pPr>
        <w:spacing w:after="0" w:line="181" w:lineRule="exact"/>
        <w:rPr>
          <w:rFonts w:ascii="Arial" w:cs="Arial" w:eastAsia="Arial" w:hAnsi="Arial"/>
          <w:sz w:val="18"/>
          <w:szCs w:val="18"/>
          <w:color w:val="auto"/>
        </w:rPr>
      </w:pPr>
    </w:p>
    <w:p>
      <w:pPr>
        <w:ind w:left="660" w:firstLine="645"/>
        <w:spacing w:after="0" w:line="255" w:lineRule="auto"/>
        <w:tabs>
          <w:tab w:leader="none" w:pos="1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in the case of AAP, except (i) as provided by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(ii) to fund capital contributions by PAA GP to PAA in accordance with Section 5.2(b) of the PAA Partnership Agreement, or (iii) to fund out-of-pocket fees and expenses incurred by or on behalf of AAP, PAGP GP or PAGP in connection with the Transactions, incur any additional indebtedness, obligations or liabilities under the AAP Credit Agreement or any related collateral or other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any incurrence of indebtedness under clause (iii) shall only be permitted to fund out-of-pocket fees and expenses that do not exceed $10 million (less any cash balances reserved for expenses payable by AAP, PAGP or PAGP GP for Transaction expenses pursuant to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660" w:right="320" w:firstLine="645"/>
        <w:spacing w:after="0" w:line="288" w:lineRule="auto"/>
        <w:tabs>
          <w:tab w:leader="none" w:pos="1967"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in the case of PAA, (i) issue, sell or otherwise permit to become outstanding, or authorize the creation of any additional Equity Interests, any appreciation rights or any Rights or (ii) enter into any agreement with respect to the foregoing, without the prior written consent of PAGP,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restrictions set forth in</w:t>
      </w:r>
    </w:p>
    <w:p>
      <w:pPr>
        <w:ind w:left="660" w:right="120" w:hanging="4"/>
        <w:spacing w:after="0" w:line="261" w:lineRule="auto"/>
        <w:tabs>
          <w:tab w:leader="none" w:pos="8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 (ii), PAA may issue (A) up to $600 million of Equity Interests or Rights in PAA, (B) any PAA Series A PIK Units pursuant to the terms of the PAA Partnership Agreement or (C) Equity Interests or Rights under PAA’s long-term incentive plans;</w:t>
      </w:r>
    </w:p>
    <w:p>
      <w:pPr>
        <w:spacing w:after="0" w:line="183" w:lineRule="exact"/>
        <w:rPr>
          <w:rFonts w:ascii="Arial" w:cs="Arial" w:eastAsia="Arial" w:hAnsi="Arial"/>
          <w:sz w:val="18"/>
          <w:szCs w:val="18"/>
          <w:color w:val="auto"/>
        </w:rPr>
      </w:pPr>
    </w:p>
    <w:p>
      <w:pPr>
        <w:ind w:left="660" w:right="540" w:firstLine="645"/>
        <w:spacing w:after="0" w:line="277" w:lineRule="auto"/>
        <w:tabs>
          <w:tab w:leader="none" w:pos="1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split, combine or reclassify any of its Equity Interests or issue or authorize or propose the issuance of any other securities in respect of, in lieu of or in substitution for its Equity Interests;</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67"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repurchase, redeem or otherwise acquire any of its Equity Interests (other than pursuant to employee benefit plans, qualified stock option plans or employee compensation plans); or</w:t>
      </w:r>
    </w:p>
    <w:p>
      <w:pPr>
        <w:spacing w:after="0" w:line="170" w:lineRule="exact"/>
        <w:rPr>
          <w:rFonts w:ascii="Arial" w:cs="Arial" w:eastAsia="Arial" w:hAnsi="Arial"/>
          <w:sz w:val="18"/>
          <w:szCs w:val="18"/>
          <w:color w:val="auto"/>
        </w:rPr>
      </w:pPr>
    </w:p>
    <w:p>
      <w:pPr>
        <w:ind w:left="660" w:right="360" w:firstLine="645"/>
        <w:spacing w:after="0" w:line="277" w:lineRule="auto"/>
        <w:tabs>
          <w:tab w:leader="none" w:pos="19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take any action that would be reasonably likely to result in the material delay in or failure of any condition to Closing set forth herein to be satisfied.</w:t>
      </w:r>
    </w:p>
    <w:p>
      <w:pPr>
        <w:spacing w:after="0" w:line="16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Notification of Certain Matters</w:t>
      </w:r>
      <w:r>
        <w:rPr>
          <w:rFonts w:ascii="Arial" w:cs="Arial" w:eastAsia="Arial" w:hAnsi="Arial"/>
          <w:sz w:val="18"/>
          <w:szCs w:val="18"/>
          <w:color w:val="auto"/>
        </w:rPr>
        <w:t>. Each Party will give prompt notice to the other Parties of any fact, event or circumstance known to them</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or is reasonably likely to, cause or constitute a material breach of any of their representations, warranties, covenants or agreements contained herein.</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Listing of PAA Common Units</w:t>
      </w:r>
      <w:r>
        <w:rPr>
          <w:rFonts w:ascii="Arial" w:cs="Arial" w:eastAsia="Arial" w:hAnsi="Arial"/>
          <w:sz w:val="18"/>
          <w:szCs w:val="18"/>
          <w:color w:val="auto"/>
        </w:rPr>
        <w:t>. PAA GP and PAA shall use their respective reasonable best efforts to cause the PAA Common Units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in the Transactions to be admitted for listing on the NYSE as promptly as practicable after the Closing.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u w:val="single" w:color="auto"/>
          <w:color w:val="auto"/>
        </w:rPr>
        <w:t>AAP Reverse Unit Split; PAGP Reverse Stock Split; PAGP GP Reverse Unit Split</w:t>
      </w:r>
      <w:r>
        <w:rPr>
          <w:rFonts w:ascii="Arial" w:cs="Arial" w:eastAsia="Arial" w:hAnsi="Arial"/>
          <w:sz w:val="16"/>
          <w:szCs w:val="16"/>
          <w:color w:val="auto"/>
        </w:rPr>
        <w:t>. It is the intention of the Parties that,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completion of the AAP Reverse Unit Split, the PAGP Reverse Stock Split and the PAGP GP Reverse Unit Split, the number of outstanding PAGP Class A Shares shall equal the number of AAP Class A Units owned of record by PAGP, which shall also equal the number of PAA Common Units owned by AAP that are attributable to PAGP’s ownership interest in AAP, in each case, to the fullest extent reasonably possible. It is also the intention of the Parties that, immediately following the completion of the AAP Reverse Unit Split, the PAGP Reverse Stock Split and the PAGP GP Reverse Unit Split,</w:t>
      </w:r>
    </w:p>
    <w:p>
      <w:pPr>
        <w:spacing w:after="0" w:line="2" w:lineRule="exact"/>
        <w:rPr>
          <w:sz w:val="20"/>
          <w:szCs w:val="20"/>
          <w:color w:val="auto"/>
        </w:rPr>
      </w:pPr>
    </w:p>
    <w:p>
      <w:pPr>
        <w:ind w:right="80" w:firstLine="8"/>
        <w:spacing w:after="0" w:line="286" w:lineRule="auto"/>
        <w:tabs>
          <w:tab w:leader="none" w:pos="2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number of outstanding PAGP GP Company Units shall equal the number of AAP Class A Units held by the Existing Owners (excluding any Existing Owners who became holders of AAP Class A Units by virtue of the conversion of AAP Class B Units), which shall also equal the number of PAA Common Units owned by AAP that are attributable to such Existing Owners and (b) the number of outstanding AAP Class A Units and PAGP Class B Shares held by the Existing Owners shall be equal to the number of PAA Common Units owned by AAP that are attributable to the Existing Owners’ ownership interest in AAP. The Parties shall use their respective reasonable best efforts to cooperate and take all necessary actions to cause the AAP Reverse Unit Split, the PAGP Reverse Stock Split and the PAGP GP Reverse Unit Split to be completed at Closing in a manner consistent with the foregoing. Consistent with the foregoing, in connection with the PAGP Reverse Stock Split, PAGP shall provide that holders of PAGP Class A Shares that would otherwise be entitled to fractional PAGP Class A Shares as a result of the PAGP Reverse Stock Split will instead be entitled to cash in lieu of fractional shares. In addition, in connection with the PAGP Reverse Stock Split, the AAP Reverse Unit Split and the PAGP GP Reverse Unit Split, fractional shares and/or units shall be handled in a manner that is consistent with the immediately preceding sentence and the expressions of intent otherwise set forth in this Section 4.7.</w:t>
      </w:r>
    </w:p>
    <w:p>
      <w:pPr>
        <w:spacing w:after="0" w:line="166"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Shelf Registration Statement</w:t>
      </w:r>
      <w:r>
        <w:rPr>
          <w:rFonts w:ascii="Arial" w:cs="Arial" w:eastAsia="Arial" w:hAnsi="Arial"/>
          <w:sz w:val="17"/>
          <w:szCs w:val="17"/>
          <w:color w:val="auto"/>
        </w:rPr>
        <w:t>. Prior to the Closing Date, PAA shall use its reasonable best efforts to prepare for filing the shelf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contemplated to be filed by PAA as promptly as practicable following Closing in accordance with the Registration Rights Agreement.</w:t>
      </w:r>
    </w:p>
    <w:p>
      <w:pPr>
        <w:spacing w:after="0" w:line="13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PAGP GP Board of Directors</w:t>
      </w:r>
      <w:r>
        <w:rPr>
          <w:rFonts w:ascii="Arial" w:cs="Arial" w:eastAsia="Arial" w:hAnsi="Arial"/>
          <w:sz w:val="18"/>
          <w:szCs w:val="18"/>
          <w:color w:val="auto"/>
        </w:rPr>
        <w:t>. Prior to the Closing Date, PAGP GP shall take all action necessary to cause the individuals set forth on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4.9 to be appointed to the Board of Directors of PAGP GP, effective as of the Closing.</w:t>
      </w:r>
    </w:p>
    <w:p>
      <w:pPr>
        <w:spacing w:after="0" w:line="16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u w:val="single" w:color="auto"/>
          <w:color w:val="auto"/>
        </w:rPr>
        <w:t>Certain AAP Borrowings</w:t>
      </w:r>
      <w:r>
        <w:rPr>
          <w:rFonts w:ascii="Arial" w:cs="Arial" w:eastAsia="Arial" w:hAnsi="Arial"/>
          <w:sz w:val="16"/>
          <w:szCs w:val="16"/>
          <w:color w:val="auto"/>
        </w:rPr>
        <w:t>. In the event that (a) the Closing has not occurred prior to the record date for determining the holders of PAA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Units entitled to receive distributions with respect to the quarter ending September 30, 2016 (the “</w:t>
      </w:r>
      <w:r>
        <w:rPr>
          <w:rFonts w:ascii="Arial" w:cs="Arial" w:eastAsia="Arial" w:hAnsi="Arial"/>
          <w:sz w:val="16"/>
          <w:szCs w:val="16"/>
          <w:b w:val="1"/>
          <w:bCs w:val="1"/>
          <w:i w:val="1"/>
          <w:iCs w:val="1"/>
          <w:color w:val="auto"/>
        </w:rPr>
        <w:t>Q3 Distribution Record Date</w:t>
      </w:r>
      <w:r>
        <w:rPr>
          <w:rFonts w:ascii="Arial" w:cs="Arial" w:eastAsia="Arial" w:hAnsi="Arial"/>
          <w:sz w:val="16"/>
          <w:szCs w:val="16"/>
          <w:color w:val="auto"/>
        </w:rPr>
        <w:t>”), and (b) the distribution to be paid by PAA with respect to the PAA Common Units for such quarter is less than the current quarterly distribution of $0.70 per Common Unit, AAP shall, as promptly as is reasonably practicable following the Q3 Distribution Record Date but in any event prior to the date that is the earlier of the Closing and the date of such distribution, borrow an amount of cash equal to the Q3 Distribution True-Up Amount under the AAP Credit Agreement and distribute such proceeds to its unitholders in accordance with the AAP Partnership Agreement. As used herein, “</w:t>
      </w:r>
      <w:r>
        <w:rPr>
          <w:rFonts w:ascii="Arial" w:cs="Arial" w:eastAsia="Arial" w:hAnsi="Arial"/>
          <w:sz w:val="16"/>
          <w:szCs w:val="16"/>
          <w:b w:val="1"/>
          <w:bCs w:val="1"/>
          <w:i w:val="1"/>
          <w:iCs w:val="1"/>
          <w:color w:val="auto"/>
        </w:rPr>
        <w:t>Q3 Distribution True-Up Amount</w:t>
      </w:r>
      <w:r>
        <w:rPr>
          <w:rFonts w:ascii="Arial" w:cs="Arial" w:eastAsia="Arial" w:hAnsi="Arial"/>
          <w:sz w:val="16"/>
          <w:szCs w:val="16"/>
          <w:color w:val="auto"/>
        </w:rPr>
        <w:t>” means an amount in cash equal to the excess, if any, of (i) the product of (x) the distribution declared per PAA Common Unit with respect to the quarter ending September 30, 2016 and (y) the total number of PAA Common Units to be issued by PAA to AAP at Closing pursuant to Section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22" w:name="page23"/>
    <w:bookmarkEnd w:id="22"/>
    <w:p>
      <w:pPr>
        <w:ind w:right="160"/>
        <w:spacing w:after="0" w:line="264" w:lineRule="auto"/>
        <w:rPr>
          <w:sz w:val="20"/>
          <w:szCs w:val="20"/>
          <w:color w:val="auto"/>
        </w:rPr>
      </w:pPr>
      <w:r>
        <w:rPr>
          <w:rFonts w:ascii="Arial" w:cs="Arial" w:eastAsia="Arial" w:hAnsi="Arial"/>
          <w:sz w:val="18"/>
          <w:szCs w:val="18"/>
          <w:color w:val="auto"/>
        </w:rPr>
        <w:t>2.5(a) over (ii) the aggregate amount of distributions to be paid by PAA to AAP and PAA GP for the quarter ending September 30, 2016, with respect to the PAA IDRs and PAA General Partner Interest, respectively, as reduced by cash reserves as determined in the ordinary course and calculated in a manner consistent with historical practice.</w:t>
      </w:r>
    </w:p>
    <w:p>
      <w:pPr>
        <w:spacing w:after="0" w:line="17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Certain Consents</w:t>
      </w:r>
      <w:r>
        <w:rPr>
          <w:rFonts w:ascii="Arial" w:cs="Arial" w:eastAsia="Arial" w:hAnsi="Arial"/>
          <w:sz w:val="18"/>
          <w:szCs w:val="18"/>
          <w:color w:val="auto"/>
        </w:rPr>
        <w:t>. By execution of this Agreement, each of the Parties provides its irrevocable written consent to the entry into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this Agreement and the Transactions by each other Party, in each case, to the fullest extent required by the organizational documents of each such other Party.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Mutual Conditions</w:t>
      </w:r>
      <w:r>
        <w:rPr>
          <w:rFonts w:ascii="Arial" w:cs="Arial" w:eastAsia="Arial" w:hAnsi="Arial"/>
          <w:sz w:val="18"/>
          <w:szCs w:val="18"/>
          <w:color w:val="auto"/>
        </w:rPr>
        <w:t>. The respective obligations of each Party to consummate the transactions contemplated by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satisfaction on or prior to the Closing Date of each of the following conditions (any or all of which may be waived by a Party on behalf of itself in writing, in whole or in part, to the extent permitted by applicable Law):</w:t>
      </w:r>
    </w:p>
    <w:p>
      <w:pPr>
        <w:spacing w:after="0" w:line="180"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Required Shareholder Approval shall have been obtained;</w:t>
      </w:r>
    </w:p>
    <w:p>
      <w:pPr>
        <w:spacing w:after="0" w:line="225" w:lineRule="exact"/>
        <w:rPr>
          <w:rFonts w:ascii="Arial" w:cs="Arial" w:eastAsia="Arial" w:hAnsi="Arial"/>
          <w:sz w:val="18"/>
          <w:szCs w:val="18"/>
          <w:color w:val="auto"/>
        </w:rPr>
      </w:pPr>
    </w:p>
    <w:p>
      <w:pPr>
        <w:ind w:left="660" w:right="140" w:firstLine="645"/>
        <w:spacing w:after="0" w:line="286" w:lineRule="auto"/>
        <w:tabs>
          <w:tab w:leader="none" w:pos="19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Parties shall have taken all actions and obtained all approvals reasonably necessary such that the AAP Reverse Unit Split, the PAGP Reverse Share Split and the PAGP GP Reverse Unit Split will be completed at the Closing (it being acknowledged by the Parties that no approvals of any member or limited partner of AAP, PAGP or PAGP GP that have not already been obtained are necessary);</w:t>
      </w:r>
    </w:p>
    <w:p>
      <w:pPr>
        <w:spacing w:after="0" w:line="165" w:lineRule="exact"/>
        <w:rPr>
          <w:rFonts w:ascii="Arial" w:cs="Arial" w:eastAsia="Arial" w:hAnsi="Arial"/>
          <w:sz w:val="17"/>
          <w:szCs w:val="17"/>
          <w:color w:val="auto"/>
        </w:rPr>
      </w:pPr>
    </w:p>
    <w:p>
      <w:pPr>
        <w:ind w:left="660" w:right="140" w:firstLine="645"/>
        <w:spacing w:after="0" w:line="259" w:lineRule="auto"/>
        <w:tabs>
          <w:tab w:leader="none" w:pos="19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contemplated by this Agreement, makes any of the Transactions illegal or materially alters the conclusions in the Tax Opinion;</w:t>
      </w:r>
    </w:p>
    <w:p>
      <w:pPr>
        <w:spacing w:after="0" w:line="186" w:lineRule="exact"/>
        <w:rPr>
          <w:rFonts w:ascii="Arial" w:cs="Arial" w:eastAsia="Arial" w:hAnsi="Arial"/>
          <w:sz w:val="18"/>
          <w:szCs w:val="18"/>
          <w:color w:val="auto"/>
        </w:rPr>
      </w:pPr>
    </w:p>
    <w:p>
      <w:pPr>
        <w:ind w:left="660" w:firstLine="645"/>
        <w:spacing w:after="0" w:line="297" w:lineRule="auto"/>
        <w:tabs>
          <w:tab w:leader="none" w:pos="19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in the case of PAA, each Party other than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 and (ii) in the case of each Party other than PAA, each of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w:t>
      </w:r>
    </w:p>
    <w:p>
      <w:pPr>
        <w:spacing w:after="0" w:line="158" w:lineRule="exact"/>
        <w:rPr>
          <w:rFonts w:ascii="Arial" w:cs="Arial" w:eastAsia="Arial" w:hAnsi="Arial"/>
          <w:sz w:val="16"/>
          <w:szCs w:val="16"/>
          <w:color w:val="auto"/>
        </w:rPr>
      </w:pPr>
    </w:p>
    <w:p>
      <w:pPr>
        <w:ind w:left="660" w:right="100" w:firstLine="645"/>
        <w:spacing w:after="0" w:line="312" w:lineRule="auto"/>
        <w:tabs>
          <w:tab w:leader="none" w:pos="196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in the case of PAA, the representations and warranties of each other Party other than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of such earlier date) and (ii) in the case of each Party other than PAA, the representations and warranties of PAA and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w:t>
      </w:r>
    </w:p>
    <w:p>
      <w:pPr>
        <w:spacing w:after="0" w:line="187" w:lineRule="exact"/>
        <w:rPr>
          <w:sz w:val="20"/>
          <w:szCs w:val="20"/>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each other Party shall have delivered or caused to be delivered the closing deliverables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Additional Conditions to Obligations of PAA and PAGP</w:t>
      </w:r>
      <w:r>
        <w:rPr>
          <w:rFonts w:ascii="Arial" w:cs="Arial" w:eastAsia="Arial" w:hAnsi="Arial"/>
          <w:sz w:val="18"/>
          <w:szCs w:val="18"/>
          <w:color w:val="auto"/>
        </w:rPr>
        <w:t>. The respective obligations of PAA and PAGP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shall also be subject to the receipt by PAA and PAGP of an opinion of Vinson &amp; Elkins L.L.P. or another nationally recognized law firm experienced in Investment Company Act of 1940 matters, dated as of the Closing, and based on facts, representations, assumptions and exclusions set forth or referred to in such opinion, to the effect that, after giving effect to the Transactions, none of PAGP, AAP or PAA will be an “investment company” as such term is defined in the Investment Company Act of 1940. In rendering such opinion, Vinson &amp; Elkins L.L.P. or such other nationally recognized law firm may require and rely upon reasonable and customary representations, warranties and covenants, including those contained in certificates of officers of the Parties.</w:t>
      </w:r>
    </w:p>
    <w:p>
      <w:pPr>
        <w:spacing w:after="0" w:line="18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Additional Conditions to Obligations of AAP and PAGP</w:t>
      </w:r>
      <w:r>
        <w:rPr>
          <w:rFonts w:ascii="Arial" w:cs="Arial" w:eastAsia="Arial" w:hAnsi="Arial"/>
          <w:sz w:val="18"/>
          <w:szCs w:val="18"/>
          <w:color w:val="auto"/>
        </w:rPr>
        <w:t>. The respective obligations of AAP and PAGP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shall also be subject to the PAA Common Units to be issued in the Transactions being approved for listing on the NYSE, subject only to official notice of issuance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 SURVIVAL</w:t>
      </w:r>
    </w:p>
    <w:p>
      <w:pPr>
        <w:spacing w:after="0" w:line="207"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Notwithstanding anything herein to the contrary, this Agreement may be terminated and the Transactions abandoned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prior to the Closing:</w:t>
      </w:r>
    </w:p>
    <w:p>
      <w:pPr>
        <w:spacing w:after="0" w:line="166" w:lineRule="exact"/>
        <w:rPr>
          <w:sz w:val="20"/>
          <w:szCs w:val="20"/>
          <w:color w:val="auto"/>
        </w:rPr>
      </w:pPr>
    </w:p>
    <w:p>
      <w:pPr>
        <w:ind w:left="1940" w:hanging="635"/>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the mutual consent of all of the Parties in a written instrument;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any of the Parties, if:</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Closing has not occurred by January 15, 2017 (the “</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60" w:firstLine="653"/>
        <w:spacing w:after="0" w:line="264" w:lineRule="auto"/>
        <w:tabs>
          <w:tab w:leader="none" w:pos="26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Governmental Authority has issued a Law or Order or regulation or taken any other action, in each case permanently restraining, enjoining or otherwise prohibiting the consummation of any of the Transactions or making any of the Transactions illegal and such Law or Order or other action has become final and nonappealable; or</w:t>
      </w:r>
    </w:p>
    <w:p>
      <w:pPr>
        <w:sectPr>
          <w:pgSz w:w="11900" w:h="16838" w:orient="portrait"/>
          <w:cols w:equalWidth="0" w:num="1">
            <w:col w:w="11400"/>
          </w:cols>
          <w:pgMar w:left="240" w:top="341" w:right="259" w:bottom="0" w:gutter="0" w:footer="0" w:header="0"/>
        </w:sectPr>
      </w:pPr>
    </w:p>
    <w:bookmarkStart w:id="23" w:name="page24"/>
    <w:bookmarkEnd w:id="23"/>
    <w:p>
      <w:pPr>
        <w:ind w:left="1300" w:right="20" w:firstLine="653"/>
        <w:spacing w:after="0" w:line="277" w:lineRule="auto"/>
        <w:tabs>
          <w:tab w:leader="none" w:pos="26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Required Shareholder Approval is not obtained after a vote thereon is taken at the Shareholder Meeting; provided that PAGP shall have no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20"/>
        <w:spacing w:after="0" w:line="277" w:lineRule="auto"/>
        <w:rPr>
          <w:sz w:val="20"/>
          <w:szCs w:val="20"/>
          <w:color w:val="auto"/>
        </w:rPr>
      </w:pPr>
      <w:r>
        <w:rPr>
          <w:rFonts w:ascii="Arial" w:cs="Arial" w:eastAsia="Arial" w:hAnsi="Arial"/>
          <w:sz w:val="18"/>
          <w:szCs w:val="18"/>
          <w:color w:val="auto"/>
        </w:rPr>
        <w:t xml:space="preserve">right to terminate this Agreement pursuant to this </w:t>
      </w:r>
      <w:r>
        <w:rPr>
          <w:rFonts w:ascii="Arial" w:cs="Arial" w:eastAsia="Arial" w:hAnsi="Arial"/>
          <w:sz w:val="18"/>
          <w:szCs w:val="18"/>
          <w:u w:val="single" w:color="auto"/>
          <w:color w:val="auto"/>
        </w:rPr>
        <w:t>Section 6.1(b)(iii)</w:t>
      </w:r>
      <w:r>
        <w:rPr>
          <w:rFonts w:ascii="Arial" w:cs="Arial" w:eastAsia="Arial" w:hAnsi="Arial"/>
          <w:sz w:val="18"/>
          <w:szCs w:val="18"/>
          <w:color w:val="auto"/>
        </w:rPr>
        <w:t xml:space="preserve"> if PAGP or PAGP GP has materially breached any of its obligations under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PAA, if:</w:t>
      </w:r>
    </w:p>
    <w:p>
      <w:pPr>
        <w:spacing w:after="0" w:line="225" w:lineRule="exact"/>
        <w:rPr>
          <w:rFonts w:ascii="Arial" w:cs="Arial" w:eastAsia="Arial" w:hAnsi="Arial"/>
          <w:sz w:val="18"/>
          <w:szCs w:val="18"/>
          <w:color w:val="auto"/>
        </w:rPr>
      </w:pPr>
    </w:p>
    <w:p>
      <w:pPr>
        <w:ind w:left="1300" w:firstLine="653"/>
        <w:spacing w:after="0" w:line="257" w:lineRule="auto"/>
        <w:tabs>
          <w:tab w:leader="none" w:pos="2618"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has been a material breach of or any inaccuracy in any of the representations or warranties set forth in this Agreement on the part of another Party other than GP LLC to the extent it is acting in the Indirect PAA GP Capacity,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8"/>
          <w:szCs w:val="18"/>
          <w:color w:val="auto"/>
        </w:rPr>
      </w:pPr>
    </w:p>
    <w:p>
      <w:pPr>
        <w:ind w:left="1300" w:right="100" w:firstLine="653"/>
        <w:spacing w:after="0" w:line="257" w:lineRule="auto"/>
        <w:tabs>
          <w:tab w:leader="none" w:pos="262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has been a material breach of any of the covenants or agreements set forth in this Agreement on the part of any other Party other than GP LLC, to the extent it is acting in the Indirect PAA GP Capacity,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PAGP or AAP, if:</w:t>
      </w:r>
    </w:p>
    <w:p>
      <w:pPr>
        <w:spacing w:after="0" w:line="225" w:lineRule="exact"/>
        <w:rPr>
          <w:rFonts w:ascii="Arial" w:cs="Arial" w:eastAsia="Arial" w:hAnsi="Arial"/>
          <w:sz w:val="18"/>
          <w:szCs w:val="18"/>
          <w:color w:val="auto"/>
        </w:rPr>
      </w:pPr>
    </w:p>
    <w:p>
      <w:pPr>
        <w:ind w:left="1300" w:right="420" w:firstLine="653"/>
        <w:spacing w:after="0" w:line="291" w:lineRule="auto"/>
        <w:tabs>
          <w:tab w:leader="none" w:pos="2618"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there has been a material breach of or any inaccuracy in any of the representations or warranties set forth in this Agreement on the part of PAA or, to the extent it is acting in the Indirect PAA GP Capacity, GP LLC, which breach is not cured within</w:t>
      </w:r>
    </w:p>
    <w:p>
      <w:pPr>
        <w:ind w:left="1300" w:right="80"/>
        <w:spacing w:after="0" w:line="255" w:lineRule="auto"/>
        <w:rPr>
          <w:rFonts w:ascii="Arial" w:cs="Arial" w:eastAsia="Arial" w:hAnsi="Arial"/>
          <w:sz w:val="16"/>
          <w:szCs w:val="16"/>
          <w:color w:val="auto"/>
        </w:rPr>
      </w:pPr>
      <w:r>
        <w:rPr>
          <w:rFonts w:ascii="Arial" w:cs="Arial" w:eastAsia="Arial" w:hAnsi="Arial"/>
          <w:sz w:val="18"/>
          <w:szCs w:val="18"/>
          <w:color w:val="auto"/>
        </w:rPr>
        <w:t>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 or</w:t>
      </w:r>
    </w:p>
    <w:p>
      <w:pPr>
        <w:spacing w:after="0" w:line="190" w:lineRule="exact"/>
        <w:rPr>
          <w:rFonts w:ascii="Arial" w:cs="Arial" w:eastAsia="Arial" w:hAnsi="Arial"/>
          <w:sz w:val="16"/>
          <w:szCs w:val="16"/>
          <w:color w:val="auto"/>
        </w:rPr>
      </w:pPr>
    </w:p>
    <w:p>
      <w:pPr>
        <w:ind w:left="1300" w:right="20" w:firstLine="653"/>
        <w:spacing w:after="0" w:line="257" w:lineRule="auto"/>
        <w:tabs>
          <w:tab w:leader="none" w:pos="262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has been a material breach of any of the covenants or agreements set forth in this Agreement on the part of PAA or, to the extent it is acting in the Indirect PAA GP Capacity, GP LLC,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w:t>
      </w:r>
    </w:p>
    <w:p>
      <w:pPr>
        <w:spacing w:after="0" w:line="184" w:lineRule="exact"/>
        <w:rPr>
          <w:sz w:val="20"/>
          <w:szCs w:val="20"/>
          <w:color w:val="auto"/>
        </w:rPr>
      </w:pPr>
    </w:p>
    <w:p>
      <w:pPr>
        <w:jc w:val="both"/>
        <w:ind w:right="120" w:firstLine="648"/>
        <w:spacing w:after="0" w:line="314"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If this Agreement is terminated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color w:val="auto"/>
        </w:rPr>
        <w:t>, the terminating Party will promptly give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to the other Parties specifying the provision of this Agreement pursuant to which such termination is made, and this Agreement will be null and void and, except as provided in </w:t>
      </w:r>
      <w:r>
        <w:rPr>
          <w:rFonts w:ascii="Arial" w:cs="Arial" w:eastAsia="Arial" w:hAnsi="Arial"/>
          <w:sz w:val="16"/>
          <w:szCs w:val="16"/>
          <w:u w:val="single" w:color="auto"/>
          <w:color w:val="auto"/>
        </w:rPr>
        <w:t>Sections 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w:t>
      </w:r>
      <w:r>
        <w:rPr>
          <w:rFonts w:ascii="Arial" w:cs="Arial" w:eastAsia="Arial" w:hAnsi="Arial"/>
          <w:sz w:val="16"/>
          <w:szCs w:val="16"/>
          <w:color w:val="auto"/>
        </w:rPr>
        <w:t xml:space="preserve"> or as otherwise expressly provided herein, no Party will have any rights or obligations under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that no such termination will relieve any Party from liability for damages for any willful and material breach of any agreement or covenant contained herein.</w:t>
      </w:r>
    </w:p>
    <w:p>
      <w:pPr>
        <w:spacing w:after="0" w:line="16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All representations and warranties contained in this Agreement shall survive the execution, delivery and performance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one year after the Closing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Whether or not any or all of the Transactions are consummated, each Party shall bear its own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incurred in connection with this Agreement and the Transactions contemplated hereby, including reasonable attorneys’ fees.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will survive any termination of this Agreement.</w:t>
      </w:r>
    </w:p>
    <w:p>
      <w:pPr>
        <w:spacing w:after="0" w:line="176"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Entire Agreement; No Third Party Beneficiaries</w:t>
      </w:r>
      <w:r>
        <w:rPr>
          <w:rFonts w:ascii="Arial" w:cs="Arial" w:eastAsia="Arial" w:hAnsi="Arial"/>
          <w:sz w:val="16"/>
          <w:szCs w:val="16"/>
          <w:color w:val="auto"/>
        </w:rPr>
        <w:t>. This Agreement and the exhibits and schedules hereto and the certificates,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and writings that are delivered pursuant 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5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All of the terms, agreements, covenants, representations, warranties, and conditions of this Agreement are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and are enforceable by, the Parties and their respective successors.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Assignments</w:t>
      </w:r>
      <w:r>
        <w:rPr>
          <w:rFonts w:ascii="Arial" w:cs="Arial" w:eastAsia="Arial" w:hAnsi="Arial"/>
          <w:sz w:val="18"/>
          <w:szCs w:val="18"/>
          <w:color w:val="auto"/>
        </w:rPr>
        <w:t>. No Party may assign either this Agreement or any of its rights, interests, or obligations hereunder without the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all of the other Parties.</w:t>
      </w:r>
    </w:p>
    <w:p>
      <w:pPr>
        <w:spacing w:after="0" w:line="162" w:lineRule="exact"/>
        <w:rPr>
          <w:sz w:val="20"/>
          <w:szCs w:val="20"/>
          <w:color w:val="auto"/>
        </w:rPr>
      </w:pPr>
    </w:p>
    <w:p>
      <w:pPr>
        <w:jc w:val="both"/>
        <w:ind w:right="360" w:firstLine="648"/>
        <w:spacing w:after="0" w:line="266"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claims and other communications hereunder will be in writing. Any notice, request, demand,</w:t>
      </w:r>
      <w:r>
        <w:rPr>
          <w:rFonts w:ascii="Arial" w:cs="Arial" w:eastAsia="Arial" w:hAnsi="Arial"/>
          <w:sz w:val="18"/>
          <w:szCs w:val="18"/>
          <w:b w:val="1"/>
          <w:bCs w:val="1"/>
          <w:color w:val="auto"/>
        </w:rPr>
        <w:t xml:space="preserve"> </w:t>
      </w:r>
      <w:r>
        <w:rPr>
          <w:rFonts w:ascii="Arial" w:cs="Arial" w:eastAsia="Arial" w:hAnsi="Arial"/>
          <w:sz w:val="18"/>
          <w:szCs w:val="18"/>
          <w:color w:val="auto"/>
        </w:rPr>
        <w:t>claim or other communication hereunder will be deemed duly given if (and then three Business Days after) it is sent by registered or certified mail, return receipt requested, postage prepaid, and addressed to the intended recipient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If to PAA, to:</w:t>
      </w:r>
    </w:p>
    <w:p>
      <w:pPr>
        <w:sectPr>
          <w:pgSz w:w="11900" w:h="16838" w:orient="portrait"/>
          <w:cols w:equalWidth="0" w:num="1">
            <w:col w:w="11420"/>
          </w:cols>
          <w:pgMar w:left="240" w:top="125" w:right="239" w:bottom="0" w:gutter="0" w:footer="0" w:header="0"/>
        </w:sectPr>
      </w:pPr>
    </w:p>
    <w:bookmarkStart w:id="24" w:name="page25"/>
    <w:bookmarkEnd w:id="24"/>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 and Chairman, Conflicts Committee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Richards Layton &amp; Finger, P.A.</w:t>
      </w:r>
    </w:p>
    <w:p>
      <w:pPr>
        <w:spacing w:after="0" w:line="23" w:lineRule="exact"/>
        <w:rPr>
          <w:sz w:val="20"/>
          <w:szCs w:val="20"/>
          <w:color w:val="auto"/>
        </w:rPr>
      </w:pPr>
    </w:p>
    <w:p>
      <w:pPr>
        <w:ind w:left="660" w:right="7739" w:hanging="4"/>
        <w:spacing w:after="0" w:line="281"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 King Street Wilmington, DE 19801 Facsimile: 302-498-7701</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Attn: Srinivas Raju and Gregory Ladner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PAA GP,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GP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AAP,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AAP,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If to GP LLC,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GP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ectPr>
          <w:pgSz w:w="11900" w:h="16888" w:orient="portrait"/>
          <w:cols w:equalWidth="0" w:num="1">
            <w:col w:w="10219"/>
          </w:cols>
          <w:pgMar w:left="240" w:top="125" w:right="1440" w:bottom="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Houston, TX 77002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PAGP,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PAA GP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713.229.2727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Joshua Davidson and Jason Rocha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PAGP GP,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GP Holdings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713.229.2727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Joshua Davidson and Jason Rocha</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Party may send any notice, request, demand, claim, or other communication hereunder to the intended recipient at the address set forth above using any other means (including personal delivery, expedited courier, messenger service, telecopy, facsimile, ordinary mail, or electronic mail). Any Party may change the address to which notices, requests, demands, claims, and other communications hereunder are to be delivered by giving the other Parties notice in the manner herein set forth.</w:t>
      </w:r>
    </w:p>
    <w:p>
      <w:pPr>
        <w:spacing w:after="0" w:line="183"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Parties have participated jointly in the negotiation and drafting of this Agreement. If an ambiguity or question of intent</w:t>
      </w:r>
      <w:r>
        <w:rPr>
          <w:rFonts w:ascii="Arial" w:cs="Arial" w:eastAsia="Arial" w:hAnsi="Arial"/>
          <w:sz w:val="16"/>
          <w:szCs w:val="16"/>
          <w:b w:val="1"/>
          <w:bCs w:val="1"/>
          <w:color w:val="auto"/>
        </w:rPr>
        <w:t xml:space="preserve"> </w:t>
      </w:r>
      <w:r>
        <w:rPr>
          <w:rFonts w:ascii="Arial" w:cs="Arial" w:eastAsia="Arial" w:hAnsi="Arial"/>
          <w:sz w:val="16"/>
          <w:szCs w:val="16"/>
          <w:color w:val="auto"/>
        </w:rPr>
        <w:t>or interpretation arises, this Agreement will be construed as if drafted jointly by the Parties and no presumption or burden of proof will arise favoring or disfavoring any Party because of the authorship of any provision of this Agreement. The Parties intend that each representation, warranty, and covenant contained herein will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5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u w:val="single" w:color="auto"/>
          <w:color w:val="auto"/>
        </w:rPr>
        <w:t>Time</w:t>
      </w:r>
      <w:r>
        <w:rPr>
          <w:rFonts w:ascii="Arial" w:cs="Arial" w:eastAsia="Arial" w:hAnsi="Arial"/>
          <w:sz w:val="16"/>
          <w:szCs w:val="16"/>
          <w:color w:val="auto"/>
        </w:rPr>
        <w:t>. Time is of the essence in the performance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multiple counterparts, each of which will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instrument.</w:t>
      </w:r>
    </w:p>
    <w:p>
      <w:pPr>
        <w:spacing w:after="0" w:line="162"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u w:val="single" w:color="auto"/>
          <w:color w:val="auto"/>
        </w:rPr>
        <w:t>Amendments and Waivers</w:t>
      </w:r>
      <w:r>
        <w:rPr>
          <w:rFonts w:ascii="Arial" w:cs="Arial" w:eastAsia="Arial" w:hAnsi="Arial"/>
          <w:sz w:val="16"/>
          <w:szCs w:val="16"/>
          <w:color w:val="auto"/>
        </w:rPr>
        <w:t>. No amendment, modification, replacement, termination or cancellation of any provision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valid, unless the same will be in writing and signed by all of the Parties.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Notwithstanding the foregoing, (a) no amendment to this Agreement may be made after the Shareholder Meeting, if such amendment would require further approval of the PAGP</w:t>
      </w:r>
    </w:p>
    <w:p>
      <w:pPr>
        <w:sectPr>
          <w:pgSz w:w="11900" w:h="16838" w:orient="portrait"/>
          <w:cols w:equalWidth="0" w:num="1">
            <w:col w:w="11400"/>
          </w:cols>
          <w:pgMar w:left="240" w:top="125" w:right="259" w:bottom="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auto"/>
        </w:rPr>
        <w:t>Shareholders (as defined in the PAGP Partnership Agreement) under applicable Law and (b) whenever a determination, decision, approval or consent of PAA is required pursuant to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that could reasonably be expected to have a material effect on PAA or the holders of PAA Common Units, such determination, decision, approval or consent must be authorized by the GP LLC Conflicts Committee.</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and section headings contained in this Agreement are inserted for convenience only and will not affect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or interpretation of this Agreement.</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7.11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the performance of the transactions contemplated hereby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be 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7"/>
          <w:szCs w:val="17"/>
          <w:i w:val="1"/>
          <w:iCs w:val="1"/>
          <w:u w:val="single" w:color="auto"/>
          <w:color w:val="auto"/>
        </w:rPr>
        <w:t>6 Del. C.</w:t>
      </w:r>
      <w:r>
        <w:rPr>
          <w:rFonts w:ascii="Arial" w:cs="Arial" w:eastAsia="Arial" w:hAnsi="Arial"/>
          <w:sz w:val="17"/>
          <w:szCs w:val="17"/>
          <w:color w:val="auto"/>
        </w:rPr>
        <w:t>, § 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 party hereto hereby irrevocably and unconditionally (x)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 litigation relating thereto except in such courts), (y) waives any objection to the laying of venue of any such litigation in the Delaware Courts and agrees not to plead or claim in any Delaware Court that such litigation brought therein has been brought in any inconvenient forum, and (z)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irrevocably and unconditionally agrees, to the extent such Party is not otherwise subject to service of process in the State of Delaware, to appoint and maintain an agent in the State of Delaware as such Party’s agent for acceptance of legal process and notify the other Parties of the name and address of such agent, and (1) that service of process may, to the fullest extent permitted by law, also be made on such Party by prepaid certified mail with a proof of mailing receipt validated by the United States Postal Service constituting evidence of valid service, and that service made pursuant to this Section 7.11 shall, to the fullest extent permitted by law, have the same legal force and effect as if served upon such Party personally within the State of Delaware.</w:t>
      </w:r>
    </w:p>
    <w:p>
      <w:pPr>
        <w:spacing w:after="0" w:line="17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Agreement will be deemed severable and the invalidity or unenforceability of any provision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or enforceability of the other provisions hereof, if both the economic and legal substance of the transactions contemplated by this Agreement are not affected in any manner adverse to any Party.</w:t>
      </w:r>
    </w:p>
    <w:p>
      <w:pPr>
        <w:spacing w:after="0" w:line="176" w:lineRule="exact"/>
        <w:rPr>
          <w:sz w:val="20"/>
          <w:szCs w:val="20"/>
          <w:color w:val="auto"/>
        </w:rPr>
      </w:pPr>
    </w:p>
    <w:p>
      <w:pPr>
        <w:jc w:val="center"/>
        <w:ind w:right="-59"/>
        <w:spacing w:after="0"/>
        <w:tabs>
          <w:tab w:leader="none" w:pos="34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u w:val="single" w:color="auto"/>
          <w:color w:val="auto"/>
        </w:rPr>
        <w:t>Incorporation of Exhibits</w:t>
      </w:r>
      <w:r>
        <w:rPr>
          <w:rFonts w:ascii="Arial" w:cs="Arial" w:eastAsia="Arial" w:hAnsi="Arial"/>
          <w:sz w:val="16"/>
          <w:szCs w:val="16"/>
          <w:color w:val="auto"/>
        </w:rPr>
        <w:t>. The Exhibits identified in this Agreement are incorporated herein by reference and made a part hereof.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5"/>
          <w:szCs w:val="15"/>
          <w:b w:val="1"/>
          <w:bCs w:val="1"/>
          <w:u w:val="single" w:color="auto"/>
          <w:color w:val="auto"/>
        </w:rPr>
        <w:t>Remedies</w:t>
      </w:r>
      <w:r>
        <w:rPr>
          <w:rFonts w:ascii="Arial" w:cs="Arial" w:eastAsia="Arial" w:hAnsi="Arial"/>
          <w:sz w:val="15"/>
          <w:szCs w:val="15"/>
          <w:color w:val="auto"/>
        </w:rPr>
        <w:t>.</w:t>
      </w:r>
    </w:p>
    <w:p>
      <w:pPr>
        <w:spacing w:after="0" w:line="229" w:lineRule="exact"/>
        <w:rPr>
          <w:sz w:val="20"/>
          <w:szCs w:val="20"/>
          <w:color w:val="auto"/>
        </w:rPr>
      </w:pPr>
    </w:p>
    <w:p>
      <w:pPr>
        <w:ind w:left="660" w:right="540" w:firstLine="645"/>
        <w:spacing w:after="0" w:line="264" w:lineRule="auto"/>
        <w:tabs>
          <w:tab w:leader="none" w:pos="20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expressly provided herein, the rights, obligations and remedies created by this Agreement are cumulative and in addition to any other rights, obligations, or remedies otherwise available at Law or in equity. Nothing herein will be considered an election of remedies.</w:t>
      </w:r>
    </w:p>
    <w:p>
      <w:pPr>
        <w:spacing w:after="0" w:line="181" w:lineRule="exact"/>
        <w:rPr>
          <w:rFonts w:ascii="Arial" w:cs="Arial" w:eastAsia="Arial" w:hAnsi="Arial"/>
          <w:sz w:val="18"/>
          <w:szCs w:val="18"/>
          <w:color w:val="auto"/>
        </w:rPr>
      </w:pPr>
    </w:p>
    <w:p>
      <w:pPr>
        <w:ind w:left="660" w:right="60" w:firstLine="645"/>
        <w:spacing w:after="0" w:line="302" w:lineRule="auto"/>
        <w:tabs>
          <w:tab w:leader="none" w:pos="20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 the next page is the signature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signed by their respective duly authorized representatives effective as of the date first written in the preamble to this Agreement.</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PARTIES:</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PAA GP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6260" w:type="dxa"/>
            <w:vAlign w:val="bottom"/>
            <w:gridSpan w:val="3"/>
          </w:tcPr>
          <w:p>
            <w:pPr>
              <w:spacing w:after="0"/>
              <w:rPr>
                <w:sz w:val="20"/>
                <w:szCs w:val="20"/>
                <w:color w:val="auto"/>
              </w:rPr>
            </w:pPr>
            <w:r>
              <w:rPr>
                <w:rFonts w:ascii="Arial" w:cs="Arial" w:eastAsia="Arial" w:hAnsi="Arial"/>
                <w:sz w:val="18"/>
                <w:szCs w:val="18"/>
                <w:color w:val="auto"/>
              </w:rPr>
              <w:t>PLAINS GP HOLDINGS, L.P.</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PAA GP Holdings LLC,</w:t>
            </w:r>
          </w:p>
        </w:tc>
      </w:tr>
    </w:tbl>
    <w:p>
      <w:pPr>
        <w:sectPr>
          <w:pgSz w:w="11900" w:h="16838" w:orient="portrait"/>
          <w:cols w:equalWidth="0" w:num="1">
            <w:col w:w="11420"/>
          </w:cols>
          <w:pgMar w:left="240" w:top="125" w:right="239" w:bottom="0" w:gutter="0" w:footer="0" w:header="0"/>
        </w:sectPr>
      </w:pPr>
    </w:p>
    <w:bookmarkStart w:id="27" w:name="page28"/>
    <w:bookmarkEnd w:id="27"/>
    <w:p>
      <w:pPr>
        <w:spacing w:after="0" w:line="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its general partner</w:t>
            </w:r>
          </w:p>
        </w:tc>
      </w:tr>
      <w:tr>
        <w:trPr>
          <w:trHeight w:val="648"/>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6260" w:type="dxa"/>
            <w:vAlign w:val="bottom"/>
            <w:gridSpan w:val="3"/>
          </w:tcPr>
          <w:p>
            <w:pPr>
              <w:spacing w:after="0"/>
              <w:rPr>
                <w:sz w:val="20"/>
                <w:szCs w:val="20"/>
                <w:color w:val="auto"/>
              </w:rPr>
            </w:pPr>
            <w:r>
              <w:rPr>
                <w:rFonts w:ascii="Arial" w:cs="Arial" w:eastAsia="Arial" w:hAnsi="Arial"/>
                <w:sz w:val="18"/>
                <w:szCs w:val="18"/>
                <w:color w:val="auto"/>
              </w:rPr>
              <w:t>PLAINS ALL AMERICAN GP LLC</w:t>
            </w:r>
          </w:p>
        </w:tc>
      </w:tr>
      <w:tr>
        <w:trPr>
          <w:trHeight w:val="432"/>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432"/>
        </w:trPr>
        <w:tc>
          <w:tcPr>
            <w:tcW w:w="6260" w:type="dxa"/>
            <w:vAlign w:val="bottom"/>
            <w:gridSpan w:val="3"/>
          </w:tcPr>
          <w:p>
            <w:pPr>
              <w:spacing w:after="0"/>
              <w:rPr>
                <w:sz w:val="20"/>
                <w:szCs w:val="20"/>
                <w:color w:val="auto"/>
              </w:rPr>
            </w:pPr>
            <w:r>
              <w:rPr>
                <w:rFonts w:ascii="Arial" w:cs="Arial" w:eastAsia="Arial" w:hAnsi="Arial"/>
                <w:sz w:val="18"/>
                <w:szCs w:val="18"/>
                <w:color w:val="auto"/>
              </w:rPr>
              <w:t>PLAINS AAP,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Plains All American GP LLC,</w:t>
            </w:r>
          </w:p>
        </w:tc>
      </w:tr>
      <w:tr>
        <w:trPr>
          <w:trHeight w:val="230"/>
        </w:trPr>
        <w:tc>
          <w:tcPr>
            <w:tcW w:w="500" w:type="dxa"/>
            <w:vAlign w:val="bottom"/>
          </w:tcPr>
          <w:p>
            <w:pPr>
              <w:spacing w:after="0"/>
              <w:rPr>
                <w:sz w:val="20"/>
                <w:szCs w:val="20"/>
                <w:color w:val="auto"/>
              </w:rPr>
            </w:pP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its general partner</w:t>
            </w:r>
          </w:p>
        </w:tc>
      </w:tr>
      <w:tr>
        <w:trPr>
          <w:trHeight w:val="432"/>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PAA GP LLC</w:t>
      </w:r>
    </w:p>
    <w:p>
      <w:pPr>
        <w:spacing w:after="0" w:line="200" w:lineRule="exact"/>
        <w:rPr>
          <w:sz w:val="20"/>
          <w:szCs w:val="20"/>
          <w:color w:val="auto"/>
        </w:rPr>
      </w:pPr>
    </w:p>
    <w:p>
      <w:pPr>
        <w:spacing w:after="0" w:line="24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480" w:type="dxa"/>
            <w:vAlign w:val="bottom"/>
          </w:tcPr>
          <w:p>
            <w:pPr>
              <w:ind w:left="1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648"/>
        </w:trPr>
        <w:tc>
          <w:tcPr>
            <w:tcW w:w="5960" w:type="dxa"/>
            <w:vAlign w:val="bottom"/>
            <w:gridSpan w:val="3"/>
          </w:tcPr>
          <w:p>
            <w:pPr>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PAA GP LLC,</w:t>
            </w:r>
          </w:p>
        </w:tc>
      </w:tr>
      <w:tr>
        <w:trPr>
          <w:trHeight w:val="230"/>
        </w:trPr>
        <w:tc>
          <w:tcPr>
            <w:tcW w:w="480" w:type="dxa"/>
            <w:vAlign w:val="bottom"/>
          </w:tcPr>
          <w:p>
            <w:pPr>
              <w:spacing w:after="0"/>
              <w:rPr>
                <w:sz w:val="20"/>
                <w:szCs w:val="20"/>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its general partner</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Plains AAP, L.P.,</w:t>
            </w:r>
          </w:p>
        </w:tc>
      </w:tr>
      <w:tr>
        <w:trPr>
          <w:trHeight w:val="230"/>
        </w:trPr>
        <w:tc>
          <w:tcPr>
            <w:tcW w:w="480" w:type="dxa"/>
            <w:vAlign w:val="bottom"/>
          </w:tcPr>
          <w:p>
            <w:pPr>
              <w:spacing w:after="0"/>
              <w:rPr>
                <w:sz w:val="20"/>
                <w:szCs w:val="20"/>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its sole member</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Plains All American GP LLC,</w:t>
            </w:r>
          </w:p>
        </w:tc>
      </w:tr>
      <w:tr>
        <w:trPr>
          <w:trHeight w:val="230"/>
        </w:trPr>
        <w:tc>
          <w:tcPr>
            <w:tcW w:w="480" w:type="dxa"/>
            <w:vAlign w:val="bottom"/>
          </w:tcPr>
          <w:p>
            <w:pPr>
              <w:spacing w:after="0"/>
              <w:rPr>
                <w:sz w:val="20"/>
                <w:szCs w:val="20"/>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its general partner</w:t>
            </w:r>
          </w:p>
        </w:tc>
      </w:tr>
      <w:tr>
        <w:trPr>
          <w:trHeight w:val="648"/>
        </w:trPr>
        <w:tc>
          <w:tcPr>
            <w:tcW w:w="480" w:type="dxa"/>
            <w:vAlign w:val="bottom"/>
          </w:tcPr>
          <w:p>
            <w:pPr>
              <w:ind w:left="1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SIXTH AMENDED AND RESTATED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 OF LIMITED PARTNERSHIP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DEFINITIONS</w:t>
      </w:r>
    </w:p>
    <w:p>
      <w:pPr>
        <w:sectPr>
          <w:pgSz w:w="11900" w:h="16838" w:orient="portrait"/>
          <w:cols w:equalWidth="0" w:num="1">
            <w:col w:w="10220"/>
          </w:cols>
          <w:pgMar w:left="1440" w:top="125"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978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9780" w:type="dxa"/>
            <w:vAlign w:val="bottom"/>
          </w:tcPr>
          <w:p>
            <w:pPr>
              <w:ind w:left="340"/>
              <w:spacing w:after="0"/>
              <w:rPr>
                <w:sz w:val="20"/>
                <w:szCs w:val="20"/>
                <w:color w:val="auto"/>
              </w:rPr>
            </w:pPr>
            <w:r>
              <w:rPr>
                <w:rFonts w:ascii="Arial" w:cs="Arial" w:eastAsia="Arial" w:hAnsi="Arial"/>
                <w:sz w:val="18"/>
                <w:szCs w:val="18"/>
                <w:color w:val="auto"/>
              </w:rPr>
              <w:t>Construction</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rPr>
              <w:t>ARTICLE II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7"/>
              </w:rPr>
              <w:t>ORGANIZATION</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2.1</w:t>
            </w:r>
          </w:p>
        </w:tc>
        <w:tc>
          <w:tcPr>
            <w:tcW w:w="9780" w:type="dxa"/>
            <w:vAlign w:val="bottom"/>
          </w:tcPr>
          <w:p>
            <w:pPr>
              <w:ind w:left="340"/>
              <w:spacing w:after="0"/>
              <w:rPr>
                <w:sz w:val="20"/>
                <w:szCs w:val="20"/>
                <w:color w:val="auto"/>
              </w:rPr>
            </w:pPr>
            <w:r>
              <w:rPr>
                <w:rFonts w:ascii="Arial" w:cs="Arial" w:eastAsia="Arial" w:hAnsi="Arial"/>
                <w:sz w:val="18"/>
                <w:szCs w:val="18"/>
                <w:color w:val="auto"/>
              </w:rPr>
              <w:t>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w:t>
            </w:r>
          </w:p>
        </w:tc>
        <w:tc>
          <w:tcPr>
            <w:tcW w:w="9780" w:type="dxa"/>
            <w:vAlign w:val="bottom"/>
          </w:tcPr>
          <w:p>
            <w:pPr>
              <w:ind w:left="340"/>
              <w:spacing w:after="0"/>
              <w:rPr>
                <w:sz w:val="20"/>
                <w:szCs w:val="20"/>
                <w:color w:val="auto"/>
              </w:rPr>
            </w:pPr>
            <w:r>
              <w:rPr>
                <w:rFonts w:ascii="Arial" w:cs="Arial" w:eastAsia="Arial" w:hAnsi="Arial"/>
                <w:sz w:val="18"/>
                <w:szCs w:val="18"/>
                <w:color w:val="auto"/>
              </w:rPr>
              <w:t>Name</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2.3</w:t>
            </w:r>
          </w:p>
        </w:tc>
        <w:tc>
          <w:tcPr>
            <w:tcW w:w="9780" w:type="dxa"/>
            <w:vAlign w:val="bottom"/>
          </w:tcPr>
          <w:p>
            <w:pPr>
              <w:ind w:left="340"/>
              <w:spacing w:after="0"/>
              <w:rPr>
                <w:sz w:val="20"/>
                <w:szCs w:val="20"/>
                <w:color w:val="auto"/>
              </w:rPr>
            </w:pPr>
            <w:r>
              <w:rPr>
                <w:rFonts w:ascii="Arial" w:cs="Arial" w:eastAsia="Arial" w:hAnsi="Arial"/>
                <w:sz w:val="18"/>
                <w:szCs w:val="18"/>
                <w:color w:val="auto"/>
              </w:rPr>
              <w:t>Registered Office; Registered Agent; Principal Office; Other Offices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2.4</w:t>
            </w:r>
          </w:p>
        </w:tc>
        <w:tc>
          <w:tcPr>
            <w:tcW w:w="9780" w:type="dxa"/>
            <w:vAlign w:val="bottom"/>
          </w:tcPr>
          <w:p>
            <w:pPr>
              <w:ind w:left="340"/>
              <w:spacing w:after="0"/>
              <w:rPr>
                <w:sz w:val="20"/>
                <w:szCs w:val="20"/>
                <w:color w:val="auto"/>
              </w:rPr>
            </w:pPr>
            <w:r>
              <w:rPr>
                <w:rFonts w:ascii="Arial" w:cs="Arial" w:eastAsia="Arial" w:hAnsi="Arial"/>
                <w:sz w:val="18"/>
                <w:szCs w:val="18"/>
                <w:color w:val="auto"/>
              </w:rPr>
              <w:t>Purpose and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2.5</w:t>
            </w:r>
          </w:p>
        </w:tc>
        <w:tc>
          <w:tcPr>
            <w:tcW w:w="9780" w:type="dxa"/>
            <w:vAlign w:val="bottom"/>
          </w:tcPr>
          <w:p>
            <w:pPr>
              <w:ind w:left="340"/>
              <w:spacing w:after="0"/>
              <w:rPr>
                <w:sz w:val="20"/>
                <w:szCs w:val="20"/>
                <w:color w:val="auto"/>
              </w:rPr>
            </w:pPr>
            <w:r>
              <w:rPr>
                <w:rFonts w:ascii="Arial" w:cs="Arial" w:eastAsia="Arial" w:hAnsi="Arial"/>
                <w:sz w:val="18"/>
                <w:szCs w:val="18"/>
                <w:color w:val="auto"/>
              </w:rPr>
              <w:t>Powers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2.6</w:t>
            </w:r>
          </w:p>
        </w:tc>
        <w:tc>
          <w:tcPr>
            <w:tcW w:w="9780" w:type="dxa"/>
            <w:vAlign w:val="bottom"/>
          </w:tcPr>
          <w:p>
            <w:pPr>
              <w:ind w:left="340"/>
              <w:spacing w:after="0"/>
              <w:rPr>
                <w:sz w:val="20"/>
                <w:szCs w:val="20"/>
                <w:color w:val="auto"/>
              </w:rPr>
            </w:pPr>
            <w:r>
              <w:rPr>
                <w:rFonts w:ascii="Arial" w:cs="Arial" w:eastAsia="Arial" w:hAnsi="Arial"/>
                <w:sz w:val="18"/>
                <w:szCs w:val="18"/>
                <w:color w:val="auto"/>
              </w:rPr>
              <w:t>Power of Attorney</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2.7</w:t>
            </w:r>
          </w:p>
        </w:tc>
        <w:tc>
          <w:tcPr>
            <w:tcW w:w="9780" w:type="dxa"/>
            <w:vAlign w:val="bottom"/>
          </w:tcPr>
          <w:p>
            <w:pPr>
              <w:ind w:left="340"/>
              <w:spacing w:after="0"/>
              <w:rPr>
                <w:sz w:val="20"/>
                <w:szCs w:val="20"/>
                <w:color w:val="auto"/>
              </w:rPr>
            </w:pPr>
            <w:r>
              <w:rPr>
                <w:rFonts w:ascii="Arial" w:cs="Arial" w:eastAsia="Arial" w:hAnsi="Arial"/>
                <w:sz w:val="18"/>
                <w:szCs w:val="18"/>
                <w:color w:val="auto"/>
              </w:rPr>
              <w:t>Term</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2.8</w:t>
            </w:r>
          </w:p>
        </w:tc>
        <w:tc>
          <w:tcPr>
            <w:tcW w:w="9780" w:type="dxa"/>
            <w:vAlign w:val="bottom"/>
          </w:tcPr>
          <w:p>
            <w:pPr>
              <w:ind w:left="340"/>
              <w:spacing w:after="0"/>
              <w:rPr>
                <w:sz w:val="20"/>
                <w:szCs w:val="20"/>
                <w:color w:val="auto"/>
              </w:rPr>
            </w:pPr>
            <w:r>
              <w:rPr>
                <w:rFonts w:ascii="Arial" w:cs="Arial" w:eastAsia="Arial" w:hAnsi="Arial"/>
                <w:sz w:val="18"/>
                <w:szCs w:val="18"/>
                <w:color w:val="auto"/>
              </w:rPr>
              <w:t>Title to Partnership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rPr>
              <w:t>ARTICLE III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5"/>
              </w:rPr>
              <w:t>RIGHTS OF LIMITED PARTNERS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3.1</w:t>
            </w:r>
          </w:p>
        </w:tc>
        <w:tc>
          <w:tcPr>
            <w:tcW w:w="9780" w:type="dxa"/>
            <w:vAlign w:val="bottom"/>
          </w:tcPr>
          <w:p>
            <w:pPr>
              <w:ind w:left="340"/>
              <w:spacing w:after="0"/>
              <w:rPr>
                <w:sz w:val="20"/>
                <w:szCs w:val="20"/>
                <w:color w:val="auto"/>
              </w:rPr>
            </w:pPr>
            <w:r>
              <w:rPr>
                <w:rFonts w:ascii="Arial" w:cs="Arial" w:eastAsia="Arial" w:hAnsi="Arial"/>
                <w:sz w:val="18"/>
                <w:szCs w:val="18"/>
                <w:color w:val="auto"/>
              </w:rPr>
              <w:t>Limitation of Liability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3.2</w:t>
            </w:r>
          </w:p>
        </w:tc>
        <w:tc>
          <w:tcPr>
            <w:tcW w:w="9780" w:type="dxa"/>
            <w:vAlign w:val="bottom"/>
          </w:tcPr>
          <w:p>
            <w:pPr>
              <w:ind w:left="340"/>
              <w:spacing w:after="0"/>
              <w:rPr>
                <w:sz w:val="20"/>
                <w:szCs w:val="20"/>
                <w:color w:val="auto"/>
              </w:rPr>
            </w:pPr>
            <w:r>
              <w:rPr>
                <w:rFonts w:ascii="Arial" w:cs="Arial" w:eastAsia="Arial" w:hAnsi="Arial"/>
                <w:sz w:val="18"/>
                <w:szCs w:val="18"/>
                <w:color w:val="auto"/>
              </w:rPr>
              <w:t>Management of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3.3</w:t>
            </w:r>
          </w:p>
        </w:tc>
        <w:tc>
          <w:tcPr>
            <w:tcW w:w="9780" w:type="dxa"/>
            <w:vAlign w:val="bottom"/>
          </w:tcPr>
          <w:p>
            <w:pPr>
              <w:ind w:left="340"/>
              <w:spacing w:after="0"/>
              <w:rPr>
                <w:sz w:val="20"/>
                <w:szCs w:val="20"/>
                <w:color w:val="auto"/>
              </w:rPr>
            </w:pPr>
            <w:r>
              <w:rPr>
                <w:rFonts w:ascii="Arial" w:cs="Arial" w:eastAsia="Arial" w:hAnsi="Arial"/>
                <w:sz w:val="18"/>
                <w:szCs w:val="18"/>
                <w:color w:val="auto"/>
              </w:rPr>
              <w:t>Outside Activities of the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3.4</w:t>
            </w:r>
          </w:p>
        </w:tc>
        <w:tc>
          <w:tcPr>
            <w:tcW w:w="9780" w:type="dxa"/>
            <w:vAlign w:val="bottom"/>
          </w:tcPr>
          <w:p>
            <w:pPr>
              <w:ind w:left="340"/>
              <w:spacing w:after="0"/>
              <w:rPr>
                <w:sz w:val="20"/>
                <w:szCs w:val="20"/>
                <w:color w:val="auto"/>
              </w:rPr>
            </w:pPr>
            <w:r>
              <w:rPr>
                <w:rFonts w:ascii="Arial" w:cs="Arial" w:eastAsia="Arial" w:hAnsi="Arial"/>
                <w:sz w:val="18"/>
                <w:szCs w:val="18"/>
                <w:color w:val="auto"/>
              </w:rPr>
              <w:t>Rights of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9"/>
              </w:rPr>
              <w:t>ARTICLE IV</w:t>
            </w:r>
          </w:p>
        </w:tc>
        <w:tc>
          <w:tcPr>
            <w:tcW w:w="440" w:type="dxa"/>
            <w:vAlign w:val="bottom"/>
          </w:tcPr>
          <w:p>
            <w:pPr>
              <w:spacing w:after="0"/>
              <w:rPr>
                <w:sz w:val="24"/>
                <w:szCs w:val="24"/>
                <w:color w:val="auto"/>
              </w:rPr>
            </w:pPr>
          </w:p>
        </w:tc>
      </w:tr>
      <w:tr>
        <w:trPr>
          <w:trHeight w:val="230"/>
        </w:trPr>
        <w:tc>
          <w:tcPr>
            <w:tcW w:w="1102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CERTIFICATES; RECORD HOLDERS; TRANSFER OF PARTNERSHIP INTERESTS; REDEMPTION OF PARTNERSHIP INTERESTS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4.1</w:t>
            </w:r>
          </w:p>
        </w:tc>
        <w:tc>
          <w:tcPr>
            <w:tcW w:w="9780" w:type="dxa"/>
            <w:vAlign w:val="bottom"/>
          </w:tcPr>
          <w:p>
            <w:pPr>
              <w:ind w:left="340"/>
              <w:spacing w:after="0"/>
              <w:rPr>
                <w:sz w:val="20"/>
                <w:szCs w:val="20"/>
                <w:color w:val="auto"/>
              </w:rPr>
            </w:pPr>
            <w:r>
              <w:rPr>
                <w:rFonts w:ascii="Arial" w:cs="Arial" w:eastAsia="Arial" w:hAnsi="Arial"/>
                <w:sz w:val="18"/>
                <w:szCs w:val="18"/>
                <w:color w:val="auto"/>
              </w:rPr>
              <w:t>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4.2</w:t>
            </w:r>
          </w:p>
        </w:tc>
        <w:tc>
          <w:tcPr>
            <w:tcW w:w="9780" w:type="dxa"/>
            <w:vAlign w:val="bottom"/>
          </w:tcPr>
          <w:p>
            <w:pPr>
              <w:ind w:left="340"/>
              <w:spacing w:after="0"/>
              <w:rPr>
                <w:sz w:val="20"/>
                <w:szCs w:val="20"/>
                <w:color w:val="auto"/>
              </w:rPr>
            </w:pPr>
            <w:r>
              <w:rPr>
                <w:rFonts w:ascii="Arial" w:cs="Arial" w:eastAsia="Arial" w:hAnsi="Arial"/>
                <w:sz w:val="18"/>
                <w:szCs w:val="18"/>
                <w:color w:val="auto"/>
              </w:rPr>
              <w:t>Mutilated, Destroyed, Lost or Stolen 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4.3</w:t>
            </w:r>
          </w:p>
        </w:tc>
        <w:tc>
          <w:tcPr>
            <w:tcW w:w="9780" w:type="dxa"/>
            <w:vAlign w:val="bottom"/>
          </w:tcPr>
          <w:p>
            <w:pPr>
              <w:ind w:left="340"/>
              <w:spacing w:after="0"/>
              <w:rPr>
                <w:sz w:val="20"/>
                <w:szCs w:val="20"/>
                <w:color w:val="auto"/>
              </w:rPr>
            </w:pPr>
            <w:r>
              <w:rPr>
                <w:rFonts w:ascii="Arial" w:cs="Arial" w:eastAsia="Arial" w:hAnsi="Arial"/>
                <w:sz w:val="18"/>
                <w:szCs w:val="18"/>
                <w:color w:val="auto"/>
              </w:rPr>
              <w:t>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4.4</w:t>
            </w:r>
          </w:p>
        </w:tc>
        <w:tc>
          <w:tcPr>
            <w:tcW w:w="9780" w:type="dxa"/>
            <w:vAlign w:val="bottom"/>
          </w:tcPr>
          <w:p>
            <w:pPr>
              <w:ind w:left="340"/>
              <w:spacing w:after="0"/>
              <w:rPr>
                <w:sz w:val="20"/>
                <w:szCs w:val="20"/>
                <w:color w:val="auto"/>
              </w:rPr>
            </w:pPr>
            <w:r>
              <w:rPr>
                <w:rFonts w:ascii="Arial" w:cs="Arial" w:eastAsia="Arial" w:hAnsi="Arial"/>
                <w:sz w:val="18"/>
                <w:szCs w:val="18"/>
                <w:color w:val="auto"/>
              </w:rPr>
              <w:t>Transfer Generally</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4.5</w:t>
            </w:r>
          </w:p>
        </w:tc>
        <w:tc>
          <w:tcPr>
            <w:tcW w:w="9780" w:type="dxa"/>
            <w:vAlign w:val="bottom"/>
          </w:tcPr>
          <w:p>
            <w:pPr>
              <w:ind w:left="340"/>
              <w:spacing w:after="0"/>
              <w:rPr>
                <w:sz w:val="20"/>
                <w:szCs w:val="20"/>
                <w:color w:val="auto"/>
              </w:rPr>
            </w:pPr>
            <w:r>
              <w:rPr>
                <w:rFonts w:ascii="Arial" w:cs="Arial" w:eastAsia="Arial" w:hAnsi="Arial"/>
                <w:sz w:val="18"/>
                <w:szCs w:val="18"/>
                <w:color w:val="auto"/>
              </w:rPr>
              <w:t>Registration and Transfer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4.6</w:t>
            </w:r>
          </w:p>
        </w:tc>
        <w:tc>
          <w:tcPr>
            <w:tcW w:w="9780" w:type="dxa"/>
            <w:vAlign w:val="bottom"/>
          </w:tcPr>
          <w:p>
            <w:pPr>
              <w:ind w:left="340"/>
              <w:spacing w:after="0"/>
              <w:rPr>
                <w:sz w:val="20"/>
                <w:szCs w:val="20"/>
                <w:color w:val="auto"/>
              </w:rPr>
            </w:pPr>
            <w:r>
              <w:rPr>
                <w:rFonts w:ascii="Arial" w:cs="Arial" w:eastAsia="Arial" w:hAnsi="Arial"/>
                <w:sz w:val="18"/>
                <w:szCs w:val="18"/>
                <w:color w:val="auto"/>
              </w:rPr>
              <w:t>Transfer of the General Partner’s General Partner 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4.7</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4.8</w:t>
            </w:r>
          </w:p>
        </w:tc>
        <w:tc>
          <w:tcPr>
            <w:tcW w:w="9780" w:type="dxa"/>
            <w:vAlign w:val="bottom"/>
          </w:tcPr>
          <w:p>
            <w:pPr>
              <w:ind w:left="340"/>
              <w:spacing w:after="0"/>
              <w:rPr>
                <w:sz w:val="20"/>
                <w:szCs w:val="20"/>
                <w:color w:val="auto"/>
              </w:rPr>
            </w:pPr>
            <w:r>
              <w:rPr>
                <w:rFonts w:ascii="Arial" w:cs="Arial" w:eastAsia="Arial" w:hAnsi="Arial"/>
                <w:sz w:val="18"/>
                <w:szCs w:val="18"/>
                <w:color w:val="auto"/>
              </w:rPr>
              <w:t>Restrictions on Transfers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4.9</w:t>
            </w:r>
          </w:p>
        </w:tc>
        <w:tc>
          <w:tcPr>
            <w:tcW w:w="9780" w:type="dxa"/>
            <w:vAlign w:val="bottom"/>
          </w:tcPr>
          <w:p>
            <w:pPr>
              <w:ind w:left="340"/>
              <w:spacing w:after="0"/>
              <w:rPr>
                <w:sz w:val="20"/>
                <w:szCs w:val="20"/>
                <w:color w:val="auto"/>
              </w:rPr>
            </w:pPr>
            <w:r>
              <w:rPr>
                <w:rFonts w:ascii="Arial" w:cs="Arial" w:eastAsia="Arial" w:hAnsi="Arial"/>
                <w:sz w:val="18"/>
                <w:szCs w:val="18"/>
                <w:color w:val="auto"/>
              </w:rPr>
              <w:t>Citizenship Certificates; Non-citizen Assignees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9780" w:type="dxa"/>
            <w:vAlign w:val="bottom"/>
          </w:tcPr>
          <w:p>
            <w:pPr>
              <w:ind w:left="340"/>
              <w:spacing w:after="0"/>
              <w:rPr>
                <w:sz w:val="20"/>
                <w:szCs w:val="20"/>
                <w:color w:val="auto"/>
              </w:rPr>
            </w:pPr>
            <w:r>
              <w:rPr>
                <w:rFonts w:ascii="Arial" w:cs="Arial" w:eastAsia="Arial" w:hAnsi="Arial"/>
                <w:sz w:val="18"/>
                <w:szCs w:val="18"/>
                <w:color w:val="auto"/>
              </w:rPr>
              <w:t>Redemption of Partnership Interests of Non-citizen Assignees</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8"/>
              </w:rPr>
              <w:t>ARTICLE V</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5"/>
              </w:rPr>
              <w:t>CAPITAL CONTRIBUTIONS AND ISSUANCE OF PARTNERSHIP INTERESTS</w:t>
            </w:r>
          </w:p>
        </w:tc>
        <w:tc>
          <w:tcPr>
            <w:tcW w:w="44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5.1</w:t>
            </w:r>
          </w:p>
        </w:tc>
        <w:tc>
          <w:tcPr>
            <w:tcW w:w="9780" w:type="dxa"/>
            <w:vAlign w:val="bottom"/>
          </w:tcPr>
          <w:p>
            <w:pPr>
              <w:ind w:left="340"/>
              <w:spacing w:after="0"/>
              <w:rPr>
                <w:sz w:val="20"/>
                <w:szCs w:val="20"/>
                <w:color w:val="auto"/>
              </w:rPr>
            </w:pPr>
            <w:r>
              <w:rPr>
                <w:rFonts w:ascii="Arial" w:cs="Arial" w:eastAsia="Arial" w:hAnsi="Arial"/>
                <w:sz w:val="18"/>
                <w:szCs w:val="18"/>
                <w:color w:val="auto"/>
              </w:rPr>
              <w:t>Conversion of the General Partner Interest and Repurchase of Incentive Distribution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rPr>
              <w:t>ii</w:t>
            </w:r>
          </w:p>
        </w:tc>
        <w:tc>
          <w:tcPr>
            <w:tcW w:w="44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7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r>
      <w:tr>
        <w:trPr>
          <w:trHeight w:val="766"/>
        </w:trPr>
        <w:tc>
          <w:tcPr>
            <w:tcW w:w="1240" w:type="dxa"/>
            <w:vAlign w:val="bottom"/>
          </w:tcPr>
          <w:p>
            <w:pPr>
              <w:spacing w:after="0"/>
              <w:rPr>
                <w:sz w:val="20"/>
                <w:szCs w:val="20"/>
                <w:color w:val="auto"/>
              </w:rPr>
            </w:pPr>
            <w:r>
              <w:rPr>
                <w:rFonts w:ascii="Arial" w:cs="Arial" w:eastAsia="Arial" w:hAnsi="Arial"/>
                <w:sz w:val="18"/>
                <w:szCs w:val="18"/>
                <w:color w:val="auto"/>
              </w:rPr>
              <w:t>Section 5.2</w:t>
            </w:r>
          </w:p>
        </w:tc>
        <w:tc>
          <w:tcPr>
            <w:tcW w:w="9780" w:type="dxa"/>
            <w:vAlign w:val="bottom"/>
          </w:tcPr>
          <w:p>
            <w:pPr>
              <w:ind w:left="340"/>
              <w:spacing w:after="0"/>
              <w:rPr>
                <w:sz w:val="20"/>
                <w:szCs w:val="20"/>
                <w:color w:val="auto"/>
              </w:rPr>
            </w:pPr>
            <w:r>
              <w:rPr>
                <w:rFonts w:ascii="Arial" w:cs="Arial" w:eastAsia="Arial" w:hAnsi="Arial"/>
                <w:sz w:val="18"/>
                <w:szCs w:val="18"/>
                <w:color w:val="auto"/>
              </w:rPr>
              <w:t>Contributions by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5.3</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5.4</w:t>
            </w:r>
          </w:p>
        </w:tc>
        <w:tc>
          <w:tcPr>
            <w:tcW w:w="9780" w:type="dxa"/>
            <w:vAlign w:val="bottom"/>
          </w:tcPr>
          <w:p>
            <w:pPr>
              <w:ind w:left="340"/>
              <w:spacing w:after="0"/>
              <w:rPr>
                <w:sz w:val="20"/>
                <w:szCs w:val="20"/>
                <w:color w:val="auto"/>
              </w:rPr>
            </w:pPr>
            <w:r>
              <w:rPr>
                <w:rFonts w:ascii="Arial" w:cs="Arial" w:eastAsia="Arial" w:hAnsi="Arial"/>
                <w:sz w:val="18"/>
                <w:szCs w:val="18"/>
                <w:color w:val="auto"/>
              </w:rPr>
              <w:t>Interest and Withdrawal</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5.5</w:t>
            </w:r>
          </w:p>
        </w:tc>
        <w:tc>
          <w:tcPr>
            <w:tcW w:w="9780" w:type="dxa"/>
            <w:vAlign w:val="bottom"/>
          </w:tcPr>
          <w:p>
            <w:pPr>
              <w:ind w:left="340"/>
              <w:spacing w:after="0"/>
              <w:rPr>
                <w:sz w:val="20"/>
                <w:szCs w:val="20"/>
                <w:color w:val="auto"/>
              </w:rPr>
            </w:pPr>
            <w:r>
              <w:rPr>
                <w:rFonts w:ascii="Arial" w:cs="Arial" w:eastAsia="Arial" w:hAnsi="Arial"/>
                <w:sz w:val="18"/>
                <w:szCs w:val="18"/>
                <w:color w:val="auto"/>
              </w:rPr>
              <w:t>Capital Accounts</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5.6</w:t>
            </w:r>
          </w:p>
        </w:tc>
        <w:tc>
          <w:tcPr>
            <w:tcW w:w="9780" w:type="dxa"/>
            <w:vAlign w:val="bottom"/>
          </w:tcPr>
          <w:p>
            <w:pPr>
              <w:ind w:left="340"/>
              <w:spacing w:after="0"/>
              <w:rPr>
                <w:sz w:val="20"/>
                <w:szCs w:val="20"/>
                <w:color w:val="auto"/>
              </w:rPr>
            </w:pPr>
            <w:r>
              <w:rPr>
                <w:rFonts w:ascii="Arial" w:cs="Arial" w:eastAsia="Arial" w:hAnsi="Arial"/>
                <w:sz w:val="18"/>
                <w:szCs w:val="18"/>
                <w:color w:val="auto"/>
              </w:rPr>
              <w:t>Issuances of Additional Partnership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5.7</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5.8</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5.9</w:t>
            </w:r>
          </w:p>
        </w:tc>
        <w:tc>
          <w:tcPr>
            <w:tcW w:w="9780" w:type="dxa"/>
            <w:vAlign w:val="bottom"/>
          </w:tcPr>
          <w:p>
            <w:pPr>
              <w:ind w:left="340"/>
              <w:spacing w:after="0"/>
              <w:rPr>
                <w:sz w:val="20"/>
                <w:szCs w:val="20"/>
                <w:color w:val="auto"/>
              </w:rPr>
            </w:pPr>
            <w:r>
              <w:rPr>
                <w:rFonts w:ascii="Arial" w:cs="Arial" w:eastAsia="Arial" w:hAnsi="Arial"/>
                <w:sz w:val="18"/>
                <w:szCs w:val="18"/>
                <w:color w:val="auto"/>
              </w:rPr>
              <w:t>No Preemptive Right</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5.10</w:t>
            </w:r>
          </w:p>
        </w:tc>
        <w:tc>
          <w:tcPr>
            <w:tcW w:w="9780" w:type="dxa"/>
            <w:vAlign w:val="bottom"/>
          </w:tcPr>
          <w:p>
            <w:pPr>
              <w:ind w:left="340"/>
              <w:spacing w:after="0"/>
              <w:rPr>
                <w:sz w:val="20"/>
                <w:szCs w:val="20"/>
                <w:color w:val="auto"/>
              </w:rPr>
            </w:pPr>
            <w:r>
              <w:rPr>
                <w:rFonts w:ascii="Arial" w:cs="Arial" w:eastAsia="Arial" w:hAnsi="Arial"/>
                <w:sz w:val="18"/>
                <w:szCs w:val="18"/>
                <w:color w:val="auto"/>
              </w:rPr>
              <w:t>Splits and Combination</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5.11</w:t>
            </w:r>
          </w:p>
        </w:tc>
        <w:tc>
          <w:tcPr>
            <w:tcW w:w="9780" w:type="dxa"/>
            <w:vAlign w:val="bottom"/>
          </w:tcPr>
          <w:p>
            <w:pPr>
              <w:ind w:left="340"/>
              <w:spacing w:after="0"/>
              <w:rPr>
                <w:sz w:val="20"/>
                <w:szCs w:val="20"/>
                <w:color w:val="auto"/>
              </w:rPr>
            </w:pPr>
            <w:r>
              <w:rPr>
                <w:rFonts w:ascii="Arial" w:cs="Arial" w:eastAsia="Arial" w:hAnsi="Arial"/>
                <w:sz w:val="18"/>
                <w:szCs w:val="18"/>
                <w:color w:val="auto"/>
              </w:rPr>
              <w:t>Fully Paid and Non-Assessable Nature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5.12</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5.13</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5.14</w:t>
            </w:r>
          </w:p>
        </w:tc>
        <w:tc>
          <w:tcPr>
            <w:tcW w:w="9780" w:type="dxa"/>
            <w:vAlign w:val="bottom"/>
          </w:tcPr>
          <w:p>
            <w:pPr>
              <w:ind w:left="340"/>
              <w:spacing w:after="0"/>
              <w:rPr>
                <w:sz w:val="20"/>
                <w:szCs w:val="20"/>
                <w:color w:val="auto"/>
              </w:rPr>
            </w:pPr>
            <w:r>
              <w:rPr>
                <w:rFonts w:ascii="Arial" w:cs="Arial" w:eastAsia="Arial" w:hAnsi="Arial"/>
                <w:sz w:val="18"/>
                <w:szCs w:val="18"/>
                <w:color w:val="auto"/>
              </w:rPr>
              <w:t>Establishment of Series A Preferred Units</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9"/>
              </w:rPr>
              <w:t>ARTICLE VI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8"/>
              </w:rPr>
              <w:t>ALLOCATIONS AND DISTRIBUTIONS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6.1</w:t>
            </w:r>
          </w:p>
        </w:tc>
        <w:tc>
          <w:tcPr>
            <w:tcW w:w="9780" w:type="dxa"/>
            <w:vAlign w:val="bottom"/>
          </w:tcPr>
          <w:p>
            <w:pPr>
              <w:ind w:left="340"/>
              <w:spacing w:after="0"/>
              <w:rPr>
                <w:sz w:val="20"/>
                <w:szCs w:val="20"/>
                <w:color w:val="auto"/>
              </w:rPr>
            </w:pPr>
            <w:r>
              <w:rPr>
                <w:rFonts w:ascii="Arial" w:cs="Arial" w:eastAsia="Arial" w:hAnsi="Arial"/>
                <w:sz w:val="18"/>
                <w:szCs w:val="18"/>
                <w:color w:val="auto"/>
              </w:rPr>
              <w:t>Allocations for Capital Account Purposes</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6.2</w:t>
            </w:r>
          </w:p>
        </w:tc>
        <w:tc>
          <w:tcPr>
            <w:tcW w:w="9780" w:type="dxa"/>
            <w:vAlign w:val="bottom"/>
          </w:tcPr>
          <w:p>
            <w:pPr>
              <w:ind w:left="340"/>
              <w:spacing w:after="0"/>
              <w:rPr>
                <w:sz w:val="20"/>
                <w:szCs w:val="20"/>
                <w:color w:val="auto"/>
              </w:rPr>
            </w:pPr>
            <w:r>
              <w:rPr>
                <w:rFonts w:ascii="Arial" w:cs="Arial" w:eastAsia="Arial" w:hAnsi="Arial"/>
                <w:sz w:val="18"/>
                <w:szCs w:val="18"/>
                <w:color w:val="auto"/>
              </w:rPr>
              <w:t>Allocations for Tax Purposes</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6.3</w:t>
            </w:r>
          </w:p>
        </w:tc>
        <w:tc>
          <w:tcPr>
            <w:tcW w:w="9780" w:type="dxa"/>
            <w:vAlign w:val="bottom"/>
          </w:tcPr>
          <w:p>
            <w:pPr>
              <w:ind w:left="340"/>
              <w:spacing w:after="0"/>
              <w:rPr>
                <w:sz w:val="20"/>
                <w:szCs w:val="20"/>
                <w:color w:val="auto"/>
              </w:rPr>
            </w:pPr>
            <w:r>
              <w:rPr>
                <w:rFonts w:ascii="Arial" w:cs="Arial" w:eastAsia="Arial" w:hAnsi="Arial"/>
                <w:sz w:val="18"/>
                <w:szCs w:val="18"/>
                <w:color w:val="auto"/>
              </w:rPr>
              <w:t>Requirement for and Characterization of Distributions; Distributions to 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rPr>
              <w:t>ARTICLE VII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6"/>
              </w:rPr>
              <w:t>MANAGEMENT AND OPERATION OF BUSINESS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7.1</w:t>
            </w:r>
          </w:p>
        </w:tc>
        <w:tc>
          <w:tcPr>
            <w:tcW w:w="9780" w:type="dxa"/>
            <w:vAlign w:val="bottom"/>
          </w:tcPr>
          <w:p>
            <w:pPr>
              <w:ind w:left="340"/>
              <w:spacing w:after="0"/>
              <w:rPr>
                <w:sz w:val="20"/>
                <w:szCs w:val="20"/>
                <w:color w:val="auto"/>
              </w:rPr>
            </w:pPr>
            <w:r>
              <w:rPr>
                <w:rFonts w:ascii="Arial" w:cs="Arial" w:eastAsia="Arial" w:hAnsi="Arial"/>
                <w:sz w:val="18"/>
                <w:szCs w:val="18"/>
                <w:color w:val="auto"/>
              </w:rPr>
              <w:t>Management</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7.2</w:t>
            </w:r>
          </w:p>
        </w:tc>
        <w:tc>
          <w:tcPr>
            <w:tcW w:w="9780" w:type="dxa"/>
            <w:vAlign w:val="bottom"/>
          </w:tcPr>
          <w:p>
            <w:pPr>
              <w:ind w:left="340"/>
              <w:spacing w:after="0"/>
              <w:rPr>
                <w:sz w:val="20"/>
                <w:szCs w:val="20"/>
                <w:color w:val="auto"/>
              </w:rPr>
            </w:pPr>
            <w:r>
              <w:rPr>
                <w:rFonts w:ascii="Arial" w:cs="Arial" w:eastAsia="Arial" w:hAnsi="Arial"/>
                <w:sz w:val="18"/>
                <w:szCs w:val="18"/>
                <w:color w:val="auto"/>
              </w:rPr>
              <w:t>Certificate of Limited Partnership</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7.3</w:t>
            </w:r>
          </w:p>
        </w:tc>
        <w:tc>
          <w:tcPr>
            <w:tcW w:w="9780" w:type="dxa"/>
            <w:vAlign w:val="bottom"/>
          </w:tcPr>
          <w:p>
            <w:pPr>
              <w:ind w:left="340"/>
              <w:spacing w:after="0"/>
              <w:rPr>
                <w:sz w:val="20"/>
                <w:szCs w:val="20"/>
                <w:color w:val="auto"/>
              </w:rPr>
            </w:pPr>
            <w:r>
              <w:rPr>
                <w:rFonts w:ascii="Arial" w:cs="Arial" w:eastAsia="Arial" w:hAnsi="Arial"/>
                <w:sz w:val="18"/>
                <w:szCs w:val="18"/>
                <w:color w:val="auto"/>
              </w:rPr>
              <w:t>Restrictions on General Partner’s Authority</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7.4</w:t>
            </w:r>
          </w:p>
        </w:tc>
        <w:tc>
          <w:tcPr>
            <w:tcW w:w="9780" w:type="dxa"/>
            <w:vAlign w:val="bottom"/>
          </w:tcPr>
          <w:p>
            <w:pPr>
              <w:ind w:left="340"/>
              <w:spacing w:after="0"/>
              <w:rPr>
                <w:sz w:val="20"/>
                <w:szCs w:val="20"/>
                <w:color w:val="auto"/>
              </w:rPr>
            </w:pPr>
            <w:r>
              <w:rPr>
                <w:rFonts w:ascii="Arial" w:cs="Arial" w:eastAsia="Arial" w:hAnsi="Arial"/>
                <w:sz w:val="18"/>
                <w:szCs w:val="18"/>
                <w:color w:val="auto"/>
              </w:rPr>
              <w:t>Reimbursement of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7.5</w:t>
            </w:r>
          </w:p>
        </w:tc>
        <w:tc>
          <w:tcPr>
            <w:tcW w:w="9780" w:type="dxa"/>
            <w:vAlign w:val="bottom"/>
          </w:tcPr>
          <w:p>
            <w:pPr>
              <w:ind w:left="340"/>
              <w:spacing w:after="0"/>
              <w:rPr>
                <w:sz w:val="20"/>
                <w:szCs w:val="20"/>
                <w:color w:val="auto"/>
              </w:rPr>
            </w:pPr>
            <w:r>
              <w:rPr>
                <w:rFonts w:ascii="Arial" w:cs="Arial" w:eastAsia="Arial" w:hAnsi="Arial"/>
                <w:sz w:val="18"/>
                <w:szCs w:val="18"/>
                <w:color w:val="auto"/>
              </w:rPr>
              <w:t>Outside Activities</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7.6</w:t>
            </w:r>
          </w:p>
        </w:tc>
        <w:tc>
          <w:tcPr>
            <w:tcW w:w="9780" w:type="dxa"/>
            <w:vAlign w:val="bottom"/>
          </w:tcPr>
          <w:p>
            <w:pPr>
              <w:ind w:left="340"/>
              <w:spacing w:after="0"/>
              <w:rPr>
                <w:sz w:val="20"/>
                <w:szCs w:val="20"/>
                <w:color w:val="auto"/>
              </w:rPr>
            </w:pPr>
            <w:r>
              <w:rPr>
                <w:rFonts w:ascii="Arial" w:cs="Arial" w:eastAsia="Arial" w:hAnsi="Arial"/>
                <w:sz w:val="18"/>
                <w:szCs w:val="18"/>
                <w:color w:val="auto"/>
              </w:rPr>
              <w:t>Loans from the General Partner; Loans or Contributions from the Partnership; Contracts with Affiliates; Certain</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-4503420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-4503420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9" w:name="page30"/>
    <w:bookmarkEnd w:id="2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Restrictions on the General Partner</w:t>
            </w:r>
          </w:p>
        </w:tc>
        <w:tc>
          <w:tcPr>
            <w:tcW w:w="17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7.7</w:t>
            </w:r>
          </w:p>
        </w:tc>
        <w:tc>
          <w:tcPr>
            <w:tcW w:w="8460" w:type="dxa"/>
            <w:vAlign w:val="bottom"/>
          </w:tcPr>
          <w:p>
            <w:pPr>
              <w:ind w:left="300"/>
              <w:spacing w:after="0"/>
              <w:rPr>
                <w:sz w:val="20"/>
                <w:szCs w:val="20"/>
                <w:color w:val="auto"/>
              </w:rPr>
            </w:pPr>
            <w:r>
              <w:rPr>
                <w:rFonts w:ascii="Arial" w:cs="Arial" w:eastAsia="Arial" w:hAnsi="Arial"/>
                <w:sz w:val="18"/>
                <w:szCs w:val="18"/>
                <w:color w:val="auto"/>
              </w:rPr>
              <w:t>Indemnification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7.8</w:t>
            </w:r>
          </w:p>
        </w:tc>
        <w:tc>
          <w:tcPr>
            <w:tcW w:w="8460" w:type="dxa"/>
            <w:vAlign w:val="bottom"/>
          </w:tcPr>
          <w:p>
            <w:pPr>
              <w:ind w:left="300"/>
              <w:spacing w:after="0"/>
              <w:rPr>
                <w:sz w:val="20"/>
                <w:szCs w:val="20"/>
                <w:color w:val="auto"/>
              </w:rPr>
            </w:pPr>
            <w:r>
              <w:rPr>
                <w:rFonts w:ascii="Arial" w:cs="Arial" w:eastAsia="Arial" w:hAnsi="Arial"/>
                <w:sz w:val="18"/>
                <w:szCs w:val="18"/>
                <w:color w:val="auto"/>
              </w:rPr>
              <w:t>Liability of lndemnitees</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7.9</w:t>
            </w:r>
          </w:p>
        </w:tc>
        <w:tc>
          <w:tcPr>
            <w:tcW w:w="8460" w:type="dxa"/>
            <w:vAlign w:val="bottom"/>
          </w:tcPr>
          <w:p>
            <w:pPr>
              <w:ind w:left="300"/>
              <w:spacing w:after="0"/>
              <w:rPr>
                <w:sz w:val="20"/>
                <w:szCs w:val="20"/>
                <w:color w:val="auto"/>
              </w:rPr>
            </w:pPr>
            <w:r>
              <w:rPr>
                <w:rFonts w:ascii="Arial" w:cs="Arial" w:eastAsia="Arial" w:hAnsi="Arial"/>
                <w:sz w:val="18"/>
                <w:szCs w:val="18"/>
                <w:color w:val="auto"/>
              </w:rPr>
              <w:t>Resolution of Conflicts of Interest</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7.10</w:t>
            </w:r>
          </w:p>
        </w:tc>
        <w:tc>
          <w:tcPr>
            <w:tcW w:w="8460" w:type="dxa"/>
            <w:vAlign w:val="bottom"/>
          </w:tcPr>
          <w:p>
            <w:pPr>
              <w:ind w:left="300"/>
              <w:spacing w:after="0"/>
              <w:rPr>
                <w:sz w:val="20"/>
                <w:szCs w:val="20"/>
                <w:color w:val="auto"/>
              </w:rPr>
            </w:pPr>
            <w:r>
              <w:rPr>
                <w:rFonts w:ascii="Arial" w:cs="Arial" w:eastAsia="Arial" w:hAnsi="Arial"/>
                <w:sz w:val="18"/>
                <w:szCs w:val="18"/>
                <w:color w:val="auto"/>
              </w:rPr>
              <w:t>Other Matters Concerning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7.11</w:t>
            </w:r>
          </w:p>
        </w:tc>
        <w:tc>
          <w:tcPr>
            <w:tcW w:w="8460" w:type="dxa"/>
            <w:vAlign w:val="bottom"/>
          </w:tcPr>
          <w:p>
            <w:pPr>
              <w:ind w:left="300"/>
              <w:spacing w:after="0"/>
              <w:rPr>
                <w:sz w:val="20"/>
                <w:szCs w:val="20"/>
                <w:color w:val="auto"/>
              </w:rPr>
            </w:pPr>
            <w:r>
              <w:rPr>
                <w:rFonts w:ascii="Arial" w:cs="Arial" w:eastAsia="Arial" w:hAnsi="Arial"/>
                <w:sz w:val="18"/>
                <w:szCs w:val="18"/>
                <w:color w:val="auto"/>
              </w:rPr>
              <w:t>Purchase or Sale of Partnership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7.12</w:t>
            </w:r>
          </w:p>
        </w:tc>
        <w:tc>
          <w:tcPr>
            <w:tcW w:w="8460" w:type="dxa"/>
            <w:vAlign w:val="bottom"/>
          </w:tcPr>
          <w:p>
            <w:pPr>
              <w:ind w:left="300"/>
              <w:spacing w:after="0"/>
              <w:rPr>
                <w:sz w:val="20"/>
                <w:szCs w:val="20"/>
                <w:color w:val="auto"/>
              </w:rPr>
            </w:pPr>
            <w:r>
              <w:rPr>
                <w:rFonts w:ascii="Arial" w:cs="Arial" w:eastAsia="Arial" w:hAnsi="Arial"/>
                <w:sz w:val="18"/>
                <w:szCs w:val="18"/>
                <w:color w:val="auto"/>
              </w:rPr>
              <w:t>Registration Rights of the General Partner and its Affiliates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7.13</w:t>
            </w:r>
          </w:p>
        </w:tc>
        <w:tc>
          <w:tcPr>
            <w:tcW w:w="8460" w:type="dxa"/>
            <w:vAlign w:val="bottom"/>
          </w:tcPr>
          <w:p>
            <w:pPr>
              <w:ind w:left="300"/>
              <w:spacing w:after="0"/>
              <w:rPr>
                <w:sz w:val="20"/>
                <w:szCs w:val="20"/>
                <w:color w:val="auto"/>
              </w:rPr>
            </w:pPr>
            <w:r>
              <w:rPr>
                <w:rFonts w:ascii="Arial" w:cs="Arial" w:eastAsia="Arial" w:hAnsi="Arial"/>
                <w:sz w:val="18"/>
                <w:szCs w:val="18"/>
                <w:color w:val="auto"/>
              </w:rPr>
              <w:t>Reliance by Third Parties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rPr>
              <w:t>ARTICLE VIII</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4"/>
              </w:rPr>
              <w:t>BOOKS, RECORDS, ACCOUNTING AND REPORTS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8.1</w:t>
            </w:r>
          </w:p>
        </w:tc>
        <w:tc>
          <w:tcPr>
            <w:tcW w:w="8460" w:type="dxa"/>
            <w:vAlign w:val="bottom"/>
          </w:tcPr>
          <w:p>
            <w:pPr>
              <w:ind w:left="300"/>
              <w:spacing w:after="0"/>
              <w:rPr>
                <w:sz w:val="20"/>
                <w:szCs w:val="20"/>
                <w:color w:val="auto"/>
              </w:rPr>
            </w:pPr>
            <w:r>
              <w:rPr>
                <w:rFonts w:ascii="Arial" w:cs="Arial" w:eastAsia="Arial" w:hAnsi="Arial"/>
                <w:sz w:val="18"/>
                <w:szCs w:val="18"/>
                <w:color w:val="auto"/>
              </w:rPr>
              <w:t>Records and Accounting</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8.2</w:t>
            </w:r>
          </w:p>
        </w:tc>
        <w:tc>
          <w:tcPr>
            <w:tcW w:w="8460" w:type="dxa"/>
            <w:vAlign w:val="bottom"/>
          </w:tcPr>
          <w:p>
            <w:pPr>
              <w:ind w:left="300"/>
              <w:spacing w:after="0"/>
              <w:rPr>
                <w:sz w:val="20"/>
                <w:szCs w:val="20"/>
                <w:color w:val="auto"/>
              </w:rPr>
            </w:pPr>
            <w:r>
              <w:rPr>
                <w:rFonts w:ascii="Arial" w:cs="Arial" w:eastAsia="Arial" w:hAnsi="Arial"/>
                <w:sz w:val="18"/>
                <w:szCs w:val="18"/>
                <w:color w:val="auto"/>
              </w:rPr>
              <w:t>Fiscal Year</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8.3</w:t>
            </w:r>
          </w:p>
        </w:tc>
        <w:tc>
          <w:tcPr>
            <w:tcW w:w="8460" w:type="dxa"/>
            <w:vAlign w:val="bottom"/>
          </w:tcPr>
          <w:p>
            <w:pPr>
              <w:ind w:left="300"/>
              <w:spacing w:after="0"/>
              <w:rPr>
                <w:sz w:val="20"/>
                <w:szCs w:val="20"/>
                <w:color w:val="auto"/>
              </w:rPr>
            </w:pPr>
            <w:r>
              <w:rPr>
                <w:rFonts w:ascii="Arial" w:cs="Arial" w:eastAsia="Arial" w:hAnsi="Arial"/>
                <w:sz w:val="18"/>
                <w:szCs w:val="18"/>
                <w:color w:val="auto"/>
              </w:rPr>
              <w:t>Reports</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rPr>
              <w:t>iii</w:t>
            </w:r>
          </w:p>
        </w:tc>
        <w:tc>
          <w:tcPr>
            <w:tcW w:w="172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84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r>
      <w:tr>
        <w:trPr>
          <w:trHeight w:val="766"/>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9"/>
              </w:rPr>
              <w:t>ARTICLE IX</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6"/>
              </w:rPr>
              <w:t>TAX MATTERS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9.1</w:t>
            </w:r>
          </w:p>
        </w:tc>
        <w:tc>
          <w:tcPr>
            <w:tcW w:w="8460" w:type="dxa"/>
            <w:vAlign w:val="bottom"/>
          </w:tcPr>
          <w:p>
            <w:pPr>
              <w:ind w:left="300"/>
              <w:spacing w:after="0"/>
              <w:rPr>
                <w:sz w:val="20"/>
                <w:szCs w:val="20"/>
                <w:color w:val="auto"/>
              </w:rPr>
            </w:pPr>
            <w:r>
              <w:rPr>
                <w:rFonts w:ascii="Arial" w:cs="Arial" w:eastAsia="Arial" w:hAnsi="Arial"/>
                <w:sz w:val="18"/>
                <w:szCs w:val="18"/>
                <w:color w:val="auto"/>
              </w:rPr>
              <w:t>Tax Returns and Information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9.2</w:t>
            </w:r>
          </w:p>
        </w:tc>
        <w:tc>
          <w:tcPr>
            <w:tcW w:w="8460" w:type="dxa"/>
            <w:vAlign w:val="bottom"/>
          </w:tcPr>
          <w:p>
            <w:pPr>
              <w:ind w:left="300"/>
              <w:spacing w:after="0"/>
              <w:rPr>
                <w:sz w:val="20"/>
                <w:szCs w:val="20"/>
                <w:color w:val="auto"/>
              </w:rPr>
            </w:pPr>
            <w:r>
              <w:rPr>
                <w:rFonts w:ascii="Arial" w:cs="Arial" w:eastAsia="Arial" w:hAnsi="Arial"/>
                <w:sz w:val="18"/>
                <w:szCs w:val="18"/>
                <w:color w:val="auto"/>
              </w:rPr>
              <w:t>Tax Elections</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9.3</w:t>
            </w:r>
          </w:p>
        </w:tc>
        <w:tc>
          <w:tcPr>
            <w:tcW w:w="8460" w:type="dxa"/>
            <w:vAlign w:val="bottom"/>
          </w:tcPr>
          <w:p>
            <w:pPr>
              <w:ind w:left="300"/>
              <w:spacing w:after="0"/>
              <w:rPr>
                <w:sz w:val="20"/>
                <w:szCs w:val="20"/>
                <w:color w:val="auto"/>
              </w:rPr>
            </w:pPr>
            <w:r>
              <w:rPr>
                <w:rFonts w:ascii="Arial" w:cs="Arial" w:eastAsia="Arial" w:hAnsi="Arial"/>
                <w:sz w:val="18"/>
                <w:szCs w:val="18"/>
                <w:color w:val="auto"/>
              </w:rPr>
              <w:t>Tax Controversies</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9.4</w:t>
            </w:r>
          </w:p>
        </w:tc>
        <w:tc>
          <w:tcPr>
            <w:tcW w:w="8460" w:type="dxa"/>
            <w:vAlign w:val="bottom"/>
          </w:tcPr>
          <w:p>
            <w:pPr>
              <w:ind w:left="300"/>
              <w:spacing w:after="0"/>
              <w:rPr>
                <w:sz w:val="20"/>
                <w:szCs w:val="20"/>
                <w:color w:val="auto"/>
              </w:rPr>
            </w:pPr>
            <w:r>
              <w:rPr>
                <w:rFonts w:ascii="Arial" w:cs="Arial" w:eastAsia="Arial" w:hAnsi="Arial"/>
                <w:sz w:val="18"/>
                <w:szCs w:val="18"/>
                <w:color w:val="auto"/>
              </w:rPr>
              <w:t>Withholding</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280" w:type="dxa"/>
            <w:vAlign w:val="bottom"/>
          </w:tcPr>
          <w:p>
            <w:pPr>
              <w:spacing w:after="0"/>
              <w:rPr>
                <w:sz w:val="20"/>
                <w:szCs w:val="20"/>
                <w:color w:val="auto"/>
              </w:rPr>
            </w:pPr>
          </w:p>
        </w:tc>
        <w:tc>
          <w:tcPr>
            <w:tcW w:w="8460" w:type="dxa"/>
            <w:vAlign w:val="bottom"/>
          </w:tcPr>
          <w:p>
            <w:pPr>
              <w:ind w:left="2360"/>
              <w:spacing w:after="0"/>
              <w:rPr>
                <w:sz w:val="20"/>
                <w:szCs w:val="20"/>
                <w:color w:val="auto"/>
              </w:rPr>
            </w:pPr>
            <w:r>
              <w:rPr>
                <w:rFonts w:ascii="Arial" w:cs="Arial" w:eastAsia="Arial" w:hAnsi="Arial"/>
                <w:sz w:val="18"/>
                <w:szCs w:val="18"/>
                <w:color w:val="auto"/>
              </w:rPr>
              <w:t>ARTICLE X ADMISSION OF PARTNERS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8460" w:type="dxa"/>
            <w:vAlign w:val="bottom"/>
          </w:tcPr>
          <w:p>
            <w:pPr>
              <w:ind w:left="30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10.2</w:t>
            </w:r>
          </w:p>
        </w:tc>
        <w:tc>
          <w:tcPr>
            <w:tcW w:w="8460" w:type="dxa"/>
            <w:vAlign w:val="bottom"/>
          </w:tcPr>
          <w:p>
            <w:pPr>
              <w:ind w:left="300"/>
              <w:spacing w:after="0"/>
              <w:rPr>
                <w:sz w:val="20"/>
                <w:szCs w:val="20"/>
                <w:color w:val="auto"/>
              </w:rPr>
            </w:pPr>
            <w:r>
              <w:rPr>
                <w:rFonts w:ascii="Arial" w:cs="Arial" w:eastAsia="Arial" w:hAnsi="Arial"/>
                <w:sz w:val="18"/>
                <w:szCs w:val="18"/>
                <w:color w:val="auto"/>
              </w:rPr>
              <w:t>Admission of Substituted Limited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8460" w:type="dxa"/>
            <w:vAlign w:val="bottom"/>
          </w:tcPr>
          <w:p>
            <w:pPr>
              <w:ind w:left="300"/>
              <w:spacing w:after="0"/>
              <w:rPr>
                <w:sz w:val="20"/>
                <w:szCs w:val="20"/>
                <w:color w:val="auto"/>
              </w:rPr>
            </w:pPr>
            <w:r>
              <w:rPr>
                <w:rFonts w:ascii="Arial" w:cs="Arial" w:eastAsia="Arial" w:hAnsi="Arial"/>
                <w:sz w:val="18"/>
                <w:szCs w:val="18"/>
                <w:color w:val="auto"/>
              </w:rPr>
              <w:t>Admission of Successor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10.4</w:t>
            </w:r>
          </w:p>
        </w:tc>
        <w:tc>
          <w:tcPr>
            <w:tcW w:w="8460" w:type="dxa"/>
            <w:vAlign w:val="bottom"/>
          </w:tcPr>
          <w:p>
            <w:pPr>
              <w:ind w:left="300"/>
              <w:spacing w:after="0"/>
              <w:rPr>
                <w:sz w:val="20"/>
                <w:szCs w:val="20"/>
                <w:color w:val="auto"/>
              </w:rPr>
            </w:pPr>
            <w:r>
              <w:rPr>
                <w:rFonts w:ascii="Arial" w:cs="Arial" w:eastAsia="Arial" w:hAnsi="Arial"/>
                <w:sz w:val="18"/>
                <w:szCs w:val="18"/>
                <w:color w:val="auto"/>
              </w:rPr>
              <w:t>Admission of Additional Limited Partners</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10.5</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of Agreement and Certificate of Limited Partnership</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9"/>
              </w:rPr>
              <w:t>ARTICLE XI</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30"/>
              <w:spacing w:after="0"/>
              <w:rPr>
                <w:sz w:val="20"/>
                <w:szCs w:val="20"/>
                <w:color w:val="auto"/>
              </w:rPr>
            </w:pPr>
            <w:r>
              <w:rPr>
                <w:rFonts w:ascii="Arial" w:cs="Arial" w:eastAsia="Arial" w:hAnsi="Arial"/>
                <w:sz w:val="18"/>
                <w:szCs w:val="18"/>
                <w:color w:val="auto"/>
                <w:w w:val="95"/>
              </w:rPr>
              <w:t>WITHDRAWAL OR REMOVAL OF PARTNERS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11.1</w:t>
            </w:r>
          </w:p>
        </w:tc>
        <w:tc>
          <w:tcPr>
            <w:tcW w:w="8460" w:type="dxa"/>
            <w:vAlign w:val="bottom"/>
          </w:tcPr>
          <w:p>
            <w:pPr>
              <w:ind w:left="300"/>
              <w:spacing w:after="0"/>
              <w:rPr>
                <w:sz w:val="20"/>
                <w:szCs w:val="20"/>
                <w:color w:val="auto"/>
              </w:rPr>
            </w:pPr>
            <w:r>
              <w:rPr>
                <w:rFonts w:ascii="Arial" w:cs="Arial" w:eastAsia="Arial" w:hAnsi="Arial"/>
                <w:sz w:val="18"/>
                <w:szCs w:val="18"/>
                <w:color w:val="auto"/>
              </w:rPr>
              <w:t>Withdrawal of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11.2</w:t>
            </w:r>
          </w:p>
        </w:tc>
        <w:tc>
          <w:tcPr>
            <w:tcW w:w="8460" w:type="dxa"/>
            <w:vAlign w:val="bottom"/>
          </w:tcPr>
          <w:p>
            <w:pPr>
              <w:ind w:left="300"/>
              <w:spacing w:after="0"/>
              <w:rPr>
                <w:sz w:val="20"/>
                <w:szCs w:val="20"/>
                <w:color w:val="auto"/>
              </w:rPr>
            </w:pPr>
            <w:r>
              <w:rPr>
                <w:rFonts w:ascii="Arial" w:cs="Arial" w:eastAsia="Arial" w:hAnsi="Arial"/>
                <w:sz w:val="18"/>
                <w:szCs w:val="18"/>
                <w:color w:val="auto"/>
              </w:rPr>
              <w:t>Removal of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11.3</w:t>
            </w:r>
          </w:p>
        </w:tc>
        <w:tc>
          <w:tcPr>
            <w:tcW w:w="8460" w:type="dxa"/>
            <w:vAlign w:val="bottom"/>
          </w:tcPr>
          <w:p>
            <w:pPr>
              <w:ind w:left="300"/>
              <w:spacing w:after="0"/>
              <w:rPr>
                <w:sz w:val="20"/>
                <w:szCs w:val="20"/>
                <w:color w:val="auto"/>
              </w:rPr>
            </w:pPr>
            <w:r>
              <w:rPr>
                <w:rFonts w:ascii="Arial" w:cs="Arial" w:eastAsia="Arial" w:hAnsi="Arial"/>
                <w:sz w:val="18"/>
                <w:szCs w:val="18"/>
                <w:color w:val="auto"/>
              </w:rPr>
              <w:t>Interest of Departing Partner and Successor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11.4</w:t>
            </w:r>
          </w:p>
        </w:tc>
        <w:tc>
          <w:tcPr>
            <w:tcW w:w="8460" w:type="dxa"/>
            <w:vAlign w:val="bottom"/>
          </w:tcPr>
          <w:p>
            <w:pPr>
              <w:ind w:left="30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11.5</w:t>
            </w:r>
          </w:p>
        </w:tc>
        <w:tc>
          <w:tcPr>
            <w:tcW w:w="8460" w:type="dxa"/>
            <w:vAlign w:val="bottom"/>
          </w:tcPr>
          <w:p>
            <w:pPr>
              <w:ind w:left="300"/>
              <w:spacing w:after="0"/>
              <w:rPr>
                <w:sz w:val="20"/>
                <w:szCs w:val="20"/>
                <w:color w:val="auto"/>
              </w:rPr>
            </w:pPr>
            <w:r>
              <w:rPr>
                <w:rFonts w:ascii="Arial" w:cs="Arial" w:eastAsia="Arial" w:hAnsi="Arial"/>
                <w:sz w:val="18"/>
                <w:szCs w:val="18"/>
                <w:color w:val="auto"/>
              </w:rPr>
              <w:t>Withdrawal of Limited Partners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30"/>
              <w:spacing w:after="0"/>
              <w:rPr>
                <w:sz w:val="20"/>
                <w:szCs w:val="20"/>
                <w:color w:val="auto"/>
              </w:rPr>
            </w:pPr>
            <w:r>
              <w:rPr>
                <w:rFonts w:ascii="Arial" w:cs="Arial" w:eastAsia="Arial" w:hAnsi="Arial"/>
                <w:sz w:val="18"/>
                <w:szCs w:val="18"/>
                <w:color w:val="auto"/>
              </w:rPr>
              <w:t>ARTICLE XII</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8"/>
              </w:rPr>
              <w:t>DISSOLUTION AND LIQUIDATION</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12.1</w:t>
            </w:r>
          </w:p>
        </w:tc>
        <w:tc>
          <w:tcPr>
            <w:tcW w:w="8460" w:type="dxa"/>
            <w:vAlign w:val="bottom"/>
          </w:tcPr>
          <w:p>
            <w:pPr>
              <w:ind w:left="300"/>
              <w:spacing w:after="0"/>
              <w:rPr>
                <w:sz w:val="20"/>
                <w:szCs w:val="20"/>
                <w:color w:val="auto"/>
              </w:rPr>
            </w:pPr>
            <w:r>
              <w:rPr>
                <w:rFonts w:ascii="Arial" w:cs="Arial" w:eastAsia="Arial" w:hAnsi="Arial"/>
                <w:sz w:val="18"/>
                <w:szCs w:val="18"/>
                <w:color w:val="auto"/>
              </w:rPr>
              <w:t>Dissolution</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12.2</w:t>
            </w:r>
          </w:p>
        </w:tc>
        <w:tc>
          <w:tcPr>
            <w:tcW w:w="8460" w:type="dxa"/>
            <w:vAlign w:val="bottom"/>
          </w:tcPr>
          <w:p>
            <w:pPr>
              <w:ind w:left="300"/>
              <w:spacing w:after="0"/>
              <w:rPr>
                <w:sz w:val="20"/>
                <w:szCs w:val="20"/>
                <w:color w:val="auto"/>
              </w:rPr>
            </w:pPr>
            <w:r>
              <w:rPr>
                <w:rFonts w:ascii="Arial" w:cs="Arial" w:eastAsia="Arial" w:hAnsi="Arial"/>
                <w:sz w:val="18"/>
                <w:szCs w:val="18"/>
                <w:color w:val="auto"/>
              </w:rPr>
              <w:t>Continuation of the Business of the Partnership After Dissolution</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12.3</w:t>
            </w:r>
          </w:p>
        </w:tc>
        <w:tc>
          <w:tcPr>
            <w:tcW w:w="8460" w:type="dxa"/>
            <w:vAlign w:val="bottom"/>
          </w:tcPr>
          <w:p>
            <w:pPr>
              <w:ind w:left="300"/>
              <w:spacing w:after="0"/>
              <w:rPr>
                <w:sz w:val="20"/>
                <w:szCs w:val="20"/>
                <w:color w:val="auto"/>
              </w:rPr>
            </w:pPr>
            <w:r>
              <w:rPr>
                <w:rFonts w:ascii="Arial" w:cs="Arial" w:eastAsia="Arial" w:hAnsi="Arial"/>
                <w:sz w:val="18"/>
                <w:szCs w:val="18"/>
                <w:color w:val="auto"/>
              </w:rPr>
              <w:t>Liquidator</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12.4</w:t>
            </w:r>
          </w:p>
        </w:tc>
        <w:tc>
          <w:tcPr>
            <w:tcW w:w="8460" w:type="dxa"/>
            <w:vAlign w:val="bottom"/>
          </w:tcPr>
          <w:p>
            <w:pPr>
              <w:ind w:left="300"/>
              <w:spacing w:after="0"/>
              <w:rPr>
                <w:sz w:val="20"/>
                <w:szCs w:val="20"/>
                <w:color w:val="auto"/>
              </w:rPr>
            </w:pPr>
            <w:r>
              <w:rPr>
                <w:rFonts w:ascii="Arial" w:cs="Arial" w:eastAsia="Arial" w:hAnsi="Arial"/>
                <w:sz w:val="18"/>
                <w:szCs w:val="18"/>
                <w:color w:val="auto"/>
              </w:rPr>
              <w:t>Liquidation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12.5</w:t>
            </w:r>
          </w:p>
        </w:tc>
        <w:tc>
          <w:tcPr>
            <w:tcW w:w="8460" w:type="dxa"/>
            <w:vAlign w:val="bottom"/>
          </w:tcPr>
          <w:p>
            <w:pPr>
              <w:ind w:left="300"/>
              <w:spacing w:after="0"/>
              <w:rPr>
                <w:sz w:val="20"/>
                <w:szCs w:val="20"/>
                <w:color w:val="auto"/>
              </w:rPr>
            </w:pPr>
            <w:r>
              <w:rPr>
                <w:rFonts w:ascii="Arial" w:cs="Arial" w:eastAsia="Arial" w:hAnsi="Arial"/>
                <w:sz w:val="18"/>
                <w:szCs w:val="18"/>
                <w:color w:val="auto"/>
              </w:rPr>
              <w:t>Cancellation of Certificate of Limited Partnership</w:t>
            </w:r>
          </w:p>
        </w:tc>
        <w:tc>
          <w:tcPr>
            <w:tcW w:w="17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12.6</w:t>
            </w:r>
          </w:p>
        </w:tc>
        <w:tc>
          <w:tcPr>
            <w:tcW w:w="8460" w:type="dxa"/>
            <w:vAlign w:val="bottom"/>
          </w:tcPr>
          <w:p>
            <w:pPr>
              <w:ind w:left="300"/>
              <w:spacing w:after="0"/>
              <w:rPr>
                <w:sz w:val="20"/>
                <w:szCs w:val="20"/>
                <w:color w:val="auto"/>
              </w:rPr>
            </w:pPr>
            <w:r>
              <w:rPr>
                <w:rFonts w:ascii="Arial" w:cs="Arial" w:eastAsia="Arial" w:hAnsi="Arial"/>
                <w:sz w:val="18"/>
                <w:szCs w:val="18"/>
                <w:color w:val="auto"/>
              </w:rPr>
              <w:t>Return of Contributions</w:t>
            </w:r>
          </w:p>
        </w:tc>
        <w:tc>
          <w:tcPr>
            <w:tcW w:w="17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12.7</w:t>
            </w:r>
          </w:p>
        </w:tc>
        <w:tc>
          <w:tcPr>
            <w:tcW w:w="8460" w:type="dxa"/>
            <w:vAlign w:val="bottom"/>
          </w:tcPr>
          <w:p>
            <w:pPr>
              <w:ind w:left="300"/>
              <w:spacing w:after="0"/>
              <w:rPr>
                <w:sz w:val="20"/>
                <w:szCs w:val="20"/>
                <w:color w:val="auto"/>
              </w:rPr>
            </w:pPr>
            <w:r>
              <w:rPr>
                <w:rFonts w:ascii="Arial" w:cs="Arial" w:eastAsia="Arial" w:hAnsi="Arial"/>
                <w:sz w:val="18"/>
                <w:szCs w:val="18"/>
                <w:color w:val="auto"/>
              </w:rPr>
              <w:t>Waiver of Partition</w:t>
            </w: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12.8</w:t>
            </w:r>
          </w:p>
        </w:tc>
        <w:tc>
          <w:tcPr>
            <w:tcW w:w="8460" w:type="dxa"/>
            <w:vAlign w:val="bottom"/>
          </w:tcPr>
          <w:p>
            <w:pPr>
              <w:ind w:left="300"/>
              <w:spacing w:after="0"/>
              <w:rPr>
                <w:sz w:val="20"/>
                <w:szCs w:val="20"/>
                <w:color w:val="auto"/>
              </w:rPr>
            </w:pPr>
            <w:r>
              <w:rPr>
                <w:rFonts w:ascii="Arial" w:cs="Arial" w:eastAsia="Arial" w:hAnsi="Arial"/>
                <w:sz w:val="18"/>
                <w:szCs w:val="18"/>
                <w:color w:val="auto"/>
              </w:rPr>
              <w:t>Capital Account Restoration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7"/>
              </w:rPr>
              <w:t>ARTICLE XIII AMENDMENT OF PARTNERSHIP AGREEMENT;</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30"/>
              <w:spacing w:after="0"/>
              <w:rPr>
                <w:sz w:val="20"/>
                <w:szCs w:val="20"/>
                <w:color w:val="auto"/>
              </w:rPr>
            </w:pPr>
            <w:r>
              <w:rPr>
                <w:rFonts w:ascii="Arial" w:cs="Arial" w:eastAsia="Arial" w:hAnsi="Arial"/>
                <w:sz w:val="18"/>
                <w:szCs w:val="18"/>
                <w:color w:val="auto"/>
                <w:w w:val="95"/>
              </w:rPr>
              <w:t>MEETINGS; RECORD DATE</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13.1</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to be Adopted Solely by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13.2</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Procedures</w:t>
            </w:r>
          </w:p>
        </w:tc>
        <w:tc>
          <w:tcPr>
            <w:tcW w:w="1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13.3</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Requirements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13.4</w:t>
            </w:r>
          </w:p>
        </w:tc>
        <w:tc>
          <w:tcPr>
            <w:tcW w:w="8460" w:type="dxa"/>
            <w:vAlign w:val="bottom"/>
          </w:tcPr>
          <w:p>
            <w:pPr>
              <w:ind w:left="300"/>
              <w:spacing w:after="0"/>
              <w:rPr>
                <w:sz w:val="20"/>
                <w:szCs w:val="20"/>
                <w:color w:val="auto"/>
              </w:rPr>
            </w:pPr>
            <w:r>
              <w:rPr>
                <w:rFonts w:ascii="Arial" w:cs="Arial" w:eastAsia="Arial" w:hAnsi="Arial"/>
                <w:sz w:val="18"/>
                <w:szCs w:val="18"/>
                <w:color w:val="auto"/>
              </w:rPr>
              <w:t>Meetings</w:t>
            </w:r>
          </w:p>
        </w:tc>
        <w:tc>
          <w:tcPr>
            <w:tcW w:w="1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13.5</w:t>
            </w:r>
          </w:p>
        </w:tc>
        <w:tc>
          <w:tcPr>
            <w:tcW w:w="8460" w:type="dxa"/>
            <w:vAlign w:val="bottom"/>
          </w:tcPr>
          <w:p>
            <w:pPr>
              <w:ind w:left="300"/>
              <w:spacing w:after="0"/>
              <w:rPr>
                <w:sz w:val="20"/>
                <w:szCs w:val="20"/>
                <w:color w:val="auto"/>
              </w:rPr>
            </w:pPr>
            <w:r>
              <w:rPr>
                <w:rFonts w:ascii="Arial" w:cs="Arial" w:eastAsia="Arial" w:hAnsi="Arial"/>
                <w:sz w:val="18"/>
                <w:szCs w:val="18"/>
                <w:color w:val="auto"/>
              </w:rPr>
              <w:t>Notice of a Meeting</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13.6</w:t>
            </w:r>
          </w:p>
        </w:tc>
        <w:tc>
          <w:tcPr>
            <w:tcW w:w="8460" w:type="dxa"/>
            <w:vAlign w:val="bottom"/>
          </w:tcPr>
          <w:p>
            <w:pPr>
              <w:ind w:left="300"/>
              <w:spacing w:after="0"/>
              <w:rPr>
                <w:sz w:val="20"/>
                <w:szCs w:val="20"/>
                <w:color w:val="auto"/>
              </w:rPr>
            </w:pPr>
            <w:r>
              <w:rPr>
                <w:rFonts w:ascii="Arial" w:cs="Arial" w:eastAsia="Arial" w:hAnsi="Arial"/>
                <w:sz w:val="18"/>
                <w:szCs w:val="18"/>
                <w:color w:val="auto"/>
              </w:rPr>
              <w:t>Record Date</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13.7</w:t>
            </w:r>
          </w:p>
        </w:tc>
        <w:tc>
          <w:tcPr>
            <w:tcW w:w="8460" w:type="dxa"/>
            <w:vAlign w:val="bottom"/>
          </w:tcPr>
          <w:p>
            <w:pPr>
              <w:ind w:left="300"/>
              <w:spacing w:after="0"/>
              <w:rPr>
                <w:sz w:val="20"/>
                <w:szCs w:val="20"/>
                <w:color w:val="auto"/>
              </w:rPr>
            </w:pPr>
            <w:r>
              <w:rPr>
                <w:rFonts w:ascii="Arial" w:cs="Arial" w:eastAsia="Arial" w:hAnsi="Arial"/>
                <w:sz w:val="18"/>
                <w:szCs w:val="18"/>
                <w:color w:val="auto"/>
              </w:rPr>
              <w:t>Adjournment</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13.8</w:t>
            </w:r>
          </w:p>
        </w:tc>
        <w:tc>
          <w:tcPr>
            <w:tcW w:w="8460" w:type="dxa"/>
            <w:vAlign w:val="bottom"/>
          </w:tcPr>
          <w:p>
            <w:pPr>
              <w:ind w:left="300"/>
              <w:spacing w:after="0"/>
              <w:rPr>
                <w:sz w:val="20"/>
                <w:szCs w:val="20"/>
                <w:color w:val="auto"/>
              </w:rPr>
            </w:pPr>
            <w:r>
              <w:rPr>
                <w:rFonts w:ascii="Arial" w:cs="Arial" w:eastAsia="Arial" w:hAnsi="Arial"/>
                <w:sz w:val="18"/>
                <w:szCs w:val="18"/>
                <w:color w:val="auto"/>
              </w:rPr>
              <w:t>Waiver of Notice; Approval of Meeting; Approval of Minutes</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2"/>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rPr>
              <w:t>iv</w:t>
            </w:r>
          </w:p>
        </w:tc>
        <w:tc>
          <w:tcPr>
            <w:tcW w:w="172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84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r>
      <w:tr>
        <w:trPr>
          <w:trHeight w:val="766"/>
        </w:trPr>
        <w:tc>
          <w:tcPr>
            <w:tcW w:w="1280" w:type="dxa"/>
            <w:vAlign w:val="bottom"/>
          </w:tcPr>
          <w:p>
            <w:pPr>
              <w:spacing w:after="0"/>
              <w:rPr>
                <w:sz w:val="20"/>
                <w:szCs w:val="20"/>
                <w:color w:val="auto"/>
              </w:rPr>
            </w:pPr>
            <w:r>
              <w:rPr>
                <w:rFonts w:ascii="Arial" w:cs="Arial" w:eastAsia="Arial" w:hAnsi="Arial"/>
                <w:sz w:val="18"/>
                <w:szCs w:val="18"/>
                <w:color w:val="auto"/>
              </w:rPr>
              <w:t>Section 13.9</w:t>
            </w:r>
          </w:p>
        </w:tc>
        <w:tc>
          <w:tcPr>
            <w:tcW w:w="8460" w:type="dxa"/>
            <w:vAlign w:val="bottom"/>
          </w:tcPr>
          <w:p>
            <w:pPr>
              <w:ind w:left="300"/>
              <w:spacing w:after="0"/>
              <w:rPr>
                <w:sz w:val="20"/>
                <w:szCs w:val="20"/>
                <w:color w:val="auto"/>
              </w:rPr>
            </w:pPr>
            <w:r>
              <w:rPr>
                <w:rFonts w:ascii="Arial" w:cs="Arial" w:eastAsia="Arial" w:hAnsi="Arial"/>
                <w:sz w:val="18"/>
                <w:szCs w:val="18"/>
                <w:color w:val="auto"/>
              </w:rPr>
              <w:t>Quorum; Required Vote for Limited Partner Action</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13.10</w:t>
            </w:r>
          </w:p>
        </w:tc>
        <w:tc>
          <w:tcPr>
            <w:tcW w:w="8460" w:type="dxa"/>
            <w:vAlign w:val="bottom"/>
          </w:tcPr>
          <w:p>
            <w:pPr>
              <w:ind w:left="300"/>
              <w:spacing w:after="0"/>
              <w:rPr>
                <w:sz w:val="20"/>
                <w:szCs w:val="20"/>
                <w:color w:val="auto"/>
              </w:rPr>
            </w:pPr>
            <w:r>
              <w:rPr>
                <w:rFonts w:ascii="Arial" w:cs="Arial" w:eastAsia="Arial" w:hAnsi="Arial"/>
                <w:sz w:val="18"/>
                <w:szCs w:val="18"/>
                <w:color w:val="auto"/>
              </w:rPr>
              <w:t>Conduct of a Meeting</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13.11</w:t>
            </w:r>
          </w:p>
        </w:tc>
        <w:tc>
          <w:tcPr>
            <w:tcW w:w="8460" w:type="dxa"/>
            <w:vAlign w:val="bottom"/>
          </w:tcPr>
          <w:p>
            <w:pPr>
              <w:ind w:left="300"/>
              <w:spacing w:after="0"/>
              <w:rPr>
                <w:sz w:val="20"/>
                <w:szCs w:val="20"/>
                <w:color w:val="auto"/>
              </w:rPr>
            </w:pPr>
            <w:r>
              <w:rPr>
                <w:rFonts w:ascii="Arial" w:cs="Arial" w:eastAsia="Arial" w:hAnsi="Arial"/>
                <w:sz w:val="18"/>
                <w:szCs w:val="18"/>
                <w:color w:val="auto"/>
              </w:rPr>
              <w:t>Action Without a Meeting</w:t>
            </w:r>
          </w:p>
        </w:tc>
        <w:tc>
          <w:tcPr>
            <w:tcW w:w="17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13.12</w:t>
            </w:r>
          </w:p>
        </w:tc>
        <w:tc>
          <w:tcPr>
            <w:tcW w:w="8460" w:type="dxa"/>
            <w:vAlign w:val="bottom"/>
          </w:tcPr>
          <w:p>
            <w:pPr>
              <w:ind w:left="300"/>
              <w:spacing w:after="0"/>
              <w:rPr>
                <w:sz w:val="20"/>
                <w:szCs w:val="20"/>
                <w:color w:val="auto"/>
              </w:rPr>
            </w:pPr>
            <w:r>
              <w:rPr>
                <w:rFonts w:ascii="Arial" w:cs="Arial" w:eastAsia="Arial" w:hAnsi="Arial"/>
                <w:sz w:val="18"/>
                <w:szCs w:val="18"/>
                <w:color w:val="auto"/>
              </w:rPr>
              <w:t>Voting and Other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-8114030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-8114030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30" w:name="page31"/>
    <w:bookmarkEnd w:id="30"/>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13.13</w:t>
            </w:r>
          </w:p>
        </w:tc>
        <w:tc>
          <w:tcPr>
            <w:tcW w:w="8220" w:type="dxa"/>
            <w:vAlign w:val="bottom"/>
          </w:tcPr>
          <w:p>
            <w:pPr>
              <w:ind w:left="300"/>
              <w:spacing w:after="0"/>
              <w:rPr>
                <w:sz w:val="20"/>
                <w:szCs w:val="20"/>
                <w:color w:val="auto"/>
              </w:rPr>
            </w:pPr>
            <w:r>
              <w:rPr>
                <w:rFonts w:ascii="Arial" w:cs="Arial" w:eastAsia="Arial" w:hAnsi="Arial"/>
                <w:sz w:val="18"/>
                <w:szCs w:val="18"/>
                <w:color w:val="auto"/>
              </w:rPr>
              <w:t>Pass-Through Nominations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8"/>
        </w:trPr>
        <w:tc>
          <w:tcPr>
            <w:tcW w:w="1280" w:type="dxa"/>
            <w:vAlign w:val="bottom"/>
          </w:tcPr>
          <w:p>
            <w:pPr>
              <w:spacing w:after="0"/>
              <w:rPr>
                <w:sz w:val="24"/>
                <w:szCs w:val="24"/>
                <w:color w:val="auto"/>
              </w:rPr>
            </w:pPr>
          </w:p>
        </w:tc>
        <w:tc>
          <w:tcPr>
            <w:tcW w:w="8220" w:type="dxa"/>
            <w:vAlign w:val="bottom"/>
          </w:tcPr>
          <w:p>
            <w:pPr>
              <w:jc w:val="center"/>
              <w:ind w:left="570"/>
              <w:spacing w:after="0"/>
              <w:rPr>
                <w:sz w:val="20"/>
                <w:szCs w:val="20"/>
                <w:color w:val="auto"/>
              </w:rPr>
            </w:pPr>
            <w:r>
              <w:rPr>
                <w:rFonts w:ascii="Arial" w:cs="Arial" w:eastAsia="Arial" w:hAnsi="Arial"/>
                <w:sz w:val="18"/>
                <w:szCs w:val="18"/>
                <w:color w:val="auto"/>
              </w:rPr>
              <w:t>ARTICLE XIV</w:t>
            </w:r>
          </w:p>
        </w:tc>
        <w:tc>
          <w:tcPr>
            <w:tcW w:w="19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220" w:type="dxa"/>
            <w:vAlign w:val="bottom"/>
          </w:tcPr>
          <w:p>
            <w:pPr>
              <w:jc w:val="center"/>
              <w:ind w:left="570"/>
              <w:spacing w:after="0"/>
              <w:rPr>
                <w:sz w:val="20"/>
                <w:szCs w:val="20"/>
                <w:color w:val="auto"/>
              </w:rPr>
            </w:pPr>
            <w:r>
              <w:rPr>
                <w:rFonts w:ascii="Arial" w:cs="Arial" w:eastAsia="Arial" w:hAnsi="Arial"/>
                <w:sz w:val="18"/>
                <w:szCs w:val="18"/>
                <w:color w:val="auto"/>
                <w:w w:val="96"/>
              </w:rPr>
              <w:t>MERGER</w:t>
            </w:r>
          </w:p>
        </w:tc>
        <w:tc>
          <w:tcPr>
            <w:tcW w:w="19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14.1</w:t>
            </w:r>
          </w:p>
        </w:tc>
        <w:tc>
          <w:tcPr>
            <w:tcW w:w="8220" w:type="dxa"/>
            <w:vAlign w:val="bottom"/>
          </w:tcPr>
          <w:p>
            <w:pPr>
              <w:ind w:left="300"/>
              <w:spacing w:after="0"/>
              <w:rPr>
                <w:sz w:val="20"/>
                <w:szCs w:val="20"/>
                <w:color w:val="auto"/>
              </w:rPr>
            </w:pPr>
            <w:r>
              <w:rPr>
                <w:rFonts w:ascii="Arial" w:cs="Arial" w:eastAsia="Arial" w:hAnsi="Arial"/>
                <w:sz w:val="18"/>
                <w:szCs w:val="18"/>
                <w:color w:val="auto"/>
              </w:rPr>
              <w:t>Authority</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14.2</w:t>
            </w:r>
          </w:p>
        </w:tc>
        <w:tc>
          <w:tcPr>
            <w:tcW w:w="8220" w:type="dxa"/>
            <w:vAlign w:val="bottom"/>
          </w:tcPr>
          <w:p>
            <w:pPr>
              <w:ind w:left="300"/>
              <w:spacing w:after="0"/>
              <w:rPr>
                <w:sz w:val="20"/>
                <w:szCs w:val="20"/>
                <w:color w:val="auto"/>
              </w:rPr>
            </w:pPr>
            <w:r>
              <w:rPr>
                <w:rFonts w:ascii="Arial" w:cs="Arial" w:eastAsia="Arial" w:hAnsi="Arial"/>
                <w:sz w:val="18"/>
                <w:szCs w:val="18"/>
                <w:color w:val="auto"/>
              </w:rPr>
              <w:t>Procedure for Merger or Consolidation</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14.3</w:t>
            </w:r>
          </w:p>
        </w:tc>
        <w:tc>
          <w:tcPr>
            <w:tcW w:w="8220" w:type="dxa"/>
            <w:vAlign w:val="bottom"/>
          </w:tcPr>
          <w:p>
            <w:pPr>
              <w:ind w:left="300"/>
              <w:spacing w:after="0"/>
              <w:rPr>
                <w:sz w:val="20"/>
                <w:szCs w:val="20"/>
                <w:color w:val="auto"/>
              </w:rPr>
            </w:pPr>
            <w:r>
              <w:rPr>
                <w:rFonts w:ascii="Arial" w:cs="Arial" w:eastAsia="Arial" w:hAnsi="Arial"/>
                <w:sz w:val="18"/>
                <w:szCs w:val="18"/>
                <w:color w:val="auto"/>
              </w:rPr>
              <w:t>Approval by Limited Partners of Merger or Consolidation</w:t>
            </w:r>
          </w:p>
        </w:tc>
        <w:tc>
          <w:tcPr>
            <w:tcW w:w="1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14.4</w:t>
            </w:r>
          </w:p>
        </w:tc>
        <w:tc>
          <w:tcPr>
            <w:tcW w:w="8220" w:type="dxa"/>
            <w:vAlign w:val="bottom"/>
          </w:tcPr>
          <w:p>
            <w:pPr>
              <w:ind w:left="300"/>
              <w:spacing w:after="0"/>
              <w:rPr>
                <w:sz w:val="20"/>
                <w:szCs w:val="20"/>
                <w:color w:val="auto"/>
              </w:rPr>
            </w:pPr>
            <w:r>
              <w:rPr>
                <w:rFonts w:ascii="Arial" w:cs="Arial" w:eastAsia="Arial" w:hAnsi="Arial"/>
                <w:sz w:val="18"/>
                <w:szCs w:val="18"/>
                <w:color w:val="auto"/>
              </w:rPr>
              <w:t>Certificate of Merger</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14.5</w:t>
            </w:r>
          </w:p>
        </w:tc>
        <w:tc>
          <w:tcPr>
            <w:tcW w:w="8220" w:type="dxa"/>
            <w:vAlign w:val="bottom"/>
          </w:tcPr>
          <w:p>
            <w:pPr>
              <w:ind w:left="300"/>
              <w:spacing w:after="0"/>
              <w:rPr>
                <w:sz w:val="20"/>
                <w:szCs w:val="20"/>
                <w:color w:val="auto"/>
              </w:rPr>
            </w:pPr>
            <w:r>
              <w:rPr>
                <w:rFonts w:ascii="Arial" w:cs="Arial" w:eastAsia="Arial" w:hAnsi="Arial"/>
                <w:sz w:val="18"/>
                <w:szCs w:val="18"/>
                <w:color w:val="auto"/>
              </w:rPr>
              <w:t>Effect of Merger</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8"/>
        </w:trPr>
        <w:tc>
          <w:tcPr>
            <w:tcW w:w="1280" w:type="dxa"/>
            <w:vAlign w:val="bottom"/>
          </w:tcPr>
          <w:p>
            <w:pPr>
              <w:spacing w:after="0"/>
              <w:rPr>
                <w:sz w:val="24"/>
                <w:szCs w:val="24"/>
                <w:color w:val="auto"/>
              </w:rPr>
            </w:pPr>
          </w:p>
        </w:tc>
        <w:tc>
          <w:tcPr>
            <w:tcW w:w="8220" w:type="dxa"/>
            <w:vAlign w:val="bottom"/>
          </w:tcPr>
          <w:p>
            <w:pPr>
              <w:jc w:val="center"/>
              <w:ind w:left="550"/>
              <w:spacing w:after="0"/>
              <w:rPr>
                <w:sz w:val="20"/>
                <w:szCs w:val="20"/>
                <w:color w:val="auto"/>
              </w:rPr>
            </w:pPr>
            <w:r>
              <w:rPr>
                <w:rFonts w:ascii="Arial" w:cs="Arial" w:eastAsia="Arial" w:hAnsi="Arial"/>
                <w:sz w:val="18"/>
                <w:szCs w:val="18"/>
                <w:color w:val="auto"/>
              </w:rPr>
              <w:t>ARTICLE XV</w:t>
            </w:r>
          </w:p>
        </w:tc>
        <w:tc>
          <w:tcPr>
            <w:tcW w:w="19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220" w:type="dxa"/>
            <w:vAlign w:val="bottom"/>
          </w:tcPr>
          <w:p>
            <w:pPr>
              <w:jc w:val="center"/>
              <w:ind w:left="550"/>
              <w:spacing w:after="0"/>
              <w:rPr>
                <w:sz w:val="20"/>
                <w:szCs w:val="20"/>
                <w:color w:val="auto"/>
              </w:rPr>
            </w:pPr>
            <w:r>
              <w:rPr>
                <w:rFonts w:ascii="Arial" w:cs="Arial" w:eastAsia="Arial" w:hAnsi="Arial"/>
                <w:sz w:val="18"/>
                <w:szCs w:val="18"/>
                <w:color w:val="auto"/>
                <w:w w:val="96"/>
              </w:rPr>
              <w:t>RIGHT TO ACQUIRE LIMITED PARTNER INTERESTS</w:t>
            </w:r>
          </w:p>
        </w:tc>
        <w:tc>
          <w:tcPr>
            <w:tcW w:w="192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15.1</w:t>
            </w:r>
          </w:p>
        </w:tc>
        <w:tc>
          <w:tcPr>
            <w:tcW w:w="8220" w:type="dxa"/>
            <w:vAlign w:val="bottom"/>
          </w:tcPr>
          <w:p>
            <w:pPr>
              <w:ind w:left="300"/>
              <w:spacing w:after="0"/>
              <w:rPr>
                <w:sz w:val="20"/>
                <w:szCs w:val="20"/>
                <w:color w:val="auto"/>
              </w:rPr>
            </w:pPr>
            <w:r>
              <w:rPr>
                <w:rFonts w:ascii="Arial" w:cs="Arial" w:eastAsia="Arial" w:hAnsi="Arial"/>
                <w:sz w:val="18"/>
                <w:szCs w:val="18"/>
                <w:color w:val="auto"/>
              </w:rPr>
              <w:t>Right to Acquire Limited Partner Interests</w:t>
            </w:r>
          </w:p>
        </w:tc>
        <w:tc>
          <w:tcPr>
            <w:tcW w:w="1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18"/>
        </w:trPr>
        <w:tc>
          <w:tcPr>
            <w:tcW w:w="1280" w:type="dxa"/>
            <w:vAlign w:val="bottom"/>
          </w:tcPr>
          <w:p>
            <w:pPr>
              <w:spacing w:after="0"/>
              <w:rPr>
                <w:sz w:val="24"/>
                <w:szCs w:val="24"/>
                <w:color w:val="auto"/>
              </w:rPr>
            </w:pPr>
          </w:p>
        </w:tc>
        <w:tc>
          <w:tcPr>
            <w:tcW w:w="8220" w:type="dxa"/>
            <w:vAlign w:val="bottom"/>
          </w:tcPr>
          <w:p>
            <w:pPr>
              <w:jc w:val="center"/>
              <w:ind w:left="570"/>
              <w:spacing w:after="0"/>
              <w:rPr>
                <w:sz w:val="20"/>
                <w:szCs w:val="20"/>
                <w:color w:val="auto"/>
              </w:rPr>
            </w:pPr>
            <w:r>
              <w:rPr>
                <w:rFonts w:ascii="Arial" w:cs="Arial" w:eastAsia="Arial" w:hAnsi="Arial"/>
                <w:sz w:val="18"/>
                <w:szCs w:val="18"/>
                <w:color w:val="auto"/>
              </w:rPr>
              <w:t>ARTICLE XVI</w:t>
            </w:r>
          </w:p>
        </w:tc>
        <w:tc>
          <w:tcPr>
            <w:tcW w:w="19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220" w:type="dxa"/>
            <w:vAlign w:val="bottom"/>
          </w:tcPr>
          <w:p>
            <w:pPr>
              <w:jc w:val="center"/>
              <w:ind w:left="550"/>
              <w:spacing w:after="0"/>
              <w:rPr>
                <w:sz w:val="20"/>
                <w:szCs w:val="20"/>
                <w:color w:val="auto"/>
              </w:rPr>
            </w:pPr>
            <w:r>
              <w:rPr>
                <w:rFonts w:ascii="Arial" w:cs="Arial" w:eastAsia="Arial" w:hAnsi="Arial"/>
                <w:sz w:val="18"/>
                <w:szCs w:val="18"/>
                <w:color w:val="auto"/>
                <w:w w:val="95"/>
              </w:rPr>
              <w:t>GENERAL PROVISIONS</w:t>
            </w:r>
          </w:p>
        </w:tc>
        <w:tc>
          <w:tcPr>
            <w:tcW w:w="19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16.1</w:t>
            </w:r>
          </w:p>
        </w:tc>
        <w:tc>
          <w:tcPr>
            <w:tcW w:w="8220" w:type="dxa"/>
            <w:vAlign w:val="bottom"/>
          </w:tcPr>
          <w:p>
            <w:pPr>
              <w:ind w:left="300"/>
              <w:spacing w:after="0"/>
              <w:rPr>
                <w:sz w:val="20"/>
                <w:szCs w:val="20"/>
                <w:color w:val="auto"/>
              </w:rPr>
            </w:pPr>
            <w:r>
              <w:rPr>
                <w:rFonts w:ascii="Arial" w:cs="Arial" w:eastAsia="Arial" w:hAnsi="Arial"/>
                <w:sz w:val="18"/>
                <w:szCs w:val="18"/>
                <w:color w:val="auto"/>
              </w:rPr>
              <w:t>Addresses and 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16.2</w:t>
            </w:r>
          </w:p>
        </w:tc>
        <w:tc>
          <w:tcPr>
            <w:tcW w:w="8220" w:type="dxa"/>
            <w:vAlign w:val="bottom"/>
          </w:tcPr>
          <w:p>
            <w:pPr>
              <w:ind w:left="300"/>
              <w:spacing w:after="0"/>
              <w:rPr>
                <w:sz w:val="20"/>
                <w:szCs w:val="20"/>
                <w:color w:val="auto"/>
              </w:rPr>
            </w:pPr>
            <w:r>
              <w:rPr>
                <w:rFonts w:ascii="Arial" w:cs="Arial" w:eastAsia="Arial" w:hAnsi="Arial"/>
                <w:sz w:val="18"/>
                <w:szCs w:val="18"/>
                <w:color w:val="auto"/>
              </w:rPr>
              <w:t>Further Action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16.3</w:t>
            </w:r>
          </w:p>
        </w:tc>
        <w:tc>
          <w:tcPr>
            <w:tcW w:w="8220" w:type="dxa"/>
            <w:vAlign w:val="bottom"/>
          </w:tcPr>
          <w:p>
            <w:pPr>
              <w:ind w:left="300"/>
              <w:spacing w:after="0"/>
              <w:rPr>
                <w:sz w:val="20"/>
                <w:szCs w:val="20"/>
                <w:color w:val="auto"/>
              </w:rPr>
            </w:pPr>
            <w:r>
              <w:rPr>
                <w:rFonts w:ascii="Arial" w:cs="Arial" w:eastAsia="Arial" w:hAnsi="Arial"/>
                <w:sz w:val="18"/>
                <w:szCs w:val="18"/>
                <w:color w:val="auto"/>
              </w:rPr>
              <w:t>Binding Effect</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16.4</w:t>
            </w:r>
          </w:p>
        </w:tc>
        <w:tc>
          <w:tcPr>
            <w:tcW w:w="8220" w:type="dxa"/>
            <w:vAlign w:val="bottom"/>
          </w:tcPr>
          <w:p>
            <w:pPr>
              <w:ind w:left="300"/>
              <w:spacing w:after="0"/>
              <w:rPr>
                <w:sz w:val="20"/>
                <w:szCs w:val="20"/>
                <w:color w:val="auto"/>
              </w:rPr>
            </w:pPr>
            <w:r>
              <w:rPr>
                <w:rFonts w:ascii="Arial" w:cs="Arial" w:eastAsia="Arial" w:hAnsi="Arial"/>
                <w:sz w:val="18"/>
                <w:szCs w:val="18"/>
                <w:color w:val="auto"/>
              </w:rPr>
              <w:t>Integration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16.5</w:t>
            </w:r>
          </w:p>
        </w:tc>
        <w:tc>
          <w:tcPr>
            <w:tcW w:w="8220" w:type="dxa"/>
            <w:vAlign w:val="bottom"/>
          </w:tcPr>
          <w:p>
            <w:pPr>
              <w:ind w:left="300"/>
              <w:spacing w:after="0"/>
              <w:rPr>
                <w:sz w:val="20"/>
                <w:szCs w:val="20"/>
                <w:color w:val="auto"/>
              </w:rPr>
            </w:pPr>
            <w:r>
              <w:rPr>
                <w:rFonts w:ascii="Arial" w:cs="Arial" w:eastAsia="Arial" w:hAnsi="Arial"/>
                <w:sz w:val="18"/>
                <w:szCs w:val="18"/>
                <w:color w:val="auto"/>
              </w:rPr>
              <w:t>Creditors</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16.6</w:t>
            </w:r>
          </w:p>
        </w:tc>
        <w:tc>
          <w:tcPr>
            <w:tcW w:w="8220" w:type="dxa"/>
            <w:vAlign w:val="bottom"/>
          </w:tcPr>
          <w:p>
            <w:pPr>
              <w:ind w:left="300"/>
              <w:spacing w:after="0"/>
              <w:rPr>
                <w:sz w:val="20"/>
                <w:szCs w:val="20"/>
                <w:color w:val="auto"/>
              </w:rPr>
            </w:pPr>
            <w:r>
              <w:rPr>
                <w:rFonts w:ascii="Arial" w:cs="Arial" w:eastAsia="Arial" w:hAnsi="Arial"/>
                <w:sz w:val="18"/>
                <w:szCs w:val="18"/>
                <w:color w:val="auto"/>
              </w:rPr>
              <w:t>Waiver</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16.7</w:t>
            </w:r>
          </w:p>
        </w:tc>
        <w:tc>
          <w:tcPr>
            <w:tcW w:w="822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16.8</w:t>
            </w:r>
          </w:p>
        </w:tc>
        <w:tc>
          <w:tcPr>
            <w:tcW w:w="8220" w:type="dxa"/>
            <w:vAlign w:val="bottom"/>
          </w:tcPr>
          <w:p>
            <w:pPr>
              <w:ind w:left="300"/>
              <w:spacing w:after="0"/>
              <w:rPr>
                <w:sz w:val="20"/>
                <w:szCs w:val="20"/>
                <w:color w:val="auto"/>
              </w:rPr>
            </w:pPr>
            <w:r>
              <w:rPr>
                <w:rFonts w:ascii="Arial" w:cs="Arial" w:eastAsia="Arial" w:hAnsi="Arial"/>
                <w:sz w:val="18"/>
                <w:szCs w:val="18"/>
                <w:color w:val="auto"/>
              </w:rPr>
              <w:t>Applicable Law; Forum; Venue and Jurisdiction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16.9</w:t>
            </w:r>
          </w:p>
        </w:tc>
        <w:tc>
          <w:tcPr>
            <w:tcW w:w="8220" w:type="dxa"/>
            <w:vAlign w:val="bottom"/>
          </w:tcPr>
          <w:p>
            <w:pPr>
              <w:ind w:left="300"/>
              <w:spacing w:after="0"/>
              <w:rPr>
                <w:sz w:val="20"/>
                <w:szCs w:val="20"/>
                <w:color w:val="auto"/>
              </w:rPr>
            </w:pPr>
            <w:r>
              <w:rPr>
                <w:rFonts w:ascii="Arial" w:cs="Arial" w:eastAsia="Arial" w:hAnsi="Arial"/>
                <w:sz w:val="18"/>
                <w:szCs w:val="18"/>
                <w:color w:val="auto"/>
              </w:rPr>
              <w:t>Invalidity of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16.10</w:t>
            </w:r>
          </w:p>
        </w:tc>
        <w:tc>
          <w:tcPr>
            <w:tcW w:w="8220" w:type="dxa"/>
            <w:vAlign w:val="bottom"/>
          </w:tcPr>
          <w:p>
            <w:pPr>
              <w:ind w:left="300"/>
              <w:spacing w:after="0"/>
              <w:rPr>
                <w:sz w:val="20"/>
                <w:szCs w:val="20"/>
                <w:color w:val="auto"/>
              </w:rPr>
            </w:pPr>
            <w:r>
              <w:rPr>
                <w:rFonts w:ascii="Arial" w:cs="Arial" w:eastAsia="Arial" w:hAnsi="Arial"/>
                <w:sz w:val="18"/>
                <w:szCs w:val="18"/>
                <w:color w:val="auto"/>
              </w:rPr>
              <w:t>Consent of Partners</w:t>
            </w:r>
          </w:p>
        </w:tc>
        <w:tc>
          <w:tcPr>
            <w:tcW w:w="192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 AGREEMENT OF LIMITED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SIXTH AMENDED AND RESTATED AGREEMENT OF LIMITED PARTNERSHIP OF PLAINS ALL AMERICAN PIPELINE, L.P. dated as of [·], 2016, effective on the date hereof, except with respect to Section 6.1(d)(xii), which is effective as of January 1, 2016, is entered into by and among PAA GP LLC, a Delaware limited liability company, as the General Partner, and the additional Persons that are or become Partners of the Partnership as provided herein.</w:t>
      </w:r>
    </w:p>
    <w:p>
      <w:pPr>
        <w:spacing w:after="0" w:line="187"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 xml:space="preserve">WHEREAS, the General Partner and the other parties thereto entered into that certain Fifth Amended and Restated Agreement of Limited Partnership of the Partnership dated as of January 28, 2016 (as subsequently amended, the </w:t>
      </w:r>
      <w:r>
        <w:rPr>
          <w:rFonts w:ascii="Arial" w:cs="Arial" w:eastAsia="Arial" w:hAnsi="Arial"/>
          <w:sz w:val="17"/>
          <w:szCs w:val="17"/>
          <w:i w:val="1"/>
          <w:iCs w:val="1"/>
          <w:color w:val="auto"/>
        </w:rPr>
        <w:t>“Fifth A&amp;R LP Agreement”</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General Partner effected Amendment No. 1 to the Fifth A&amp;R LP Agreement on July 10, 2016;</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WHEREAS, the Partnership, the General Partner, PAGP GP and certain other parties thereto entered into that certain Simplification Agreement, dated as of July 11, 2016 (the “</w:t>
      </w:r>
      <w:r>
        <w:rPr>
          <w:rFonts w:ascii="Arial" w:cs="Arial" w:eastAsia="Arial" w:hAnsi="Arial"/>
          <w:sz w:val="18"/>
          <w:szCs w:val="18"/>
          <w:i w:val="1"/>
          <w:iCs w:val="1"/>
          <w:color w:val="auto"/>
        </w:rPr>
        <w:t>Simplification Agreement</w:t>
      </w:r>
      <w:r>
        <w:rPr>
          <w:rFonts w:ascii="Arial" w:cs="Arial" w:eastAsia="Arial" w:hAnsi="Arial"/>
          <w:sz w:val="18"/>
          <w:szCs w:val="18"/>
          <w:color w:val="auto"/>
        </w:rPr>
        <w:t>”), pursuant to which, among other things, the Partnership issued Common Units (as defined below) to Plains AAP (as defined below) and assumed the outstanding debt under Plains AAP’s credit facility in exchange for (i) Plains AAP’s direct interest in the incentive distribution rights of the Partnership; and (ii) Plains AAP’s indirect interest in the 2.0% economic rights associated with the General Partner’s interest in the Partnership;</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General Partner has determined that each of the amendments set forth herein does not adversely affect the Limited Partners (as defined below) in any material respect; and</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WHEREAS, the General Partner desires to amend and restate the Fifth A&amp;R LP Agreement in its entirety in accordance with Section 13.1 of the Fifth A&amp;R LP Agreement to implement and reflect certain actions taken pursuant and related to the Simplification Agreement and such other changes as the General Partner has determined are necessary and appropriate and Plains AAP as holder of the incentive distribution rights has consented to such amendment.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NOW, THEREFORE, the General Partner does hereby amend and restate the Fifth A&amp;R LP Agreement to provide,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The following definitions shall be for all purposes, unless otherwise clearly indicated to the contrary, applied to the terms used in this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“2001 GP Transfer Agreement” </w:t>
      </w:r>
      <w:r>
        <w:rPr>
          <w:rFonts w:ascii="Arial" w:cs="Arial" w:eastAsia="Arial" w:hAnsi="Arial"/>
          <w:sz w:val="18"/>
          <w:szCs w:val="18"/>
          <w:color w:val="auto"/>
        </w:rPr>
        <w:t>means the Contribution, Assignment and Amendment Agreement, dated as of June 8, 2001, among the 2001</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General Partner, the 2007 Predecessor General Partner and Plains All American GP LLC.</w:t>
      </w:r>
    </w:p>
    <w:p>
      <w:pPr>
        <w:sectPr>
          <w:pgSz w:w="11900" w:h="16929" w:orient="portrait"/>
          <w:cols w:equalWidth="0" w:num="1">
            <w:col w:w="11420"/>
          </w:cols>
          <w:pgMar w:left="240" w:top="125" w:right="239" w:bottom="0" w:gutter="0" w:footer="0" w:header="0"/>
        </w:sectPr>
      </w:pPr>
    </w:p>
    <w:bookmarkStart w:id="31" w:name="page32"/>
    <w:bookmarkEnd w:id="31"/>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“2001 Predecessor General Partner” </w:t>
      </w:r>
      <w:r>
        <w:rPr>
          <w:rFonts w:ascii="Arial" w:cs="Arial" w:eastAsia="Arial" w:hAnsi="Arial"/>
          <w:sz w:val="18"/>
          <w:szCs w:val="18"/>
          <w:color w:val="auto"/>
        </w:rPr>
        <w:t>means Plains All American Inc., in its capacity as the general partner of the Partnership prior to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Interest to the 2007 Predecessor General Partner pursuant to the 2001 GP Transfer Agreement.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“2007 GP Transfer Agreement” </w:t>
      </w:r>
      <w:r>
        <w:rPr>
          <w:rFonts w:ascii="Arial" w:cs="Arial" w:eastAsia="Arial" w:hAnsi="Arial"/>
          <w:sz w:val="18"/>
          <w:szCs w:val="18"/>
          <w:color w:val="auto"/>
        </w:rPr>
        <w:t>means the Contribution and Assumption Agreement, dated as of December 28, 2007, by and between the 2007</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General Partner and the General Partner.</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“2007 Predecessor General Partner” </w:t>
      </w:r>
      <w:r>
        <w:rPr>
          <w:rFonts w:ascii="Arial" w:cs="Arial" w:eastAsia="Arial" w:hAnsi="Arial"/>
          <w:sz w:val="18"/>
          <w:szCs w:val="18"/>
          <w:color w:val="auto"/>
        </w:rPr>
        <w:t>means Plains AAP, in its capacity as the general partner of the Partnership (i) after the transfer of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Interest by the 2001 Predecessor General Partner pursuant to the 2001 GP Transfer Agreement and (ii) prior to the transfer of the General Partner Interest to the General Partner pursuant to the 2007 GP Transfer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Common Units</w:t>
      </w:r>
      <w:r>
        <w:rPr>
          <w:rFonts w:ascii="Arial" w:cs="Arial" w:eastAsia="Arial" w:hAnsi="Arial"/>
          <w:sz w:val="18"/>
          <w:szCs w:val="18"/>
          <w:color w:val="auto"/>
        </w:rPr>
        <w:t>” means Common Units held by Plains AAP or any Affiliate of Plains AAP.</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“Acquisition” </w:t>
      </w:r>
      <w:r>
        <w:rPr>
          <w:rFonts w:ascii="Arial" w:cs="Arial" w:eastAsia="Arial" w:hAnsi="Arial"/>
          <w:sz w:val="17"/>
          <w:szCs w:val="17"/>
          <w:color w:val="auto"/>
        </w:rPr>
        <w:t>means any transaction in which any Group Member acquires (through an asset acquisition, merger, stock acquisition or other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“Additional Limited Partner” </w:t>
      </w:r>
      <w:r>
        <w:rPr>
          <w:rFonts w:ascii="Arial" w:cs="Arial" w:eastAsia="Arial" w:hAnsi="Arial"/>
          <w:sz w:val="18"/>
          <w:szCs w:val="18"/>
          <w:color w:val="auto"/>
        </w:rPr>
        <w:t>means a Person admitted to the Partnership as a Limited Partner pursuant to Section 10.4 and who is shown as such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books and records of the Partnership.</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“Adjusted Capital Account” </w:t>
      </w:r>
      <w:r>
        <w:rPr>
          <w:rFonts w:ascii="Arial" w:cs="Arial" w:eastAsia="Arial" w:hAnsi="Arial"/>
          <w:sz w:val="16"/>
          <w:szCs w:val="16"/>
          <w:color w:val="auto"/>
        </w:rPr>
        <w:t>means the Capital Account maintained for each Partner as of the end of each fiscal year of the Partnership, (a)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w:t>
      </w:r>
      <w:r>
        <w:rPr>
          <w:rFonts w:ascii="Arial" w:cs="Arial" w:eastAsia="Arial" w:hAnsi="Arial"/>
          <w:sz w:val="16"/>
          <w:szCs w:val="16"/>
          <w:i w:val="1"/>
          <w:iCs w:val="1"/>
          <w:color w:val="auto"/>
        </w:rPr>
        <w:t>“Adjusted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Account” </w:t>
      </w:r>
      <w:r>
        <w:rPr>
          <w:rFonts w:ascii="Arial" w:cs="Arial" w:eastAsia="Arial" w:hAnsi="Arial"/>
          <w:sz w:val="16"/>
          <w:szCs w:val="16"/>
          <w:color w:val="auto"/>
        </w:rPr>
        <w:t>of a Partner in respect of the General Partner Interest, a Common Unit, a Series A Preferred Unit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any other specified interest in the Partnership shall be the amount which such Adjusted Capital Account would be if the General Partner Interest or such Common Unit, Series A Preferred Unit or other interest in the Partnership were the only interest in the Partnership held by a Partner from and after the date on which the General Partner Interest or such Common Unit, Series A Preferred Unit or other interest was first issued.</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“Adjusted Property” </w:t>
      </w:r>
      <w:r>
        <w:rPr>
          <w:rFonts w:ascii="Arial" w:cs="Arial" w:eastAsia="Arial" w:hAnsi="Arial"/>
          <w:sz w:val="17"/>
          <w:szCs w:val="17"/>
          <w:color w:val="auto"/>
        </w:rPr>
        <w:t>means any property the Carrying Value of which has been adjusted pursuant to Section 5.5(d)(i) or 5.5(d)(ii). Once an</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Property is deemed contributed to a new partnership in exchange for an interest in the new partnership, followed by a deemed liquidation of the Partnership for federal income tax purposes upon a termination of the Partnership pursuant to Section 708(b)(1)(B) of the Code, such property shall thereafter constitute a Contributed Property until the Carrying Value of such property is subsequently adjusted pursuant to Section 5.5(d)(i) or 5.5(d)(ii).</w:t>
      </w:r>
    </w:p>
    <w:p>
      <w:pPr>
        <w:spacing w:after="0" w:line="17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means, with respect to any Person, any other Person that directly or indirectly through one or more intermediaries controls, is controlled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or is under common control with, the Person in question. As used herein, the term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 xml:space="preserve">“Agreed Allocation” </w:t>
      </w:r>
      <w:r>
        <w:rPr>
          <w:rFonts w:ascii="Arial" w:cs="Arial" w:eastAsia="Arial" w:hAnsi="Arial"/>
          <w:sz w:val="17"/>
          <w:szCs w:val="17"/>
          <w:color w:val="auto"/>
        </w:rPr>
        <w:t>means any allocation, other than a Required Allocation, of an item of income, gain, loss or deduction pursuant to the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Section 6.1, including, without limitation, a Curative Allocation (if appropriate to the context in which the term </w:t>
      </w:r>
      <w:r>
        <w:rPr>
          <w:rFonts w:ascii="Arial" w:cs="Arial" w:eastAsia="Arial" w:hAnsi="Arial"/>
          <w:sz w:val="17"/>
          <w:szCs w:val="17"/>
          <w:i w:val="1"/>
          <w:iCs w:val="1"/>
          <w:color w:val="auto"/>
        </w:rPr>
        <w:t>“Agreed Allocation”</w:t>
      </w:r>
      <w:r>
        <w:rPr>
          <w:rFonts w:ascii="Arial" w:cs="Arial" w:eastAsia="Arial" w:hAnsi="Arial"/>
          <w:sz w:val="17"/>
          <w:szCs w:val="17"/>
          <w:color w:val="auto"/>
        </w:rPr>
        <w:t xml:space="preserve"> is used).</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“Agreed Value” </w:t>
      </w:r>
      <w:r>
        <w:rPr>
          <w:rFonts w:ascii="Arial" w:cs="Arial" w:eastAsia="Arial" w:hAnsi="Arial"/>
          <w:sz w:val="17"/>
          <w:szCs w:val="17"/>
          <w:color w:val="auto"/>
        </w:rPr>
        <w:t>of any Contributed Property means the fair market value of such property or other consideration at the time of contribution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7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means this Sixth Amended and Restated Agreement of Limited Partnership of Plains All American Pipeline, L.P., as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supplemented or restated from time to time.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“Assignee” </w:t>
      </w:r>
      <w:r>
        <w:rPr>
          <w:rFonts w:ascii="Arial" w:cs="Arial" w:eastAsia="Arial" w:hAnsi="Arial"/>
          <w:sz w:val="18"/>
          <w:szCs w:val="18"/>
          <w:color w:val="auto"/>
        </w:rPr>
        <w:t>means a Non-citizen Assignee or a Person to whom one or more Limited Partner Interests have been transferred in a manner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but who has not been admitted as a Substituted Limited Partner.</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“Associate” </w:t>
      </w:r>
      <w:r>
        <w:rPr>
          <w:rFonts w:ascii="Arial" w:cs="Arial" w:eastAsia="Arial" w:hAnsi="Arial"/>
          <w:sz w:val="18"/>
          <w:szCs w:val="18"/>
          <w:color w:val="auto"/>
        </w:rPr>
        <w:t>means, when used to indicate a relationship with any Person, (a) any corporation or organization of which such Person is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Person, or any relative of such spouse, who has the same principal residence as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“Available Cash” </w:t>
      </w:r>
      <w:r>
        <w:rPr>
          <w:rFonts w:ascii="Arial" w:cs="Arial" w:eastAsia="Arial" w:hAnsi="Arial"/>
          <w:sz w:val="18"/>
          <w:szCs w:val="18"/>
          <w:color w:val="auto"/>
        </w:rPr>
        <w:t>means, with respect to any Quarter ending prior to the Liquidation Date,</w:t>
      </w:r>
    </w:p>
    <w:p>
      <w:pPr>
        <w:sectPr>
          <w:pgSz w:w="11900" w:h="16838" w:orient="portrait"/>
          <w:cols w:equalWidth="0" w:num="1">
            <w:col w:w="11420"/>
          </w:cols>
          <w:pgMar w:left="240" w:top="341" w:right="239" w:bottom="32" w:gutter="0" w:footer="0" w:header="0"/>
        </w:sectPr>
      </w:pPr>
    </w:p>
    <w:bookmarkStart w:id="32" w:name="page33"/>
    <w:bookmarkEnd w:id="32"/>
    <w:p>
      <w:pPr>
        <w:ind w:right="20" w:firstLine="656"/>
        <w:spacing w:after="0" w:line="264" w:lineRule="auto"/>
        <w:tabs>
          <w:tab w:leader="none" w:pos="12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81" w:lineRule="exact"/>
        <w:rPr>
          <w:rFonts w:ascii="Arial" w:cs="Arial" w:eastAsia="Arial" w:hAnsi="Arial"/>
          <w:sz w:val="18"/>
          <w:szCs w:val="18"/>
          <w:color w:val="auto"/>
        </w:rPr>
      </w:pPr>
    </w:p>
    <w:p>
      <w:pPr>
        <w:ind w:right="120" w:firstLine="656"/>
        <w:spacing w:after="0" w:line="271" w:lineRule="auto"/>
        <w:tabs>
          <w:tab w:leader="none" w:pos="130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5.14(b)(i) or distributions to the holders of the Common Units in respect of any one or more of the next four Quarters; provided, however,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i w:val="1"/>
          <w:iCs w:val="1"/>
          <w:color w:val="auto"/>
        </w:rPr>
        <w:t>“Available Cash”</w:t>
      </w:r>
      <w:r>
        <w:rPr>
          <w:rFonts w:ascii="Arial" w:cs="Arial" w:eastAsia="Arial" w:hAnsi="Arial"/>
          <w:sz w:val="18"/>
          <w:szCs w:val="18"/>
          <w:color w:val="auto"/>
        </w:rPr>
        <w:t xml:space="preserve"> with respect to the Quarter in which the Liquidation Date occurs and any subsequent Quarter shall equal zero.</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the Board of Directors of PAGP GP (or the comparable governing body of any successor to the General Partner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entity to PAGP GP that controls the General Partner).</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“Book-Tax Disparity” </w:t>
      </w:r>
      <w:r>
        <w:rPr>
          <w:rFonts w:ascii="Arial" w:cs="Arial" w:eastAsia="Arial" w:hAnsi="Arial"/>
          <w:sz w:val="17"/>
          <w:szCs w:val="17"/>
          <w:color w:val="auto"/>
        </w:rPr>
        <w:t>means with respect to any item of Contributed Property or Adjusted Property, as of the date of any determination,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Monday through Friday of each week, except that a legal holiday recognized as such by the government of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 or the states of New York or Texas shall not be regarded as a Business Day.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“Capital Account” </w:t>
      </w:r>
      <w:r>
        <w:rPr>
          <w:rFonts w:ascii="Arial" w:cs="Arial" w:eastAsia="Arial" w:hAnsi="Arial"/>
          <w:sz w:val="18"/>
          <w:szCs w:val="18"/>
          <w:color w:val="auto"/>
        </w:rPr>
        <w:t>means the capital account maintained for a Partner pursuant to Section 5.5. The</w:t>
      </w:r>
      <w:r>
        <w:rPr>
          <w:rFonts w:ascii="Arial" w:cs="Arial" w:eastAsia="Arial" w:hAnsi="Arial"/>
          <w:sz w:val="18"/>
          <w:szCs w:val="18"/>
          <w:i w:val="1"/>
          <w:iCs w:val="1"/>
          <w:color w:val="auto"/>
        </w:rPr>
        <w:t xml:space="preserve"> “Capital Account” </w:t>
      </w:r>
      <w:r>
        <w:rPr>
          <w:rFonts w:ascii="Arial" w:cs="Arial" w:eastAsia="Arial" w:hAnsi="Arial"/>
          <w:sz w:val="18"/>
          <w:szCs w:val="18"/>
          <w:color w:val="auto"/>
        </w:rPr>
        <w:t>of a Partner in respect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Interest or a Common Unit, a Series A Preferred Unit or any other Partnership Interest shall be the amount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which such Capital Account would be if the General Partner Interest or such Common Unit, Series A Preferred Unit or other Partnership Interest were the only interest in the Partnership held by a Partner from and after the date on which the General Partner Interest or such Common Unit, Series A Preferred Unit or other Partnership Interest was first issued.</w:t>
      </w:r>
    </w:p>
    <w:p>
      <w:pPr>
        <w:spacing w:after="0" w:line="18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i w:val="1"/>
          <w:iCs w:val="1"/>
          <w:color w:val="auto"/>
        </w:rPr>
        <w:t xml:space="preserve">“Capital Contribution” </w:t>
      </w:r>
      <w:r>
        <w:rPr>
          <w:rFonts w:ascii="Arial" w:cs="Arial" w:eastAsia="Arial" w:hAnsi="Arial"/>
          <w:sz w:val="18"/>
          <w:szCs w:val="18"/>
          <w:color w:val="auto"/>
        </w:rPr>
        <w:t>means any cash, cash equivalents or the Net Agreed Value of Contributed Property that a Partner contributes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pursuant to this Agreement or the Contribution and Conveyance Agreement.</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“Capital Improvement” </w:t>
      </w:r>
      <w:r>
        <w:rPr>
          <w:rFonts w:ascii="Arial" w:cs="Arial" w:eastAsia="Arial" w:hAnsi="Arial"/>
          <w:sz w:val="18"/>
          <w:szCs w:val="18"/>
          <w:color w:val="auto"/>
        </w:rPr>
        <w:t>means any (a) addition or improvement to the capital assets owned by any Group Member or (b) acquisition of existing,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construction of new, capital assets (including, without limitation, pipeline systems, terminalling and storage facilities and related assets), in each case made to increase the operating capacity or revenues of the Partnership Group from the operating capacity or revenues of the Partnership Group existing immediately prior to such addition, improvement, acquisition or construction.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Surplus” </w:t>
      </w:r>
      <w:r>
        <w:rPr>
          <w:rFonts w:ascii="Arial" w:cs="Arial" w:eastAsia="Arial" w:hAnsi="Arial"/>
          <w:sz w:val="18"/>
          <w:szCs w:val="18"/>
          <w:color w:val="auto"/>
        </w:rPr>
        <w:t>has the meaning assigned to such term in Section 6.3(a).</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“Carrying Value” </w:t>
      </w:r>
      <w:r>
        <w:rPr>
          <w:rFonts w:ascii="Arial" w:cs="Arial" w:eastAsia="Arial" w:hAnsi="Arial"/>
          <w:sz w:val="16"/>
          <w:szCs w:val="16"/>
          <w:color w:val="auto"/>
        </w:rPr>
        <w:t>means (a) with respect to a Contributed Property, the Agreed Value of such property reduced (but not below zero) by all</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 5.5(d)(ii) and to reflect changes, additions or other adjustments to the Carrying Value for dispositions and acquisitions of Partnership properties, as deemed appropriate by the General Partner.</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a court of competent jurisdiction has entered a final, non-appealable judgment finding the General Partner liable for actual fraud,</w:t>
      </w:r>
      <w:r>
        <w:rPr>
          <w:rFonts w:ascii="Arial" w:cs="Arial" w:eastAsia="Arial" w:hAnsi="Arial"/>
          <w:sz w:val="18"/>
          <w:szCs w:val="18"/>
          <w:i w:val="1"/>
          <w:iCs w:val="1"/>
          <w:color w:val="auto"/>
        </w:rPr>
        <w:t xml:space="preserve"> </w:t>
      </w:r>
      <w:r>
        <w:rPr>
          <w:rFonts w:ascii="Arial" w:cs="Arial" w:eastAsia="Arial" w:hAnsi="Arial"/>
          <w:sz w:val="18"/>
          <w:szCs w:val="18"/>
          <w:color w:val="auto"/>
        </w:rPr>
        <w:t>gross negligence or willful or wanton misconduct in its capacity as general partner of the Partnership.</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“Certificate” </w:t>
      </w:r>
      <w:r>
        <w:rPr>
          <w:rFonts w:ascii="Arial" w:cs="Arial" w:eastAsia="Arial" w:hAnsi="Arial"/>
          <w:sz w:val="18"/>
          <w:szCs w:val="18"/>
          <w:color w:val="auto"/>
        </w:rPr>
        <w:t>means a certificate (i) substantially in the form of Exhibit A to this Agreement with respect to the Common Units, or Exhibit B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respect to the Series A Preferred Units,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“Certificate of Limited Partnership” </w:t>
      </w:r>
      <w:r>
        <w:rPr>
          <w:rFonts w:ascii="Arial" w:cs="Arial" w:eastAsia="Arial" w:hAnsi="Arial"/>
          <w:sz w:val="16"/>
          <w:szCs w:val="16"/>
          <w:color w:val="auto"/>
        </w:rPr>
        <w:t>means the Certificate of Limited Partnership of the Partnership filed with the Secretary of State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as referenced in Section 2.1, as such Certificate of Limited Partnership may be amended, supplemented or restated from time to time.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“Citizenship Certification” </w:t>
      </w:r>
      <w:r>
        <w:rPr>
          <w:rFonts w:ascii="Arial" w:cs="Arial" w:eastAsia="Arial" w:hAnsi="Arial"/>
          <w:sz w:val="18"/>
          <w:szCs w:val="18"/>
          <w:color w:val="auto"/>
        </w:rPr>
        <w:t>means a properly completed certificate in such form as may be specified by the General Partner by which an Assignee or</w:t>
      </w:r>
      <w:r>
        <w:rPr>
          <w:rFonts w:ascii="Arial" w:cs="Arial" w:eastAsia="Arial" w:hAnsi="Arial"/>
          <w:sz w:val="18"/>
          <w:szCs w:val="18"/>
          <w:i w:val="1"/>
          <w:iCs w:val="1"/>
          <w:color w:val="auto"/>
        </w:rPr>
        <w:t xml:space="preserve"> </w:t>
      </w:r>
      <w:r>
        <w:rPr>
          <w:rFonts w:ascii="Arial" w:cs="Arial" w:eastAsia="Arial" w:hAnsi="Arial"/>
          <w:sz w:val="18"/>
          <w:szCs w:val="18"/>
          <w:color w:val="auto"/>
        </w:rPr>
        <w:t>a Limited Partner certifies that 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if he is a nominee holding for the account of another Person, that to the best of his knowledge such other Person) is an Eligible Citizen.</w:t>
      </w:r>
    </w:p>
    <w:p>
      <w:pPr>
        <w:sectPr>
          <w:pgSz w:w="11900" w:h="16838" w:orient="portrait"/>
          <w:cols w:equalWidth="0" w:num="1">
            <w:col w:w="11420"/>
          </w:cols>
          <w:pgMar w:left="240" w:top="125" w:right="239" w:bottom="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 xml:space="preserve">“Claim” </w:t>
      </w:r>
      <w:r>
        <w:rPr>
          <w:rFonts w:ascii="Arial" w:cs="Arial" w:eastAsia="Arial" w:hAnsi="Arial"/>
          <w:sz w:val="18"/>
          <w:szCs w:val="18"/>
          <w:color w:val="auto"/>
        </w:rPr>
        <w:t>has the meaning assigned to such term in Section 7.12(c).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November 23, 1998.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“Closing Price”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in effect from time to time. Any reference herein to a specific section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of the Code shall be deemed to include a reference to any corresponding provision of successor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“Combined Interest” </w:t>
      </w:r>
      <w:r>
        <w:rPr>
          <w:rFonts w:ascii="Arial" w:cs="Arial" w:eastAsia="Arial" w:hAnsi="Arial"/>
          <w:sz w:val="18"/>
          <w:szCs w:val="18"/>
          <w:color w:val="auto"/>
        </w:rPr>
        <w:t>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means the United States Securities and Exchange Commission.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“Common Unit” </w:t>
      </w:r>
      <w:r>
        <w:rPr>
          <w:rFonts w:ascii="Arial" w:cs="Arial" w:eastAsia="Arial" w:hAnsi="Arial"/>
          <w:sz w:val="18"/>
          <w:szCs w:val="18"/>
          <w:color w:val="auto"/>
        </w:rPr>
        <w:t>means a Partnership Security representing a fractional part of the Partnership Interests of all Limited Partners and Assignees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the rights and obligations specified with respect to Common Units in this Agreement. The term “Common Unit” does not include a Series A Preferred Unit prior to its conversion into a Common Unit pursuant to the terms hereof.</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means a committee of the board of directors of the General Partner (or if the General Partner has no board of directors, a</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established by the Board of Directors, directly or pursuant to the governing documents of one of its controlled Affiliates), which committee shall be composed entirely of two or more directors, each of whom (a) except as provided below, is not a director, officer or employee of the General Partner or any of its Affiliates (collectively, the “Designated GP Affiliates”), (b) is not the holder of any ownership interest in the General Partner or any of the Designated GP Affiliates (other than (i) Common Units or (ii) other awards of Partnership Interests that are granted to such director under a long-term incentive plan), except that an individual shall not be precluded from serving on the Conflicts Committee due to the ownership of interests in any of the Designated GP Affiliates, including PAGP, unless the Board of Directors determines, after taking into account the totality of the specific circumstances involving such individual, that such ownership will likely have an adverse impact on the ability of such individual to act in an independent manner with respect to the matter submitted to the Conflicts Committee and (c) is determined by the Board of Directors to be independent under the independence standards for individuals who serve on an audit committee of a board of directors as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 Notwithstanding the foregoing, an individual shall not be disqualified from serving on the Conflicts Committee by virtue of such individual serving as a member of the board of directors of PAGP GP or Plains All American GP LLC (or the governing body of any successor of such entities).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“Contributed Property” </w:t>
      </w:r>
      <w:r>
        <w:rPr>
          <w:rFonts w:ascii="Arial" w:cs="Arial" w:eastAsia="Arial" w:hAnsi="Arial"/>
          <w:sz w:val="18"/>
          <w:szCs w:val="18"/>
          <w:color w:val="auto"/>
        </w:rPr>
        <w:t>means each property or other asset, in such form as may be permitted by the Delaware Act, but excluding cash,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“Contribution and Conveyance Agreement” </w:t>
      </w:r>
      <w:r>
        <w:rPr>
          <w:rFonts w:ascii="Arial" w:cs="Arial" w:eastAsia="Arial" w:hAnsi="Arial"/>
          <w:sz w:val="18"/>
          <w:szCs w:val="18"/>
          <w:color w:val="auto"/>
        </w:rPr>
        <w:t>means that certain Contribution, Conveyance and Assumption Agreement, dated as of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2001 Predecessor General Partner, the Plains Midstream Subsidiaries, the Partnership, the Operating Partnerships and certain other parties, together with the additional conveyance documents and instruments contemplated or referenced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“Curative Allocation” </w:t>
      </w:r>
      <w:r>
        <w:rPr>
          <w:rFonts w:ascii="Arial" w:cs="Arial" w:eastAsia="Arial" w:hAnsi="Arial"/>
          <w:sz w:val="17"/>
          <w:szCs w:val="17"/>
          <w:color w:val="auto"/>
        </w:rPr>
        <w:t>means any allocation of an item of income, gain, deduction, loss or credit pursuant to the provisions of Section 6.1(d)(xi).</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“Current Market Price”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“Delaware Act” </w:t>
      </w:r>
      <w:r>
        <w:rPr>
          <w:rFonts w:ascii="Arial" w:cs="Arial" w:eastAsia="Arial" w:hAnsi="Arial"/>
          <w:sz w:val="18"/>
          <w:szCs w:val="18"/>
          <w:color w:val="auto"/>
        </w:rPr>
        <w:t>means the Delaware Revised Uniform Limited Partnership Act, 6 Del C. § 17-101, et seq., as amended, supplemented or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and any successor to such statute.</w:t>
      </w:r>
    </w:p>
    <w:p>
      <w:pPr>
        <w:spacing w:after="0" w:line="170"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i w:val="1"/>
          <w:iCs w:val="1"/>
          <w:color w:val="auto"/>
        </w:rPr>
        <w:t xml:space="preserve">“Departing Partner” </w:t>
      </w:r>
      <w:r>
        <w:rPr>
          <w:rFonts w:ascii="Arial" w:cs="Arial" w:eastAsia="Arial" w:hAnsi="Arial"/>
          <w:sz w:val="18"/>
          <w:szCs w:val="18"/>
          <w:color w:val="auto"/>
        </w:rPr>
        <w:t>means a former General Partner from and after the effective date of any withdrawal or removal of such former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11.1 or 11.2.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“Depositary” </w:t>
      </w:r>
      <w:r>
        <w:rPr>
          <w:rFonts w:ascii="Arial" w:cs="Arial" w:eastAsia="Arial" w:hAnsi="Arial"/>
          <w:sz w:val="17"/>
          <w:szCs w:val="17"/>
          <w:color w:val="auto"/>
        </w:rPr>
        <w:t>means, with respect to any Units issued in global form, The Depository Trust Company and its successors and permitted assigns.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“Economic Risk of Loss” </w:t>
      </w:r>
      <w:r>
        <w:rPr>
          <w:rFonts w:ascii="Arial" w:cs="Arial" w:eastAsia="Arial" w:hAnsi="Arial"/>
          <w:sz w:val="18"/>
          <w:szCs w:val="18"/>
          <w:color w:val="auto"/>
        </w:rPr>
        <w:t>has the meaning set forth in Treasury Regulation Section 1.752-2(a).</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“Eligible Citizen” </w:t>
      </w:r>
      <w:r>
        <w:rPr>
          <w:rFonts w:ascii="Arial" w:cs="Arial" w:eastAsia="Arial" w:hAnsi="Arial"/>
          <w:sz w:val="18"/>
          <w:szCs w:val="18"/>
          <w:color w:val="auto"/>
        </w:rPr>
        <w:t>means a Person qualified to own interests in real property in jurisdictions in which any Group Member does business or proposes</w:t>
      </w:r>
      <w:r>
        <w:rPr>
          <w:rFonts w:ascii="Arial" w:cs="Arial" w:eastAsia="Arial" w:hAnsi="Arial"/>
          <w:sz w:val="18"/>
          <w:szCs w:val="18"/>
          <w:i w:val="1"/>
          <w:iCs w:val="1"/>
          <w:color w:val="auto"/>
        </w:rPr>
        <w:t xml:space="preserve"> </w:t>
      </w:r>
      <w:r>
        <w:rPr>
          <w:rFonts w:ascii="Arial" w:cs="Arial" w:eastAsia="Arial" w:hAnsi="Arial"/>
          <w:sz w:val="18"/>
          <w:szCs w:val="18"/>
          <w:color w:val="auto"/>
        </w:rPr>
        <w:t>to do business from time to time, and whose status as a Limited Partner or Assignee does not or would not subject such Group Member to a significant risk of cancellation or forfeiture of any of its properties or interest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“Eligible Limited Partners” </w:t>
      </w:r>
      <w:r>
        <w:rPr>
          <w:rFonts w:ascii="Arial" w:cs="Arial" w:eastAsia="Arial" w:hAnsi="Arial"/>
          <w:sz w:val="18"/>
          <w:szCs w:val="18"/>
          <w:color w:val="auto"/>
        </w:rPr>
        <w:t>has the meaning assigned to such term in Section 13.4(c).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Withdrawal” </w:t>
      </w:r>
      <w:r>
        <w:rPr>
          <w:rFonts w:ascii="Arial" w:cs="Arial" w:eastAsia="Arial" w:hAnsi="Arial"/>
          <w:sz w:val="18"/>
          <w:szCs w:val="18"/>
          <w:color w:val="auto"/>
        </w:rPr>
        <w:t>has the meaning assigned to such term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“Existing Owner” </w:t>
      </w:r>
      <w:r>
        <w:rPr>
          <w:rFonts w:ascii="Arial" w:cs="Arial" w:eastAsia="Arial" w:hAnsi="Arial"/>
          <w:sz w:val="18"/>
          <w:szCs w:val="18"/>
          <w:color w:val="auto"/>
        </w:rPr>
        <w:t>means a record holder of a limited partnership interest in Plains AAP as of the Series A Issuance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“Fifth A&amp;R LP Agreement” </w:t>
      </w:r>
      <w:r>
        <w:rPr>
          <w:rFonts w:ascii="Arial" w:cs="Arial" w:eastAsia="Arial" w:hAnsi="Arial"/>
          <w:sz w:val="18"/>
          <w:szCs w:val="18"/>
          <w:color w:val="auto"/>
        </w:rPr>
        <w:t>has the meaning assigned to such term in the recitals.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34" w:name="page35"/>
    <w:bookmarkEnd w:id="34"/>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“General Partner” </w:t>
      </w:r>
      <w:r>
        <w:rPr>
          <w:rFonts w:ascii="Arial" w:cs="Arial" w:eastAsia="Arial" w:hAnsi="Arial"/>
          <w:sz w:val="18"/>
          <w:szCs w:val="18"/>
          <w:color w:val="auto"/>
        </w:rPr>
        <w:t>means PAA GP LLC, as the successor to the 2007 Predecessor General Partner, its successors and permitted assigns as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the Partnership and, if the context otherwise requires, its predecessor in interest.</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“General Partner Interest” </w:t>
      </w:r>
      <w:r>
        <w:rPr>
          <w:rFonts w:ascii="Arial" w:cs="Arial" w:eastAsia="Arial" w:hAnsi="Arial"/>
          <w:sz w:val="17"/>
          <w:szCs w:val="17"/>
          <w:color w:val="auto"/>
        </w:rPr>
        <w:t>means the non-economic ownership interest of the General Partner in the Partnership (in its capacity as a general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reference to any Limited Partner Interest held by it), and includes any and all benefits to which the General Partner is entitled as provided in this Agreement, together with all obligations of the General Partner to comply with the terms and provisions of this Agreement. The General Partner Interest does not include any rights to receive distributions from operations or upon the liquidation or winding up of the Partnership.</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“Group” </w:t>
      </w:r>
      <w:r>
        <w:rPr>
          <w:rFonts w:ascii="Arial" w:cs="Arial" w:eastAsia="Arial" w:hAnsi="Arial"/>
          <w:sz w:val="18"/>
          <w:szCs w:val="18"/>
          <w:color w:val="auto"/>
        </w:rPr>
        <w:t>means a Person that with or through any of its Affiliates or Associates has any agreement, arrangement or understanding for the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“Group Member” </w:t>
      </w:r>
      <w:r>
        <w:rPr>
          <w:rFonts w:ascii="Arial" w:cs="Arial" w:eastAsia="Arial" w:hAnsi="Arial"/>
          <w:sz w:val="18"/>
          <w:szCs w:val="18"/>
          <w:color w:val="auto"/>
        </w:rPr>
        <w:t>means a member of the Partnership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as used in Section 7.12, has the meaning assigned to such term in Section 7.12(a).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“Indemnified Persons” </w:t>
      </w:r>
      <w:r>
        <w:rPr>
          <w:rFonts w:ascii="Arial" w:cs="Arial" w:eastAsia="Arial" w:hAnsi="Arial"/>
          <w:sz w:val="18"/>
          <w:szCs w:val="18"/>
          <w:color w:val="auto"/>
        </w:rPr>
        <w:t>has the meaning assigned to such term in Section 7.12(c).</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“Indemnitee” </w:t>
      </w:r>
      <w:r>
        <w:rPr>
          <w:rFonts w:ascii="Arial" w:cs="Arial" w:eastAsia="Arial" w:hAnsi="Arial"/>
          <w:sz w:val="17"/>
          <w:szCs w:val="17"/>
          <w:color w:val="auto"/>
        </w:rPr>
        <w:t>means (a) the General Partner, (b) any Departing Partner, (c) any Person who is or was an Affiliate of the General Partner or any</w:t>
      </w:r>
      <w:r>
        <w:rPr>
          <w:rFonts w:ascii="Arial" w:cs="Arial" w:eastAsia="Arial" w:hAnsi="Arial"/>
          <w:sz w:val="17"/>
          <w:szCs w:val="17"/>
          <w:i w:val="1"/>
          <w:iCs w:val="1"/>
          <w:color w:val="auto"/>
        </w:rPr>
        <w:t xml:space="preserve"> </w:t>
      </w:r>
      <w:r>
        <w:rPr>
          <w:rFonts w:ascii="Arial" w:cs="Arial" w:eastAsia="Arial" w:hAnsi="Arial"/>
          <w:sz w:val="17"/>
          <w:szCs w:val="17"/>
          <w:color w:val="auto"/>
        </w:rPr>
        <w:t>Departing Partner, (d) any Person who is or was a member, partner, officer, director, employee, agent or trustee of any Group Member, the General Partner, the Operating General Partner, any Departing Partner or any Affiliate of any Group Member, the General Partner, the Operating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Common Units” </w:t>
      </w:r>
      <w:r>
        <w:rPr>
          <w:rFonts w:ascii="Arial" w:cs="Arial" w:eastAsia="Arial" w:hAnsi="Arial"/>
          <w:sz w:val="18"/>
          <w:szCs w:val="18"/>
          <w:color w:val="auto"/>
        </w:rPr>
        <w:t>means the Common Units sold in the Initial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Distribution Period” </w:t>
      </w:r>
      <w:r>
        <w:rPr>
          <w:rFonts w:ascii="Arial" w:cs="Arial" w:eastAsia="Arial" w:hAnsi="Arial"/>
          <w:sz w:val="18"/>
          <w:szCs w:val="18"/>
          <w:color w:val="auto"/>
        </w:rPr>
        <w:t>has the meaning assigned such term in Section 5.14(b)(i)(A).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“Initial Limited Partners” </w:t>
      </w:r>
      <w:r>
        <w:rPr>
          <w:rFonts w:ascii="Arial" w:cs="Arial" w:eastAsia="Arial" w:hAnsi="Arial"/>
          <w:sz w:val="18"/>
          <w:szCs w:val="18"/>
          <w:color w:val="auto"/>
        </w:rPr>
        <w:t>means the 2001 Predecessor General Partner and the Underwriters, in each case upon being admitted to the Partnership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Underwriting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Offering” </w:t>
      </w:r>
      <w:r>
        <w:rPr>
          <w:rFonts w:ascii="Arial" w:cs="Arial" w:eastAsia="Arial" w:hAnsi="Arial"/>
          <w:sz w:val="18"/>
          <w:szCs w:val="18"/>
          <w:color w:val="auto"/>
        </w:rPr>
        <w:t>means the initial offering and sale of Common Units to the public, as described in the Registration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“Initial Unit Price” </w:t>
      </w:r>
      <w:r>
        <w:rPr>
          <w:rFonts w:ascii="Arial" w:cs="Arial" w:eastAsia="Arial" w:hAnsi="Arial"/>
          <w:sz w:val="17"/>
          <w:szCs w:val="17"/>
          <w:color w:val="auto"/>
        </w:rPr>
        <w:t>means (a) $20.00 or (b) with respect to any other class or series of Units, the price per Unit at which such class or series of Units</w:t>
      </w:r>
      <w:r>
        <w:rPr>
          <w:rFonts w:ascii="Arial" w:cs="Arial" w:eastAsia="Arial" w:hAnsi="Arial"/>
          <w:sz w:val="17"/>
          <w:szCs w:val="17"/>
          <w:i w:val="1"/>
          <w:iCs w:val="1"/>
          <w:color w:val="auto"/>
        </w:rPr>
        <w:t xml:space="preserve"> </w:t>
      </w:r>
      <w:r>
        <w:rPr>
          <w:rFonts w:ascii="Arial" w:cs="Arial" w:eastAsia="Arial" w:hAnsi="Arial"/>
          <w:sz w:val="17"/>
          <w:szCs w:val="17"/>
          <w:color w:val="auto"/>
        </w:rPr>
        <w:t>is initially sold by the Partnership, as determined by the General Partner, in each case adjusted as the General Partner determines to be appropriate to give effect to any distribution, subdivision or combination of Units; provided, with respect to Common Units, on October 1, 2012, each such price was reduced by one-half to give effect to the two-for-one split of the Common Units effected on October 1, 2012 by way of a dividend and distribution of one Common Unit for each Common Unit outstanding to Record Holders as of September 17, 2012.</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“Interim Capital Transactions” </w:t>
      </w:r>
      <w:r>
        <w:rPr>
          <w:rFonts w:ascii="Arial" w:cs="Arial" w:eastAsia="Arial" w:hAnsi="Arial"/>
          <w:sz w:val="18"/>
          <w:szCs w:val="18"/>
          <w:color w:val="auto"/>
        </w:rPr>
        <w:t>means the following transactions if they occur prior to the Liquidation Date: (a) borrowings, refinancings or</w:t>
      </w:r>
      <w:r>
        <w:rPr>
          <w:rFonts w:ascii="Arial" w:cs="Arial" w:eastAsia="Arial" w:hAnsi="Arial"/>
          <w:sz w:val="18"/>
          <w:szCs w:val="18"/>
          <w:i w:val="1"/>
          <w:iCs w:val="1"/>
          <w:color w:val="auto"/>
        </w:rPr>
        <w:t xml:space="preserve"> </w:t>
      </w:r>
      <w:r>
        <w:rPr>
          <w:rFonts w:ascii="Arial" w:cs="Arial" w:eastAsia="Arial" w:hAnsi="Arial"/>
          <w:sz w:val="18"/>
          <w:szCs w:val="18"/>
          <w:color w:val="auto"/>
        </w:rPr>
        <w:t>refundings of indebtedness and sales of debt securities (other than Working Capital Borrowings and other than for items purchased on open account in the ordinary course of business) by any Group Member; (b) sales of equity interests by any Group Member (other than the Common Units sold to the Underwriters pursuant to the exercise of their Over-Allotment Option); and (c) 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“Junior Interests” </w:t>
      </w:r>
      <w:r>
        <w:rPr>
          <w:rFonts w:ascii="Arial" w:cs="Arial" w:eastAsia="Arial" w:hAnsi="Arial"/>
          <w:sz w:val="18"/>
          <w:szCs w:val="18"/>
          <w:color w:val="auto"/>
        </w:rPr>
        <w:t>means any class or series of Partnership Securities that, with respect to distributions on such Partnership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upon liquidation of the Partnership, ranks junior to the Series A Preferred Units, including but not limited to Common Units, but excluding any Series A Parity Securities and Series A Senior Securities.</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“Limited Partner” </w:t>
      </w:r>
      <w:r>
        <w:rPr>
          <w:rFonts w:ascii="Arial" w:cs="Arial" w:eastAsia="Arial" w:hAnsi="Arial"/>
          <w:sz w:val="16"/>
          <w:szCs w:val="16"/>
          <w:color w:val="auto"/>
        </w:rPr>
        <w:t>means, unless the context otherwise requires, (a) the Organizational Limited Partner prior to its withdrawal from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“Limited Partner Interest” </w:t>
      </w:r>
      <w:r>
        <w:rPr>
          <w:rFonts w:ascii="Arial" w:cs="Arial" w:eastAsia="Arial" w:hAnsi="Arial"/>
          <w:sz w:val="18"/>
          <w:szCs w:val="18"/>
          <w:color w:val="auto"/>
        </w:rPr>
        <w:t>means the ownership interest of a Limited Partner or Assignee in the Partnership, which may be evidenced by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Series A Preferred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“Liquidation Date” </w:t>
      </w:r>
      <w:r>
        <w:rPr>
          <w:rFonts w:ascii="Arial" w:cs="Arial" w:eastAsia="Arial" w:hAnsi="Arial"/>
          <w:sz w:val="18"/>
          <w:szCs w:val="18"/>
          <w:color w:val="auto"/>
        </w:rPr>
        <w:t>means (a) in the case of an event giving rise to the dissolution of the Partnership of the type described in clauses (a) and (b)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“Liquidator” </w:t>
      </w:r>
      <w:r>
        <w:rPr>
          <w:rFonts w:ascii="Arial" w:cs="Arial" w:eastAsia="Arial" w:hAnsi="Arial"/>
          <w:sz w:val="18"/>
          <w:szCs w:val="18"/>
          <w:color w:val="auto"/>
        </w:rPr>
        <w:t>means one or more Persons selected by the General Partner to perform the functions described in Section 12.3 as liquidating trustee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within the meaning of the Delaware Act.</w:t>
      </w:r>
    </w:p>
    <w:p>
      <w:pPr>
        <w:sectPr>
          <w:pgSz w:w="11900" w:h="16838" w:orient="portrait"/>
          <w:cols w:equalWidth="0" w:num="1">
            <w:col w:w="11400"/>
          </w:cols>
          <w:pgMar w:left="240" w:top="125" w:right="259" w:bottom="111"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35" w:name="page36"/>
    <w:bookmarkEnd w:id="35"/>
    <w:p>
      <w:pPr>
        <w:ind w:left="660"/>
        <w:spacing w:after="0"/>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“National Securities Exchange” </w:t>
      </w:r>
      <w:r>
        <w:rPr>
          <w:rFonts w:ascii="Arial" w:cs="Arial" w:eastAsia="Arial" w:hAnsi="Arial"/>
          <w:sz w:val="17"/>
          <w:szCs w:val="17"/>
          <w:color w:val="auto"/>
        </w:rPr>
        <w:t>means an exchange registered with the Commission under Section 6(a) of the Securities Exchange Act.</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“Net Agreed Value” </w:t>
      </w:r>
      <w:r>
        <w:rPr>
          <w:rFonts w:ascii="Arial" w:cs="Arial" w:eastAsia="Arial" w:hAnsi="Arial"/>
          <w:sz w:val="18"/>
          <w:szCs w:val="18"/>
          <w:color w:val="auto"/>
        </w:rPr>
        <w:t>means, (a) in the case of any Contributed Property, the Agreed Value of such property reduced by any liabilities either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means, for any taxable year, the excess, if any, of the Partnership’s items of income and gain for such taxable year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items of loss and deduction for such taxable year. The items included in the calculation of Net Income shall be determined in accordance with Section 5.5(b) and shall not include any items specially allocated under Section 6.1(d).</w:t>
      </w:r>
    </w:p>
    <w:p>
      <w:pPr>
        <w:spacing w:after="0" w:line="181"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means, for any taxable year, the excess, if any, of the Partnership’s items of loss and deduction for such taxable year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items of income and gain for such taxable year. The items included in the calculation of Net Loss shall be determined in accordance with Section 5.5(b) and shall not include any items specially allocated under Section 6.1(d).</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“Non-citizen Assignee” </w:t>
      </w:r>
      <w:r>
        <w:rPr>
          <w:rFonts w:ascii="Arial" w:cs="Arial" w:eastAsia="Arial" w:hAnsi="Arial"/>
          <w:sz w:val="18"/>
          <w:szCs w:val="18"/>
          <w:color w:val="auto"/>
        </w:rPr>
        <w:t>means a Person whom the General Partner has determined in its discretion does not constitute an Eligible Citizen and as to</w:t>
      </w:r>
      <w:r>
        <w:rPr>
          <w:rFonts w:ascii="Arial" w:cs="Arial" w:eastAsia="Arial" w:hAnsi="Arial"/>
          <w:sz w:val="18"/>
          <w:szCs w:val="18"/>
          <w:i w:val="1"/>
          <w:iCs w:val="1"/>
          <w:color w:val="auto"/>
        </w:rPr>
        <w:t xml:space="preserve"> </w:t>
      </w:r>
      <w:r>
        <w:rPr>
          <w:rFonts w:ascii="Arial" w:cs="Arial" w:eastAsia="Arial" w:hAnsi="Arial"/>
          <w:sz w:val="18"/>
          <w:szCs w:val="18"/>
          <w:color w:val="auto"/>
        </w:rPr>
        <w:t>whose Partnership Interest the General Partner has become the Substituted Limited Partner, pursuant to Section 4.9.</w:t>
      </w:r>
    </w:p>
    <w:p>
      <w:pPr>
        <w:spacing w:after="0" w:line="17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i w:val="1"/>
          <w:iCs w:val="1"/>
          <w:color w:val="auto"/>
        </w:rPr>
        <w:t xml:space="preserve">“Nonrecourse Built-in Gain” </w:t>
      </w:r>
      <w:r>
        <w:rPr>
          <w:rFonts w:ascii="Arial" w:cs="Arial" w:eastAsia="Arial" w:hAnsi="Arial"/>
          <w:sz w:val="16"/>
          <w:szCs w:val="16"/>
          <w:color w:val="auto"/>
        </w:rPr>
        <w:t>means with respect to any Contributed Properties or Adjusted Properties that are subject to a mortgage or pledge</w:t>
      </w:r>
      <w:r>
        <w:rPr>
          <w:rFonts w:ascii="Arial" w:cs="Arial" w:eastAsia="Arial" w:hAnsi="Arial"/>
          <w:sz w:val="16"/>
          <w:szCs w:val="16"/>
          <w:i w:val="1"/>
          <w:iCs w:val="1"/>
          <w:color w:val="auto"/>
        </w:rPr>
        <w:t xml:space="preserve"> </w:t>
      </w:r>
      <w:r>
        <w:rPr>
          <w:rFonts w:ascii="Arial" w:cs="Arial" w:eastAsia="Arial" w:hAnsi="Arial"/>
          <w:sz w:val="16"/>
          <w:szCs w:val="16"/>
          <w:color w:val="auto"/>
        </w:rPr>
        <w:t>securing a Nonrecourse Liability, the amount of any taxable gain that would be allocated to the Partners pursuant to Sections 6.2(b)(i)(A), 6.2(b)(ii)(A) and 6.2(b)(iii) if such properties were disposed of in a taxable transaction in full satisfaction of such liabilities and for no other consideration.</w:t>
      </w:r>
    </w:p>
    <w:p>
      <w:pPr>
        <w:spacing w:after="0" w:line="14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“Nonrecourse Deductions” </w:t>
      </w:r>
      <w:r>
        <w:rPr>
          <w:rFonts w:ascii="Arial" w:cs="Arial" w:eastAsia="Arial" w:hAnsi="Arial"/>
          <w:sz w:val="18"/>
          <w:szCs w:val="18"/>
          <w:color w:val="auto"/>
        </w:rPr>
        <w:t>means any and all items of loss, deduction or expenditures (described in Section 705(a)(2)(B) of the Code)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principles of Treasury Regulation Section 1.704-2(b), are attributable to a Nonrecourse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“Nonrecourse Liability” </w:t>
      </w:r>
      <w:r>
        <w:rPr>
          <w:rFonts w:ascii="Arial" w:cs="Arial" w:eastAsia="Arial" w:hAnsi="Arial"/>
          <w:sz w:val="18"/>
          <w:szCs w:val="18"/>
          <w:color w:val="auto"/>
        </w:rPr>
        <w:t>has the meaning set forth in Treasury Regulation Section 1.752-1(a)(2).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“Notice of Election to Purchase” </w:t>
      </w:r>
      <w:r>
        <w:rPr>
          <w:rFonts w:ascii="Arial" w:cs="Arial" w:eastAsia="Arial" w:hAnsi="Arial"/>
          <w:sz w:val="18"/>
          <w:szCs w:val="18"/>
          <w:color w:val="auto"/>
        </w:rPr>
        <w:t>has the meaning assigned to such term in Section 15.1(b).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means that certain Omnibus Agreement, dated as of [•], 2016, among the Partnership, the General Partner, Plains AAP, Plains</w:t>
      </w:r>
      <w:r>
        <w:rPr>
          <w:rFonts w:ascii="Arial" w:cs="Arial" w:eastAsia="Arial" w:hAnsi="Arial"/>
          <w:sz w:val="18"/>
          <w:szCs w:val="18"/>
          <w:i w:val="1"/>
          <w:iCs w:val="1"/>
          <w:color w:val="auto"/>
        </w:rPr>
        <w:t xml:space="preserve"> </w:t>
      </w:r>
      <w:r>
        <w:rPr>
          <w:rFonts w:ascii="Arial" w:cs="Arial" w:eastAsia="Arial" w:hAnsi="Arial"/>
          <w:sz w:val="18"/>
          <w:szCs w:val="18"/>
          <w:color w:val="auto"/>
        </w:rPr>
        <w:t>All American GP LLC, PAGP and PAGP GP.</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“Operating Expenditures” </w:t>
      </w:r>
      <w:r>
        <w:rPr>
          <w:rFonts w:ascii="Arial" w:cs="Arial" w:eastAsia="Arial" w:hAnsi="Arial"/>
          <w:sz w:val="18"/>
          <w:szCs w:val="18"/>
          <w:color w:val="auto"/>
        </w:rPr>
        <w:t>means all Partnership Group expenditures, including, but not limited to, taxes, reimbursements of the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debt service payments, and capital expenditures, subject to the following:</w:t>
      </w:r>
    </w:p>
    <w:p>
      <w:pPr>
        <w:spacing w:after="0" w:line="170" w:lineRule="exact"/>
        <w:rPr>
          <w:sz w:val="20"/>
          <w:szCs w:val="20"/>
          <w:color w:val="auto"/>
        </w:rPr>
      </w:pPr>
    </w:p>
    <w:p>
      <w:pPr>
        <w:ind w:left="1300" w:hanging="644"/>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Payments (including prepayments) of principal of and premium on indebtedness shall not be an Operating Expenditure if the payment is</w:t>
      </w:r>
    </w:p>
    <w:p>
      <w:pPr>
        <w:spacing w:after="0" w:line="46" w:lineRule="exact"/>
        <w:rPr>
          <w:rFonts w:ascii="Arial" w:cs="Arial" w:eastAsia="Arial" w:hAnsi="Arial"/>
          <w:sz w:val="16"/>
          <w:szCs w:val="16"/>
          <w:color w:val="auto"/>
        </w:rPr>
      </w:pPr>
    </w:p>
    <w:p>
      <w:pPr>
        <w:jc w:val="both"/>
        <w:ind w:right="340" w:firstLine="8"/>
        <w:spacing w:after="0" w:line="273" w:lineRule="auto"/>
        <w:tabs>
          <w:tab w:leader="none" w:pos="2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76" w:lineRule="exact"/>
        <w:rPr>
          <w:rFonts w:ascii="Arial" w:cs="Arial" w:eastAsia="Arial" w:hAnsi="Arial"/>
          <w:sz w:val="17"/>
          <w:szCs w:val="17"/>
          <w:color w:val="auto"/>
        </w:rPr>
      </w:pPr>
    </w:p>
    <w:p>
      <w:pPr>
        <w:ind w:right="100" w:firstLine="656"/>
        <w:spacing w:after="0" w:line="312" w:lineRule="auto"/>
        <w:tabs>
          <w:tab w:leader="none" w:pos="1304" w:val="left"/>
        </w:tabs>
        <w:numPr>
          <w:ilvl w:val="1"/>
          <w:numId w:val="64"/>
        </w:numPr>
        <w:rPr>
          <w:rFonts w:ascii="Arial" w:cs="Arial" w:eastAsia="Arial" w:hAnsi="Arial"/>
          <w:sz w:val="16"/>
          <w:szCs w:val="16"/>
          <w:color w:val="auto"/>
        </w:rPr>
      </w:pPr>
      <w:r>
        <w:rPr>
          <w:rFonts w:ascii="Arial" w:cs="Arial" w:eastAsia="Arial" w:hAnsi="Arial"/>
          <w:sz w:val="16"/>
          <w:szCs w:val="16"/>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w:t>
      </w:r>
    </w:p>
    <w:p>
      <w:pPr>
        <w:spacing w:after="0" w:line="14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“Operating General Partner” </w:t>
      </w:r>
      <w:r>
        <w:rPr>
          <w:rFonts w:ascii="Arial" w:cs="Arial" w:eastAsia="Arial" w:hAnsi="Arial"/>
          <w:sz w:val="18"/>
          <w:szCs w:val="18"/>
          <w:color w:val="auto"/>
        </w:rPr>
        <w:t>means Plains Marketing GP Inc., a Texas corporation and wholly owned subsidiary of the Partnership,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permitted assigns as the general partner of the Operating Partnerships.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“Operating Partnerships” </w:t>
      </w:r>
      <w:r>
        <w:rPr>
          <w:rFonts w:ascii="Arial" w:cs="Arial" w:eastAsia="Arial" w:hAnsi="Arial"/>
          <w:sz w:val="18"/>
          <w:szCs w:val="18"/>
          <w:color w:val="auto"/>
        </w:rPr>
        <w:t>means Plains Marketing, L.P., a Texas limited partnership, Plains Pipeline, L.P., a Texas limited partnership,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Persons that are either disregarded as separate from the Partnership or treated as partnerships for federal income tax purposes that are majority-owned by the Partnership and controlled by the Partnership (whether by direct or indirect ownership of the general partner of such Person or otherwise) and established or acquired for the purpose of conducting the business of the Partnership.</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“Operating Partnership Agreements” </w:t>
      </w:r>
      <w:r>
        <w:rPr>
          <w:rFonts w:ascii="Arial" w:cs="Arial" w:eastAsia="Arial" w:hAnsi="Arial"/>
          <w:sz w:val="18"/>
          <w:szCs w:val="18"/>
          <w:color w:val="auto"/>
        </w:rPr>
        <w:t>means the agreements of limited partnership of any Operating Partnerships that are limited partnerships,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limited liability company agreements of any Operating Partnerships that are limited liability companies that are treated as partnerships for federal income tax purposes, as such may be amended, supplemented or restated from time to time.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“Operating Surplus” </w:t>
      </w:r>
      <w:r>
        <w:rPr>
          <w:rFonts w:ascii="Arial" w:cs="Arial" w:eastAsia="Arial" w:hAnsi="Arial"/>
          <w:sz w:val="18"/>
          <w:szCs w:val="18"/>
          <w:color w:val="auto"/>
        </w:rPr>
        <w:t>means, with respect to any period ending prior to the Liquidation Date, on a cumulative basis and without duplication,</w:t>
      </w:r>
    </w:p>
    <w:p>
      <w:pPr>
        <w:spacing w:after="0" w:line="225" w:lineRule="exact"/>
        <w:rPr>
          <w:sz w:val="20"/>
          <w:szCs w:val="20"/>
          <w:color w:val="auto"/>
        </w:rPr>
      </w:pPr>
    </w:p>
    <w:p>
      <w:pPr>
        <w:ind w:right="140" w:firstLine="656"/>
        <w:spacing w:after="0" w:line="259" w:lineRule="auto"/>
        <w:tabs>
          <w:tab w:leader="none" w:pos="12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and (iii) all cash receipts of the Partnership Group after the end of such period but on or before the date of determination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of Operating Surplus with respect to such period resulting from Working Capital Borrowings, less</w:t>
      </w:r>
    </w:p>
    <w:p>
      <w:pPr>
        <w:spacing w:after="0" w:line="225" w:lineRule="exact"/>
        <w:rPr>
          <w:sz w:val="20"/>
          <w:szCs w:val="20"/>
          <w:color w:val="auto"/>
        </w:rPr>
      </w:pPr>
    </w:p>
    <w:p>
      <w:pPr>
        <w:ind w:right="40" w:firstLine="656"/>
        <w:spacing w:after="0" w:line="255" w:lineRule="auto"/>
        <w:tabs>
          <w:tab w:leader="none" w:pos="13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i w:val="1"/>
          <w:iCs w:val="1"/>
          <w:color w:val="auto"/>
        </w:rPr>
        <w:t>“Operating Surplus”</w:t>
      </w:r>
      <w:r>
        <w:rPr>
          <w:rFonts w:ascii="Arial" w:cs="Arial" w:eastAsia="Arial" w:hAnsi="Arial"/>
          <w:sz w:val="18"/>
          <w:szCs w:val="18"/>
          <w:color w:val="auto"/>
        </w:rPr>
        <w:t xml:space="preserve"> with respect to the Quarter in which the Liquidation Date occurs and any subsequent Quarter shall equal zero.</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 written opinion of counsel (who may be regular counsel to the Partnership or the General Partner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acceptable to the General Partner in its reasonable discretion.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“Organizational Limited Partner” </w:t>
      </w:r>
      <w:r>
        <w:rPr>
          <w:rFonts w:ascii="Arial" w:cs="Arial" w:eastAsia="Arial" w:hAnsi="Arial"/>
          <w:sz w:val="18"/>
          <w:szCs w:val="18"/>
          <w:color w:val="auto"/>
        </w:rPr>
        <w:t>means Michael R. Patterson in his capacity as the organizational limited partner of the Partnership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“Outstanding” </w:t>
      </w:r>
      <w:r>
        <w:rPr>
          <w:rFonts w:ascii="Arial" w:cs="Arial" w:eastAsia="Arial" w:hAnsi="Arial"/>
          <w:sz w:val="16"/>
          <w:szCs w:val="16"/>
          <w:color w:val="auto"/>
        </w:rPr>
        <w:t>means, with respect to Partnership Securities, all Partnership Securities that are issued by the Partnership and reflected as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the Partnership’s books and records as of the date of determination; provided, however, that if at any time any Person or Group (other than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 or its Affiliates) beneficially owns 20% or more of any Outstanding Partnership Securities of any class then Outstanding, all Partnership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by such Person or Group shall not be voted on any matter and shall not be considered to be Outstanding when sending notices of a meeting of Limited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to vote on any matter (unless otherwise required by law), calculating required votes, determining the presence of a quorum or for other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purposes under this Agreement, except that Common Units so owned shall be considered to be Outstanding for purposes of Section 5.14(b)(iv)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11.1(b)(iv) (such Common Units shall not, however, be treated as a separate class of Partnership Securities for purposes of this Agreement);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further, that the foregoing limitation shall not apply to (i) any Person or Group who acquired 20% or more of any Outstanding Partnership Securities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then Outstanding directly from the General Partner or its Affiliates; (ii) any Person or Group who acquired 20% or more of any Outstanding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any class then Outstanding directly or indirectly from a Person or Group described in clause (i) provided that the General Partner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notified such Person or Group in writing that such limitation shall not apply; (iii) the initial Series A Purchasers (but not their permitted assigns)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their ownership (beneficially or of record) of the Series A Preferred Units, Series A PIK Preferred Units or Series A Conversion Units; or (iv) any Series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Unitholder in connection with any vote, consent or approval of the Series A Unitholders as a separate class; and provided, further, that if any time any Person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Group (other than the General Partner or its Affiliates) beneficially owns 20% or more of the Outstanding Partnership Interests of any class then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all of the Partnership Interests owned by such Person or Group shall be deemed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Outstanding solely for purposes of nominating persons for election as PAGP Eligible Directors in accordance with Section 13.13, and the Partnership Interests held by such Person or Group constituting a number up to 19.9% of the PAGP Outstanding Shares, taken together as a single class, shall be considered Outstanding with respect to voting on the election of persons to serve as PAGP Eligible Directors in accordance with Section 13.4(c)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“Over-Allotment Option” </w:t>
      </w:r>
      <w:r>
        <w:rPr>
          <w:rFonts w:ascii="Arial" w:cs="Arial" w:eastAsia="Arial" w:hAnsi="Arial"/>
          <w:sz w:val="16"/>
          <w:szCs w:val="16"/>
          <w:color w:val="auto"/>
        </w:rPr>
        <w:t>means the over-allotment option granted to the Underwriters by the Partnership pursuant to the Underwriting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means Plains GP Holdings, L.P., a Delaware limited partnership,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means PAA GP Holdings LLC, a Delaware limited liability company, and any successor thereto.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C Shares</w:t>
      </w:r>
      <w:r>
        <w:rPr>
          <w:rFonts w:ascii="Arial" w:cs="Arial" w:eastAsia="Arial" w:hAnsi="Arial"/>
          <w:sz w:val="18"/>
          <w:szCs w:val="18"/>
          <w:color w:val="auto"/>
        </w:rPr>
        <w:t>” means Class C shares representing limited partner interests in PAGP, or any interest of PAGP into which or for which such Class C shares may be reclassified, converted, changed or exchanged.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Eligible Directors</w:t>
      </w:r>
      <w:r>
        <w:rPr>
          <w:rFonts w:ascii="Arial" w:cs="Arial" w:eastAsia="Arial" w:hAnsi="Arial"/>
          <w:sz w:val="18"/>
          <w:szCs w:val="18"/>
          <w:color w:val="auto"/>
        </w:rPr>
        <w:t>” has the meaning assigned to the term “Eligible Directors” in the PAGP LP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 LLC Agreement</w:t>
      </w:r>
      <w:r>
        <w:rPr>
          <w:rFonts w:ascii="Arial" w:cs="Arial" w:eastAsia="Arial" w:hAnsi="Arial"/>
          <w:sz w:val="18"/>
          <w:szCs w:val="18"/>
          <w:color w:val="auto"/>
        </w:rPr>
        <w:t>” means the limited liability company agreement of PAGP GP,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LP Agreement</w:t>
      </w:r>
      <w:r>
        <w:rPr>
          <w:rFonts w:ascii="Arial" w:cs="Arial" w:eastAsia="Arial" w:hAnsi="Arial"/>
          <w:sz w:val="18"/>
          <w:szCs w:val="18"/>
          <w:color w:val="auto"/>
        </w:rPr>
        <w:t>” means the agreement of limited partnership of PAGP, as it may be amended from time to time.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Outstanding Shares</w:t>
      </w:r>
      <w:r>
        <w:rPr>
          <w:rFonts w:ascii="Arial" w:cs="Arial" w:eastAsia="Arial" w:hAnsi="Arial"/>
          <w:sz w:val="18"/>
          <w:szCs w:val="18"/>
          <w:color w:val="auto"/>
        </w:rPr>
        <w:t>” means the number of outstanding Class A Shares, Class B Shares and Class C Shares, each as defined in the PAGP LP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“Parity Units” </w:t>
      </w:r>
      <w:r>
        <w:rPr>
          <w:rFonts w:ascii="Arial" w:cs="Arial" w:eastAsia="Arial" w:hAnsi="Arial"/>
          <w:sz w:val="16"/>
          <w:szCs w:val="16"/>
          <w:color w:val="auto"/>
        </w:rPr>
        <w:t>means Common Units and all other Units having rights to distributions or in liquidation ranking on a parity with the Common Units.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 Nonrecourse Debt” </w:t>
      </w:r>
      <w:r>
        <w:rPr>
          <w:rFonts w:ascii="Arial" w:cs="Arial" w:eastAsia="Arial" w:hAnsi="Arial"/>
          <w:sz w:val="18"/>
          <w:szCs w:val="18"/>
          <w:color w:val="auto"/>
        </w:rPr>
        <w:t>has the meaning set forth in Treasury Regulation Section 1.704-2(b)(4).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 Nonrecourse Debt Minimum Gain” </w:t>
      </w:r>
      <w:r>
        <w:rPr>
          <w:rFonts w:ascii="Arial" w:cs="Arial" w:eastAsia="Arial" w:hAnsi="Arial"/>
          <w:sz w:val="18"/>
          <w:szCs w:val="18"/>
          <w:color w:val="auto"/>
        </w:rPr>
        <w:t>has the meaning set forth in Treasury Regulation Section 1.704-2(i)(2).</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“Partner Nonrecourse Deductions” </w:t>
      </w:r>
      <w:r>
        <w:rPr>
          <w:rFonts w:ascii="Arial" w:cs="Arial" w:eastAsia="Arial" w:hAnsi="Arial"/>
          <w:sz w:val="18"/>
          <w:szCs w:val="18"/>
          <w:color w:val="auto"/>
        </w:rPr>
        <w:t>means any and all items of loss, deduction or expenditure (including, without limitation, any expenditure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705(a)(2)(B) of the Code) that, in accordance with the principles of Treasury Regulation Section 1.704-2(i), are attributable to a Partner Nonrecourse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37" w:name="page38"/>
    <w:bookmarkEnd w:id="37"/>
    <w:p>
      <w:pPr>
        <w:ind w:left="660"/>
        <w:spacing w:after="0"/>
        <w:rPr>
          <w:sz w:val="20"/>
          <w:szCs w:val="20"/>
          <w:color w:val="auto"/>
        </w:rPr>
      </w:pPr>
      <w:r>
        <w:rPr>
          <w:rFonts w:ascii="Arial" w:cs="Arial" w:eastAsia="Arial" w:hAnsi="Arial"/>
          <w:sz w:val="18"/>
          <w:szCs w:val="18"/>
          <w:i w:val="1"/>
          <w:iCs w:val="1"/>
          <w:color w:val="auto"/>
        </w:rPr>
        <w:t xml:space="preserve">“Partners” </w:t>
      </w:r>
      <w:r>
        <w:rPr>
          <w:rFonts w:ascii="Arial" w:cs="Arial" w:eastAsia="Arial" w:hAnsi="Arial"/>
          <w:sz w:val="18"/>
          <w:szCs w:val="18"/>
          <w:color w:val="auto"/>
        </w:rPr>
        <w:t>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“Partnership” </w:t>
      </w:r>
      <w:r>
        <w:rPr>
          <w:rFonts w:ascii="Arial" w:cs="Arial" w:eastAsia="Arial" w:hAnsi="Arial"/>
          <w:sz w:val="18"/>
          <w:szCs w:val="18"/>
          <w:color w:val="auto"/>
        </w:rPr>
        <w:t>means Plains All American Pipeline, L.P., a Delaware limited partnership, and any successors thereto.</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“Partnership Group” </w:t>
      </w:r>
      <w:r>
        <w:rPr>
          <w:rFonts w:ascii="Arial" w:cs="Arial" w:eastAsia="Arial" w:hAnsi="Arial"/>
          <w:sz w:val="18"/>
          <w:szCs w:val="18"/>
          <w:color w:val="auto"/>
        </w:rPr>
        <w:t>means the Partnership, the Operating Partnerships and any Subsidiary of any such entity, including the Operating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treated as a single consolidated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“Partnership Interest” </w:t>
      </w:r>
      <w:r>
        <w:rPr>
          <w:rFonts w:ascii="Arial" w:cs="Arial" w:eastAsia="Arial" w:hAnsi="Arial"/>
          <w:sz w:val="17"/>
          <w:szCs w:val="17"/>
          <w:color w:val="auto"/>
        </w:rPr>
        <w:t>means an interest in the Partnership, which shall include the General Partner Interest and Limited Partner Interests.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“Partnership Minimum Gain” </w:t>
      </w:r>
      <w:r>
        <w:rPr>
          <w:rFonts w:ascii="Arial" w:cs="Arial" w:eastAsia="Arial" w:hAnsi="Arial"/>
          <w:sz w:val="17"/>
          <w:szCs w:val="17"/>
          <w:color w:val="auto"/>
        </w:rPr>
        <w:t>means that amount determined in accordance with the principles of Treasury Regulation Section 1.704-2(d).</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“Partnership Security” </w:t>
      </w:r>
      <w:r>
        <w:rPr>
          <w:rFonts w:ascii="Arial" w:cs="Arial" w:eastAsia="Arial" w:hAnsi="Arial"/>
          <w:sz w:val="18"/>
          <w:szCs w:val="18"/>
          <w:color w:val="auto"/>
        </w:rPr>
        <w:t>means any class or series of equity interest in the Partnership (but excluding any options, rights, warrants and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relating to an equity interest in the Partnership), including without limitation, Common Units and Series A Preferred Units.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Restructuring Event</w:t>
      </w:r>
      <w:r>
        <w:rPr>
          <w:rFonts w:ascii="Arial" w:cs="Arial" w:eastAsia="Arial" w:hAnsi="Arial"/>
          <w:sz w:val="18"/>
          <w:szCs w:val="18"/>
          <w:color w:val="auto"/>
        </w:rPr>
        <w:t>” means any restructuring, simplification or similar transaction or series of transactions that modifies, eliminates or otherwise restructures the General Partner Interest, the Incentive Distribution Rights (as defined in the Fifth A&amp;R LP Agreement) or the equity interests of the General Partner or its Affiliates, provided that the principal parties thereto are the Partnership, the Existing Owners, the Series A Purchasers and/or their respective Affiliates.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“Per Unit Capital Amount</w:t>
      </w:r>
      <w:r>
        <w:rPr>
          <w:rFonts w:ascii="Arial" w:cs="Arial" w:eastAsia="Arial" w:hAnsi="Arial"/>
          <w:sz w:val="18"/>
          <w:szCs w:val="18"/>
          <w:color w:val="auto"/>
        </w:rPr>
        <w:t>” means, as of any date of determination, the Capital Account, stated on a per Unit basis, underlying any Unit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an AAP Common Unit.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“Percentage Interest” </w:t>
      </w:r>
      <w:r>
        <w:rPr>
          <w:rFonts w:ascii="Arial" w:cs="Arial" w:eastAsia="Arial" w:hAnsi="Arial"/>
          <w:sz w:val="17"/>
          <w:szCs w:val="17"/>
          <w:color w:val="auto"/>
        </w:rPr>
        <w:t>means as of any date of determination (a) as to any Unitholder (other than in respect of Series A Preferred Units) or Assignee,</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its Units (other than in respect of Series A Preferred Units), the product obtained by multiplying (i) 100% less the percentage applicable to paragraph (b) by (ii) the quotient obtained by dividing (A) the number of Units held by such Unitholder (other than in respect of Series A Preferred Units) or Assignee by (B) the total number of all Outstanding Units (other than in respect of Series A Preferred Units) and (b) as to the holders of additional Partnership Securities issued by the Partnership in accordance with Section 5.6, the percentage established as a part of such issuance. The Percentage Interest with respect to a Series A Preferred Unit or the General Partner Interest shall at all times be zero.</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or a corporation, limited liability company, partnership, joint venture, trust, unincorporated organization,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agency or political subdivision thereof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Plains 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“Plains All American GP LLC” </w:t>
      </w:r>
      <w:r>
        <w:rPr>
          <w:rFonts w:ascii="Arial" w:cs="Arial" w:eastAsia="Arial" w:hAnsi="Arial"/>
          <w:sz w:val="18"/>
          <w:szCs w:val="18"/>
          <w:color w:val="auto"/>
        </w:rPr>
        <w:t>means Plains All American GP LLC, a Delaware limited liability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“Pro Rata” </w:t>
      </w:r>
      <w:r>
        <w:rPr>
          <w:rFonts w:ascii="Arial" w:cs="Arial" w:eastAsia="Arial" w:hAnsi="Arial"/>
          <w:sz w:val="17"/>
          <w:szCs w:val="17"/>
          <w:color w:val="auto"/>
        </w:rPr>
        <w:t>means (a) when modifying Units or any class thereof, apportioned equally among all designated Units in accordance with their relative</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Interests, (b) when modifying Partners and Assignees, apportioned among all Partners and Assignees in accordance with their relative Percentage Interests and (c) when modifying Series A Preferred Unitholders, apportioned equally among all Series A Preferred Unitholders in accordance with the relative number or percentage of Series A Preferred Units held by each such Series A Preferred Unitholder.</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“Purchase Date” </w:t>
      </w:r>
      <w:r>
        <w:rPr>
          <w:rFonts w:ascii="Arial" w:cs="Arial" w:eastAsia="Arial" w:hAnsi="Arial"/>
          <w:sz w:val="18"/>
          <w:szCs w:val="18"/>
          <w:color w:val="auto"/>
        </w:rPr>
        <w:t>means the date determined by the General Partner as the date for purchase of all Outstanding Units of a certain class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Units owned by the General Partner and its Affiliates) pursuant to Article XV.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“Quarter” </w:t>
      </w:r>
      <w:r>
        <w:rPr>
          <w:rFonts w:ascii="Arial" w:cs="Arial" w:eastAsia="Arial" w:hAnsi="Arial"/>
          <w:sz w:val="18"/>
          <w:szCs w:val="18"/>
          <w:color w:val="auto"/>
        </w:rPr>
        <w:t>means, unless the context requires otherwise, a fiscal quarter of the Partnership.</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“Recapture Income” </w:t>
      </w:r>
      <w:r>
        <w:rPr>
          <w:rFonts w:ascii="Arial" w:cs="Arial" w:eastAsia="Arial" w:hAnsi="Arial"/>
          <w:sz w:val="18"/>
          <w:szCs w:val="18"/>
          <w:color w:val="auto"/>
        </w:rPr>
        <w:t>means any gain recognized by the Partnership (computed without regard to any adjustment required by Section 734 or</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“Record Date” </w:t>
      </w:r>
      <w:r>
        <w:rPr>
          <w:rFonts w:ascii="Arial" w:cs="Arial" w:eastAsia="Arial" w:hAnsi="Arial"/>
          <w:sz w:val="18"/>
          <w:szCs w:val="18"/>
          <w:color w:val="auto"/>
        </w:rPr>
        <w:t>means the date established by the General Partner for determining (a) the identity of the Record Holders entitled to notice of, or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“Record Holder” </w:t>
      </w:r>
      <w:r>
        <w:rPr>
          <w:rFonts w:ascii="Arial" w:cs="Arial" w:eastAsia="Arial" w:hAnsi="Arial"/>
          <w:sz w:val="17"/>
          <w:szCs w:val="17"/>
          <w:color w:val="auto"/>
        </w:rPr>
        <w:t>means the Person in whose name a Common Unit is registered on the books of the Transfer Agent as of the opening of business on</w:t>
      </w:r>
      <w:r>
        <w:rPr>
          <w:rFonts w:ascii="Arial" w:cs="Arial" w:eastAsia="Arial" w:hAnsi="Arial"/>
          <w:sz w:val="17"/>
          <w:szCs w:val="17"/>
          <w:i w:val="1"/>
          <w:iCs w:val="1"/>
          <w:color w:val="auto"/>
        </w:rPr>
        <w:t xml:space="preserve"> </w:t>
      </w:r>
      <w:r>
        <w:rPr>
          <w:rFonts w:ascii="Arial" w:cs="Arial" w:eastAsia="Arial" w:hAnsi="Arial"/>
          <w:sz w:val="17"/>
          <w:szCs w:val="17"/>
          <w:color w:val="auto"/>
        </w:rPr>
        <w:t>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“Redeemable Interests” </w:t>
      </w:r>
      <w:r>
        <w:rPr>
          <w:rFonts w:ascii="Arial" w:cs="Arial" w:eastAsia="Arial" w:hAnsi="Arial"/>
          <w:sz w:val="18"/>
          <w:szCs w:val="18"/>
          <w:color w:val="auto"/>
        </w:rPr>
        <w:t>means any Partnership Interests for which a redemption notice has been given, and has not been withdrawn,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4.10.</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“Registration Statement” </w:t>
      </w:r>
      <w:r>
        <w:rPr>
          <w:rFonts w:ascii="Arial" w:cs="Arial" w:eastAsia="Arial" w:hAnsi="Arial"/>
          <w:sz w:val="18"/>
          <w:szCs w:val="18"/>
          <w:color w:val="auto"/>
        </w:rPr>
        <w:t>means the Registration Statement on Form S-1 (Registration No. 333-64107) as it has been amended or supplemented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filed by the Partnership with the Commission under the Securities Act to register the offering and sale of the Common Units in the Initial Offering.</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“Required Allocations” </w:t>
      </w:r>
      <w:r>
        <w:rPr>
          <w:rFonts w:ascii="Arial" w:cs="Arial" w:eastAsia="Arial" w:hAnsi="Arial"/>
          <w:sz w:val="18"/>
          <w:szCs w:val="18"/>
          <w:color w:val="auto"/>
        </w:rPr>
        <w:t>means any allocation of an item of income, gain, loss or deduction pursuant to Section 6.1(d)(i), 6.1(d)(ii), 6.1(d)(iv), 6.1(d)</w:t>
      </w:r>
      <w:r>
        <w:rPr>
          <w:rFonts w:ascii="Arial" w:cs="Arial" w:eastAsia="Arial" w:hAnsi="Arial"/>
          <w:sz w:val="18"/>
          <w:szCs w:val="18"/>
          <w:i w:val="1"/>
          <w:iCs w:val="1"/>
          <w:color w:val="auto"/>
        </w:rPr>
        <w:t xml:space="preserve"> </w:t>
      </w:r>
      <w:r>
        <w:rPr>
          <w:rFonts w:ascii="Arial" w:cs="Arial" w:eastAsia="Arial" w:hAnsi="Arial"/>
          <w:sz w:val="18"/>
          <w:szCs w:val="18"/>
          <w:color w:val="auto"/>
        </w:rPr>
        <w:t>(vii) or 6.1(d)(ix).</w:t>
      </w:r>
    </w:p>
    <w:p>
      <w:pPr>
        <w:spacing w:after="0" w:line="170"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“Residual Gain” </w:t>
      </w:r>
      <w:r>
        <w:rPr>
          <w:rFonts w:ascii="Arial" w:cs="Arial" w:eastAsia="Arial" w:hAnsi="Arial"/>
          <w:sz w:val="16"/>
          <w:szCs w:val="16"/>
          <w:color w:val="auto"/>
        </w:rPr>
        <w:t>or</w:t>
      </w:r>
      <w:r>
        <w:rPr>
          <w:rFonts w:ascii="Arial" w:cs="Arial" w:eastAsia="Arial" w:hAnsi="Arial"/>
          <w:sz w:val="16"/>
          <w:szCs w:val="16"/>
          <w:i w:val="1"/>
          <w:iCs w:val="1"/>
          <w:color w:val="auto"/>
        </w:rPr>
        <w:t xml:space="preserve"> “Residual Loss” </w:t>
      </w:r>
      <w:r>
        <w:rPr>
          <w:rFonts w:ascii="Arial" w:cs="Arial" w:eastAsia="Arial" w:hAnsi="Arial"/>
          <w:sz w:val="16"/>
          <w:szCs w:val="16"/>
          <w:color w:val="auto"/>
        </w:rPr>
        <w:t>means any item of gain or loss; as the case may be, of the Partnership recognized for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resulting from a sale, exchange or other disposition of a Contributed Property or Adjusted Property, to the extent such item of gain</w:t>
      </w:r>
    </w:p>
    <w:p>
      <w:pPr>
        <w:sectPr>
          <w:pgSz w:w="11900" w:h="16838" w:orient="portrait"/>
          <w:cols w:equalWidth="0" w:num="1">
            <w:col w:w="11420"/>
          </w:cols>
          <w:pgMar w:left="240" w:top="125" w:right="239" w:bottom="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loss is not allocated pursuant to Section 6.2(b)(i)(A) or 6.2(b)(ii)(A), respectively, to eliminate Book-Tax Disparities.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Revaluation Event</w:t>
      </w:r>
      <w:r>
        <w:rPr>
          <w:rFonts w:ascii="Arial" w:cs="Arial" w:eastAsia="Arial" w:hAnsi="Arial"/>
          <w:sz w:val="17"/>
          <w:szCs w:val="17"/>
          <w:color w:val="auto"/>
        </w:rPr>
        <w:t>” means an event that results in adjustment of the Carrying Value of each Partnership property pursuant to Section 5.5(d).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“Securities Act” </w:t>
      </w:r>
      <w:r>
        <w:rPr>
          <w:rFonts w:ascii="Arial" w:cs="Arial" w:eastAsia="Arial" w:hAnsi="Arial"/>
          <w:sz w:val="17"/>
          <w:szCs w:val="17"/>
          <w:color w:val="auto"/>
        </w:rPr>
        <w:t>means the Securities Act of 1933, as amended, supplemented or restated from time to time and any successor to such statute.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Exchange Act</w:t>
      </w:r>
      <w:r>
        <w:rPr>
          <w:rFonts w:ascii="Arial" w:cs="Arial" w:eastAsia="Arial" w:hAnsi="Arial"/>
          <w:sz w:val="18"/>
          <w:szCs w:val="18"/>
          <w:color w:val="auto"/>
        </w:rPr>
        <w:t>” means the Securities Exchange Act of 1934, as amended, supplemented or restated from time to time and any successor to such statute.</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“Series A Cash COC Conversion Premium</w:t>
      </w:r>
      <w:r>
        <w:rPr>
          <w:rFonts w:ascii="Arial" w:cs="Arial" w:eastAsia="Arial" w:hAnsi="Arial"/>
          <w:sz w:val="17"/>
          <w:szCs w:val="17"/>
          <w:color w:val="auto"/>
        </w:rPr>
        <w:t>” means (i) on or prior to the first anniversary of the Series A Issuance Date, 115%, (ii) after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Series A Issuance Date but on or prior to the second anniversary of the Series A Issuance Date, 110%, (iii) after the second anniversary of the Series A Issuance Date but on or prior to the third anniversary of the Series A Issuance Date, 105%, and (iv) thereafter, 101%.</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Cash COC Event</w:t>
      </w:r>
      <w:r>
        <w:rPr>
          <w:rFonts w:ascii="Arial" w:cs="Arial" w:eastAsia="Arial" w:hAnsi="Arial"/>
          <w:sz w:val="18"/>
          <w:szCs w:val="18"/>
          <w:color w:val="auto"/>
        </w:rPr>
        <w:t>” means a Series A Change of Control of the Partnership that involves a payment of consideration directly to the Common Unitholders, and more than 90% of such consideration is cash.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Change of Control</w:t>
      </w:r>
      <w:r>
        <w:rPr>
          <w:rFonts w:ascii="Arial" w:cs="Arial" w:eastAsia="Arial" w:hAnsi="Arial"/>
          <w:sz w:val="18"/>
          <w:szCs w:val="18"/>
          <w:color w:val="auto"/>
        </w:rPr>
        <w:t>” means:</w:t>
      </w:r>
    </w:p>
    <w:p>
      <w:pPr>
        <w:spacing w:after="0" w:line="225" w:lineRule="exact"/>
        <w:rPr>
          <w:sz w:val="20"/>
          <w:szCs w:val="20"/>
          <w:color w:val="auto"/>
        </w:rPr>
      </w:pPr>
    </w:p>
    <w:p>
      <w:pPr>
        <w:ind w:right="140" w:firstLine="656"/>
        <w:spacing w:after="0" w:line="264" w:lineRule="auto"/>
        <w:tabs>
          <w:tab w:leader="none" w:pos="12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acquisition, directly or indirectly, of more than 50% of the equity interests of the General Partner by a person or group that is not an Existing Owner, an initial Series A Purchaser or their respective Affiliates, if such acquisition gives such Person or Group the right to elect more than half of the members of the Board of Directors; or</w:t>
      </w:r>
    </w:p>
    <w:p>
      <w:pPr>
        <w:spacing w:after="0" w:line="181"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direct or indirect sale, lease, transfer, conveyance or other disposition, in one or a series of related transactions, of all or substantially all of the assets of the Partnership and its subsidiaries, taken as a whole; or</w:t>
      </w:r>
    </w:p>
    <w:p>
      <w:pPr>
        <w:spacing w:after="0" w:line="170" w:lineRule="exact"/>
        <w:rPr>
          <w:rFonts w:ascii="Arial" w:cs="Arial" w:eastAsia="Arial" w:hAnsi="Arial"/>
          <w:sz w:val="18"/>
          <w:szCs w:val="18"/>
          <w:color w:val="auto"/>
        </w:rPr>
      </w:pPr>
    </w:p>
    <w:p>
      <w:pPr>
        <w:ind w:right="40" w:firstLine="656"/>
        <w:spacing w:after="0" w:line="277" w:lineRule="auto"/>
        <w:tabs>
          <w:tab w:leader="none" w:pos="13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removal of the General Partner by the Limited Partners of the Partnership, except for cases in which any successor General Partner is an Affiliate of any of the Existing Owners, the initial Series A Purchasers or their respective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for the sake of clarity, no Partnership Restructuring Event shall constitute a Series A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Date</w:t>
      </w:r>
      <w:r>
        <w:rPr>
          <w:rFonts w:ascii="Arial" w:cs="Arial" w:eastAsia="Arial" w:hAnsi="Arial"/>
          <w:sz w:val="18"/>
          <w:szCs w:val="18"/>
          <w:color w:val="auto"/>
        </w:rPr>
        <w:t>” has the meaning assigned to such term in Section 5.14(b)(vi)(D).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Notice Date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Rate</w:t>
      </w:r>
      <w:r>
        <w:rPr>
          <w:rFonts w:ascii="Arial" w:cs="Arial" w:eastAsia="Arial" w:hAnsi="Arial"/>
          <w:sz w:val="18"/>
          <w:szCs w:val="18"/>
          <w:color w:val="auto"/>
        </w:rPr>
        <w:t>” means the number of Common Units issuable upon the conversion of each Series A Preferred Unit, which shall be 1.0 unless and until such rate is adjusted as set forth in Section 5.14(b)(vi)(E).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Unit</w:t>
      </w:r>
      <w:r>
        <w:rPr>
          <w:rFonts w:ascii="Arial" w:cs="Arial" w:eastAsia="Arial" w:hAnsi="Arial"/>
          <w:sz w:val="18"/>
          <w:szCs w:val="18"/>
          <w:color w:val="auto"/>
        </w:rPr>
        <w:t>” means a Common Unit issued upon conversion of a Series A Preferred Unit pursuant to Section 5.14(b)(vi). Immediately upon such issuance, each Series A Conversion Unit shall be considered a Common Unit for all purposes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Converting Unitholder</w:t>
      </w:r>
      <w:r>
        <w:rPr>
          <w:rFonts w:ascii="Arial" w:cs="Arial" w:eastAsia="Arial" w:hAnsi="Arial"/>
          <w:sz w:val="18"/>
          <w:szCs w:val="18"/>
          <w:color w:val="auto"/>
        </w:rPr>
        <w:t>” means a Person entitled to receive Common Units upon conversion of any Series A Preferred Units.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Distribution Amount</w:t>
      </w:r>
      <w:r>
        <w:rPr>
          <w:rFonts w:ascii="Arial" w:cs="Arial" w:eastAsia="Arial" w:hAnsi="Arial"/>
          <w:sz w:val="18"/>
          <w:szCs w:val="18"/>
          <w:color w:val="auto"/>
        </w:rPr>
        <w:t>” means, subject to adjustment in accordance with Section 5.14(b)(ix), an amount per Quarter per Series A Preferred Unit equal to $0.525, which amount may be paid in additional Series A Preferred Units, cash or a combination thereof during the Initial Distribution Period as provided in Section 5.14(b)(1)(A).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Forced Conversion Notice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Forced Conversion Notice Date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Issuance Date</w:t>
      </w:r>
      <w:r>
        <w:rPr>
          <w:rFonts w:ascii="Arial" w:cs="Arial" w:eastAsia="Arial" w:hAnsi="Arial"/>
          <w:sz w:val="18"/>
          <w:szCs w:val="18"/>
          <w:color w:val="auto"/>
        </w:rPr>
        <w:t>” means January 28,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Issue Price</w:t>
      </w:r>
      <w:r>
        <w:rPr>
          <w:rFonts w:ascii="Arial" w:cs="Arial" w:eastAsia="Arial" w:hAnsi="Arial"/>
          <w:sz w:val="18"/>
          <w:szCs w:val="18"/>
          <w:color w:val="auto"/>
        </w:rPr>
        <w:t>” means $26.25 per Series A Preferred Unit.</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A Liquidation Value</w:t>
      </w:r>
      <w:r>
        <w:rPr>
          <w:rFonts w:ascii="Arial" w:cs="Arial" w:eastAsia="Arial" w:hAnsi="Arial"/>
          <w:sz w:val="16"/>
          <w:szCs w:val="16"/>
          <w:color w:val="auto"/>
        </w:rPr>
        <w:t>” means, with respect to each Series A Preferred Unit Outstanding as of the date of such determination, an amount equal to the sum of (i) the Series A Issue Price, plus (ii) all Series A Unpaid Cash Distributions and any accrued and unpaid Series A PIK Preferred Units, plus</w:t>
      </w:r>
    </w:p>
    <w:p>
      <w:pPr>
        <w:ind w:left="660" w:right="1940" w:hanging="652"/>
        <w:spacing w:after="0" w:line="521" w:lineRule="auto"/>
        <w:tabs>
          <w:tab w:leader="none" w:pos="327"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accrued but unpaid distributions on such Series A Preferred Unit with respect to the Quarter in which the liquidation occurs. “</w:t>
      </w:r>
      <w:r>
        <w:rPr>
          <w:rFonts w:ascii="Arial" w:cs="Arial" w:eastAsia="Arial" w:hAnsi="Arial"/>
          <w:sz w:val="17"/>
          <w:szCs w:val="17"/>
          <w:i w:val="1"/>
          <w:iCs w:val="1"/>
          <w:color w:val="auto"/>
        </w:rPr>
        <w:t>Series A Parity Equivalent Units</w:t>
      </w:r>
      <w:r>
        <w:rPr>
          <w:rFonts w:ascii="Arial" w:cs="Arial" w:eastAsia="Arial" w:hAnsi="Arial"/>
          <w:sz w:val="17"/>
          <w:szCs w:val="17"/>
          <w:color w:val="auto"/>
        </w:rPr>
        <w:t>” has the meaning assigned to such term in Section 5.14(b)(iv).</w:t>
      </w:r>
    </w:p>
    <w:p>
      <w:pPr>
        <w:spacing w:after="0" w:line="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Parity Securities</w:t>
      </w:r>
      <w:r>
        <w:rPr>
          <w:rFonts w:ascii="Arial" w:cs="Arial" w:eastAsia="Arial" w:hAnsi="Arial"/>
          <w:sz w:val="18"/>
          <w:szCs w:val="18"/>
          <w:color w:val="auto"/>
        </w:rPr>
        <w:t>” means any class or series of Partnership Interests that, with respect to distributions on such Partnership Interests or distributions upon liquidation of the Partnership, ranks pari passu with the Series A Preferred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“Series A PIK Units” </w:t>
      </w:r>
      <w:r>
        <w:rPr>
          <w:rFonts w:ascii="Arial" w:cs="Arial" w:eastAsia="Arial" w:hAnsi="Arial"/>
          <w:sz w:val="16"/>
          <w:szCs w:val="16"/>
          <w:color w:val="auto"/>
        </w:rPr>
        <w:t>means any Series A Preferred Units issued pursuant to a Series A Quarterly Distribution in accordance with Section 5.14(b)(i)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ectPr>
          <w:pgSz w:w="11900" w:h="16838" w:orient="portrait"/>
          <w:cols w:equalWidth="0" w:num="1">
            <w:col w:w="11420"/>
          </w:cols>
          <w:pgMar w:left="240" w:top="125" w:right="239" w:bottom="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 xml:space="preserve">“Series A PIK Payment Date” </w:t>
      </w:r>
      <w:r>
        <w:rPr>
          <w:rFonts w:ascii="Arial" w:cs="Arial" w:eastAsia="Arial" w:hAnsi="Arial"/>
          <w:sz w:val="18"/>
          <w:szCs w:val="18"/>
          <w:color w:val="auto"/>
        </w:rPr>
        <w:t>has the meaning assigned to such term in Section 5.14(b)(i)(E).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Preferred Unitholder</w:t>
      </w:r>
      <w:r>
        <w:rPr>
          <w:rFonts w:ascii="Arial" w:cs="Arial" w:eastAsia="Arial" w:hAnsi="Arial"/>
          <w:sz w:val="18"/>
          <w:szCs w:val="18"/>
          <w:color w:val="auto"/>
        </w:rPr>
        <w:t>” means a Record Holder of Series A Preferred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Preferred Units</w:t>
      </w:r>
      <w:r>
        <w:rPr>
          <w:rFonts w:ascii="Arial" w:cs="Arial" w:eastAsia="Arial" w:hAnsi="Arial"/>
          <w:sz w:val="18"/>
          <w:szCs w:val="18"/>
          <w:color w:val="auto"/>
        </w:rPr>
        <w:t>” has the meaning assigned to such term in Section 5.14(a).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Purchase Agreement</w:t>
      </w:r>
      <w:r>
        <w:rPr>
          <w:rFonts w:ascii="Arial" w:cs="Arial" w:eastAsia="Arial" w:hAnsi="Arial"/>
          <w:sz w:val="18"/>
          <w:szCs w:val="18"/>
          <w:color w:val="auto"/>
        </w:rPr>
        <w:t>” means the Series A Preferred Unit Purchase Agreement, dated as of January 12, 2016, by and among the Partnership and the Series A Purchasers, as amended.</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Purchasers</w:t>
      </w:r>
      <w:r>
        <w:rPr>
          <w:rFonts w:ascii="Arial" w:cs="Arial" w:eastAsia="Arial" w:hAnsi="Arial"/>
          <w:sz w:val="18"/>
          <w:szCs w:val="18"/>
          <w:color w:val="auto"/>
        </w:rPr>
        <w:t>” means those Persons set forth on Schedule A to the Series A Purchase Agreement, and their permitted assigns in accordance with the Series A Purchase Agreement and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Quarterly Distribution</w:t>
      </w:r>
      <w:r>
        <w:rPr>
          <w:rFonts w:ascii="Arial" w:cs="Arial" w:eastAsia="Arial" w:hAnsi="Arial"/>
          <w:sz w:val="18"/>
          <w:szCs w:val="18"/>
          <w:color w:val="auto"/>
        </w:rPr>
        <w:t>” has the meaning assigned to such term in Section 5.14(b)(i)(A).</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Required Voting Percentage</w:t>
      </w:r>
      <w:r>
        <w:rPr>
          <w:rFonts w:ascii="Arial" w:cs="Arial" w:eastAsia="Arial" w:hAnsi="Arial"/>
          <w:sz w:val="18"/>
          <w:szCs w:val="18"/>
          <w:color w:val="auto"/>
        </w:rPr>
        <w:t>” means 75% or more of the Outstanding Series A Preferred Units, voting separately as a class based upon one vote per Series A Preferred Unit.</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Reset Amount</w:t>
      </w:r>
      <w:r>
        <w:rPr>
          <w:rFonts w:ascii="Arial" w:cs="Arial" w:eastAsia="Arial" w:hAnsi="Arial"/>
          <w:sz w:val="18"/>
          <w:szCs w:val="18"/>
          <w:color w:val="auto"/>
        </w:rPr>
        <w:t>” means a cash amount per Series A Preferred Unit equal to the amount that would be payable per Quarter if a Series A Preferred Unit accrued interest on the face amount thereof at an annualized rate equal to then applicable rate for ten year U.S. Treasury Securities, as determined by the General Partner, plus 5.85%.</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Senior Securities</w:t>
      </w:r>
      <w:r>
        <w:rPr>
          <w:rFonts w:ascii="Arial" w:cs="Arial" w:eastAsia="Arial" w:hAnsi="Arial"/>
          <w:sz w:val="18"/>
          <w:szCs w:val="18"/>
          <w:color w:val="auto"/>
        </w:rPr>
        <w:t>” means any class or series of Partnership Interests that, with respect to distributions on such Partnership Interests or distributions upon liquidation of the Partnership, ranks senior to the Series A Preferred Units.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Trigger Event</w:t>
      </w:r>
      <w:r>
        <w:rPr>
          <w:rFonts w:ascii="Arial" w:cs="Arial" w:eastAsia="Arial" w:hAnsi="Arial"/>
          <w:sz w:val="18"/>
          <w:szCs w:val="18"/>
          <w:color w:val="auto"/>
        </w:rPr>
        <w:t>” means any time at which distributions payable on the Series A Preferred Units have not been declared and paid in full with respect to three full Quarters, without regard as to whether such Quarters are consecutive.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Unpaid Cash Distributions</w:t>
      </w:r>
      <w:r>
        <w:rPr>
          <w:rFonts w:ascii="Arial" w:cs="Arial" w:eastAsia="Arial" w:hAnsi="Arial"/>
          <w:sz w:val="18"/>
          <w:szCs w:val="18"/>
          <w:color w:val="auto"/>
        </w:rPr>
        <w:t>” has the meaning assigned to such term in Section 5.14(b)(i)(B).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Simplification Agreement</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“Special Approval” </w:t>
      </w:r>
      <w:r>
        <w:rPr>
          <w:rFonts w:ascii="Arial" w:cs="Arial" w:eastAsia="Arial" w:hAnsi="Arial"/>
          <w:sz w:val="18"/>
          <w:szCs w:val="18"/>
          <w:color w:val="auto"/>
        </w:rPr>
        <w:t>means approval by a majority of the members of the Conflicts Committee.</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with respect to any Person, (a) a corporation of which more than 50% of the voting power of shares entitled (without regard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interest or (ii) the power to elect or direct the election of a majority of the directors or other governing body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Substantially Equivalent Unit</w:t>
      </w:r>
      <w:r>
        <w:rPr>
          <w:rFonts w:ascii="Arial" w:cs="Arial" w:eastAsia="Arial" w:hAnsi="Arial"/>
          <w:sz w:val="18"/>
          <w:szCs w:val="18"/>
          <w:color w:val="auto"/>
        </w:rPr>
        <w:t>” has the meaning assigned to such term in Section 5.14(b)(vii)(B)(2).</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“Substituted Limited Partner” </w:t>
      </w:r>
      <w:r>
        <w:rPr>
          <w:rFonts w:ascii="Arial" w:cs="Arial" w:eastAsia="Arial" w:hAnsi="Arial"/>
          <w:sz w:val="18"/>
          <w:szCs w:val="18"/>
          <w:color w:val="auto"/>
        </w:rPr>
        <w:t>means a Person who is admitted as a Limited Partner to the Partnership pursuant to Section 10.2 in place of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rights of a Limited Partner and who is shown as a Limited Partner on the books and records of the Partnership.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“Surviving Business Entity” </w:t>
      </w:r>
      <w:r>
        <w:rPr>
          <w:rFonts w:ascii="Arial" w:cs="Arial" w:eastAsia="Arial" w:hAnsi="Arial"/>
          <w:sz w:val="18"/>
          <w:szCs w:val="18"/>
          <w:color w:val="auto"/>
        </w:rPr>
        <w:t>has the meaning assigned to such term in Section 14.2(b).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“Trading Day”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has the meaning assigned to such term in Section 4.4(a).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“Transfer Agent” </w:t>
      </w:r>
      <w:r>
        <w:rPr>
          <w:rFonts w:ascii="Arial" w:cs="Arial" w:eastAsia="Arial" w:hAnsi="Arial"/>
          <w:sz w:val="17"/>
          <w:szCs w:val="17"/>
          <w:color w:val="auto"/>
        </w:rPr>
        <w:t>means such bank, trust company or other Person (including the General Partner or one of its Affiliates) as shall be appointed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by the Partnership to act as registrar and transfer agent for the Common Units or other class of Partnership Securities; provided that if no Transfer Agent is specifically designated for any class of Partnership Securities, the General Partner shall act in such capacity.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“Underwriter” </w:t>
      </w:r>
      <w:r>
        <w:rPr>
          <w:rFonts w:ascii="Arial" w:cs="Arial" w:eastAsia="Arial" w:hAnsi="Arial"/>
          <w:sz w:val="16"/>
          <w:szCs w:val="16"/>
          <w:color w:val="auto"/>
        </w:rPr>
        <w:t>means each Person named as an underwriter in Schedule I to the Underwriting Agreement who purchased Common Units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means the Underwriting Agreement dated November 17, 1998 among the Underwriters, the Partnership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providing for the purchase of Common Units by such Underwriters.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“Unit” </w:t>
      </w:r>
      <w:r>
        <w:rPr>
          <w:rFonts w:ascii="Arial" w:cs="Arial" w:eastAsia="Arial" w:hAnsi="Arial"/>
          <w:sz w:val="18"/>
          <w:szCs w:val="18"/>
          <w:color w:val="auto"/>
        </w:rPr>
        <w:t>means a Partnership Security that is designated as a</w:t>
      </w:r>
      <w:r>
        <w:rPr>
          <w:rFonts w:ascii="Arial" w:cs="Arial" w:eastAsia="Arial" w:hAnsi="Arial"/>
          <w:sz w:val="18"/>
          <w:szCs w:val="18"/>
          <w:i w:val="1"/>
          <w:iCs w:val="1"/>
          <w:color w:val="auto"/>
        </w:rPr>
        <w:t xml:space="preserve"> “Unit” </w:t>
      </w:r>
      <w:r>
        <w:rPr>
          <w:rFonts w:ascii="Arial" w:cs="Arial" w:eastAsia="Arial" w:hAnsi="Arial"/>
          <w:sz w:val="18"/>
          <w:szCs w:val="18"/>
          <w:color w:val="auto"/>
        </w:rPr>
        <w:t>and shall include Common Units and Series A Preferred Units but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General Partner Interest.</w:t>
      </w:r>
    </w:p>
    <w:p>
      <w:pPr>
        <w:sectPr>
          <w:pgSz w:w="11900" w:h="16838" w:orient="portrait"/>
          <w:cols w:equalWidth="0" w:num="1">
            <w:col w:w="11420"/>
          </w:cols>
          <w:pgMar w:left="240" w:top="125" w:right="239" w:bottom="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 xml:space="preserve">“Unitholders” </w:t>
      </w:r>
      <w:r>
        <w:rPr>
          <w:rFonts w:ascii="Arial" w:cs="Arial" w:eastAsia="Arial" w:hAnsi="Arial"/>
          <w:sz w:val="18"/>
          <w:szCs w:val="18"/>
          <w:color w:val="auto"/>
        </w:rPr>
        <w:t>means the holders of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“Unit Majority” </w:t>
      </w:r>
      <w:r>
        <w:rPr>
          <w:rFonts w:ascii="Arial" w:cs="Arial" w:eastAsia="Arial" w:hAnsi="Arial"/>
          <w:sz w:val="16"/>
          <w:szCs w:val="16"/>
          <w:color w:val="auto"/>
        </w:rPr>
        <w:t>means at least a majority of the Outstanding Common Units, including the Series A Preferred Units as described in Section 5.14(b)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(iii)(A).</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“Unrealized Gain” </w:t>
      </w:r>
      <w:r>
        <w:rPr>
          <w:rFonts w:ascii="Arial" w:cs="Arial" w:eastAsia="Arial" w:hAnsi="Arial"/>
          <w:sz w:val="18"/>
          <w:szCs w:val="18"/>
          <w:color w:val="auto"/>
        </w:rPr>
        <w:t>attributable to any item of Partnership property means, as of any date of determination, the excess, if any, of (a)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such property as of such date (as determined under Section 5.5(d)) over (b) the Carrying Value of such property as of such date (prior to any adjustment to be made pursuant to Section 5.5(d) as of such date).</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“Unrealized Loss” </w:t>
      </w:r>
      <w:r>
        <w:rPr>
          <w:rFonts w:ascii="Arial" w:cs="Arial" w:eastAsia="Arial" w:hAnsi="Arial"/>
          <w:sz w:val="18"/>
          <w:szCs w:val="18"/>
          <w:color w:val="auto"/>
        </w:rPr>
        <w:t>attributable to any item of Partnership property means, as of any date of determination, the excess, if any, of (a)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such property as of such date (prior to any adjustment to be made pursuant to Section 5.5(d) as of such date) over (b) the fair market value of such property as of such date (as determined under Section 5.5(d)).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GAAP” </w:t>
      </w:r>
      <w:r>
        <w:rPr>
          <w:rFonts w:ascii="Arial" w:cs="Arial" w:eastAsia="Arial" w:hAnsi="Arial"/>
          <w:sz w:val="18"/>
          <w:szCs w:val="18"/>
          <w:color w:val="auto"/>
        </w:rPr>
        <w:t>means United States Generally Accepted Accounting Principles consistently applied.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“Withdrawal Opinion of Counsel” </w:t>
      </w:r>
      <w:r>
        <w:rPr>
          <w:rFonts w:ascii="Arial" w:cs="Arial" w:eastAsia="Arial" w:hAnsi="Arial"/>
          <w:sz w:val="18"/>
          <w:szCs w:val="18"/>
          <w:color w:val="auto"/>
        </w:rPr>
        <w:t>has the meaning assigned to such term in Section 11.1(b).</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“Working Capital Borrowings” </w:t>
      </w:r>
      <w:r>
        <w:rPr>
          <w:rFonts w:ascii="Arial" w:cs="Arial" w:eastAsia="Arial" w:hAnsi="Arial"/>
          <w:sz w:val="16"/>
          <w:szCs w:val="16"/>
          <w:color w:val="auto"/>
        </w:rPr>
        <w:t>means borrowings exclusively for working capital purposes made pursuant to a credit facility or other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all such borrowings thereunder to be reduced to a relatively small amount each year for an economically meaningful period of time.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Construction</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w:t>
      </w:r>
      <w:r>
        <w:rPr>
          <w:rFonts w:ascii="Arial" w:cs="Arial" w:eastAsia="Arial" w:hAnsi="Arial"/>
          <w:sz w:val="18"/>
          <w:szCs w:val="18"/>
          <w:i w:val="1"/>
          <w:iCs w:val="1"/>
          <w:color w:val="auto"/>
        </w:rPr>
        <w:t>“include”</w:t>
      </w:r>
      <w:r>
        <w:rPr>
          <w:rFonts w:ascii="Arial" w:cs="Arial" w:eastAsia="Arial" w:hAnsi="Arial"/>
          <w:sz w:val="18"/>
          <w:szCs w:val="18"/>
          <w:color w:val="auto"/>
        </w:rPr>
        <w:t xml:space="preserve"> or </w:t>
      </w:r>
      <w:r>
        <w:rPr>
          <w:rFonts w:ascii="Arial" w:cs="Arial" w:eastAsia="Arial" w:hAnsi="Arial"/>
          <w:sz w:val="18"/>
          <w:szCs w:val="18"/>
          <w:i w:val="1"/>
          <w:iCs w:val="1"/>
          <w:color w:val="auto"/>
        </w:rPr>
        <w:t>“includes”</w:t>
      </w:r>
      <w:r>
        <w:rPr>
          <w:rFonts w:ascii="Arial" w:cs="Arial" w:eastAsia="Arial" w:hAnsi="Arial"/>
          <w:sz w:val="18"/>
          <w:szCs w:val="18"/>
          <w:color w:val="auto"/>
        </w:rPr>
        <w:t xml:space="preserve"> means includes, without limitation, and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means including, without limitation.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ORGANIZATION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Formation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2001 Predecessor General Partner and the Organizational Limited Partner have previously formed the Partnership as a limited partnership pursuant to the provisions of the Delaware Act.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Name</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name of the Partnership shall be “Plains All American Pipeline, L.P.” The Partnership’s business may be conducted under 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and until changed by the General Partner, the registered office of the Partnership in the State of Delaware shall be located at 2711 Centerville Road, Suite 400, Wilmington,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Delaware 19808, and the registered agent for service of process on the Partnership in the State of Delaware at such registered office shall be The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333 Clay Street, Suite 1600, Houston, Texas 77002 or such other place as the General Partner may from time to time designate by notice to the Limited Partners.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i w:val="1"/>
          <w:iCs w:val="1"/>
          <w:color w:val="auto"/>
        </w:rPr>
        <w:t>Purpose and Business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Purpose and nature of the business to be conducted by the Partnership shall be to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any Group Member or a Partnership activity that generates qualifying income, and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w:t>
      </w:r>
    </w:p>
    <w:p>
      <w:pPr>
        <w:sectPr>
          <w:pgSz w:w="11900" w:h="16838" w:orient="portrait"/>
          <w:cols w:equalWidth="0" w:num="1">
            <w:col w:w="11400"/>
          </w:cols>
          <w:pgMar w:left="240" w:top="125" w:right="259" w:bottom="0" w:gutter="0" w:footer="0" w:header="0"/>
        </w:sectPr>
      </w:pPr>
    </w:p>
    <w:bookmarkStart w:id="41" w:name="page42"/>
    <w:bookmarkEnd w:id="41"/>
    <w:p>
      <w:pPr>
        <w:spacing w:after="0" w:line="9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Powers</w:t>
      </w:r>
      <w:r>
        <w:rPr>
          <w:rFonts w:ascii="Arial" w:cs="Arial" w:eastAsia="Arial" w:hAnsi="Arial"/>
          <w:sz w:val="16"/>
          <w:szCs w:val="16"/>
          <w:color w:val="auto"/>
        </w:rPr>
        <w:t>.</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i w:val="1"/>
          <w:iCs w:val="1"/>
          <w:color w:val="auto"/>
        </w:rPr>
        <w:t>Power of Attorney</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86" w:lineRule="exact"/>
        <w:rPr>
          <w:rFonts w:ascii="Arial" w:cs="Arial" w:eastAsia="Arial" w:hAnsi="Arial"/>
          <w:sz w:val="18"/>
          <w:szCs w:val="18"/>
          <w:color w:val="auto"/>
        </w:rPr>
      </w:pPr>
    </w:p>
    <w:p>
      <w:pPr>
        <w:jc w:val="both"/>
        <w:ind w:left="1300" w:right="220" w:firstLine="653"/>
        <w:spacing w:after="0" w:line="264" w:lineRule="auto"/>
        <w:tabs>
          <w:tab w:leader="none" w:pos="2618"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69" w:lineRule="auto"/>
        <w:rPr>
          <w:sz w:val="20"/>
          <w:szCs w:val="20"/>
          <w:color w:val="auto"/>
        </w:rPr>
      </w:pPr>
      <w:r>
        <w:rPr>
          <w:rFonts w:ascii="Arial" w:cs="Arial" w:eastAsia="Arial" w:hAnsi="Arial"/>
          <w:sz w:val="17"/>
          <w:szCs w:val="17"/>
          <w:color w:val="auto"/>
        </w:rPr>
        <w:t>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or consolidation of the Partnership pursuant to Article XIV; and</w:t>
      </w:r>
    </w:p>
    <w:p>
      <w:pPr>
        <w:spacing w:after="0" w:line="183" w:lineRule="exact"/>
        <w:rPr>
          <w:sz w:val="20"/>
          <w:szCs w:val="20"/>
          <w:color w:val="auto"/>
        </w:rPr>
      </w:pPr>
    </w:p>
    <w:p>
      <w:pPr>
        <w:ind w:left="1300" w:right="140" w:firstLine="653"/>
        <w:spacing w:after="0" w:line="290" w:lineRule="auto"/>
        <w:tabs>
          <w:tab w:leader="none" w:pos="2627"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70" w:lineRule="exact"/>
        <w:rPr>
          <w:sz w:val="20"/>
          <w:szCs w:val="20"/>
          <w:color w:val="auto"/>
        </w:rPr>
      </w:pPr>
    </w:p>
    <w:p>
      <w:pPr>
        <w:jc w:val="both"/>
        <w:ind w:firstLine="1305"/>
        <w:spacing w:after="0" w:line="297" w:lineRule="auto"/>
        <w:tabs>
          <w:tab w:leader="none" w:pos="19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i w:val="1"/>
          <w:iCs w:val="1"/>
          <w:color w:val="auto"/>
        </w:rPr>
        <w:t>Term</w:t>
      </w:r>
      <w:r>
        <w:rPr>
          <w:rFonts w:ascii="Arial" w:cs="Arial" w:eastAsia="Arial" w:hAnsi="Arial"/>
          <w:sz w:val="15"/>
          <w:szCs w:val="15"/>
          <w:color w:val="auto"/>
        </w:rPr>
        <w: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i w:val="1"/>
          <w:iCs w:val="1"/>
          <w:color w:val="auto"/>
        </w:rPr>
        <w:t>Title to Partnership Assets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w:t>
      </w:r>
    </w:p>
    <w:p>
      <w:pPr>
        <w:sectPr>
          <w:pgSz w:w="11900" w:h="16933" w:orient="portrait"/>
          <w:cols w:equalWidth="0" w:num="1">
            <w:col w:w="11420"/>
          </w:cols>
          <w:pgMar w:left="240" w:top="125" w:right="239" w:bottom="0" w:gutter="0" w:footer="0" w:header="0"/>
        </w:sectPr>
      </w:pPr>
    </w:p>
    <w:bookmarkStart w:id="42" w:name="page43"/>
    <w:bookmarkEnd w:id="42"/>
    <w:p>
      <w:pPr>
        <w:ind w:right="120"/>
        <w:spacing w:after="0" w:line="259" w:lineRule="auto"/>
        <w:rPr>
          <w:sz w:val="20"/>
          <w:szCs w:val="20"/>
          <w:color w:val="auto"/>
        </w:rPr>
      </w:pPr>
      <w:r>
        <w:rPr>
          <w:rFonts w:ascii="Arial" w:cs="Arial" w:eastAsia="Arial" w:hAnsi="Arial"/>
          <w:sz w:val="18"/>
          <w:szCs w:val="18"/>
          <w:color w:val="auto"/>
        </w:rPr>
        <w:t>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RIGHTS OF LIMITED PARTNERS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i w:val="1"/>
          <w:iCs w:val="1"/>
          <w:color w:val="auto"/>
        </w:rPr>
        <w:t>Limitation of Liability</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Limited Partners and the Assignees shall have no liability under this Agreement except as expressly provided in this Agreement or the 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i w:val="1"/>
          <w:iCs w:val="1"/>
          <w:color w:val="auto"/>
        </w:rPr>
        <w:t>Management of Business</w:t>
      </w:r>
      <w:r>
        <w:rPr>
          <w:rFonts w:ascii="Arial" w:cs="Arial" w:eastAsia="Arial" w:hAnsi="Arial"/>
          <w:sz w:val="15"/>
          <w:szCs w:val="15"/>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i w:val="1"/>
          <w:iCs w:val="1"/>
          <w:color w:val="auto"/>
        </w:rPr>
        <w:t>Outside Activities of the Limited Partners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i w:val="1"/>
          <w:iCs w:val="1"/>
          <w:color w:val="auto"/>
        </w:rPr>
        <w:t>Rights of Limited Partners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to obtain true and full information regarding the status of the business and financial condition of the Partnership;</w:t>
      </w:r>
    </w:p>
    <w:p>
      <w:pPr>
        <w:spacing w:after="0" w:line="236" w:lineRule="exact"/>
        <w:rPr>
          <w:rFonts w:ascii="Arial" w:cs="Arial" w:eastAsia="Arial" w:hAnsi="Arial"/>
          <w:sz w:val="17"/>
          <w:szCs w:val="17"/>
          <w:color w:val="auto"/>
        </w:rPr>
      </w:pPr>
    </w:p>
    <w:p>
      <w:pPr>
        <w:ind w:left="2640" w:hanging="687"/>
        <w:spacing w:after="0"/>
        <w:tabs>
          <w:tab w:leader="none" w:pos="2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promptly after becoming available, to obtain a copy of the Partnership’s federal, state and local income tax returns for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each year;</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to have furnished to him a current list of the name and last known business, residence or mailing address of each Partner;</w:t>
      </w:r>
    </w:p>
    <w:p>
      <w:pPr>
        <w:spacing w:after="0" w:line="248" w:lineRule="exact"/>
        <w:rPr>
          <w:rFonts w:ascii="Arial" w:cs="Arial" w:eastAsia="Arial" w:hAnsi="Arial"/>
          <w:sz w:val="16"/>
          <w:szCs w:val="16"/>
          <w:color w:val="auto"/>
        </w:rPr>
      </w:pPr>
    </w:p>
    <w:p>
      <w:pPr>
        <w:ind w:left="1300" w:right="20" w:firstLine="653"/>
        <w:spacing w:after="0" w:line="264" w:lineRule="auto"/>
        <w:tabs>
          <w:tab w:leader="none" w:pos="261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81" w:lineRule="exact"/>
        <w:rPr>
          <w:rFonts w:ascii="Arial" w:cs="Arial" w:eastAsia="Arial" w:hAnsi="Arial"/>
          <w:sz w:val="18"/>
          <w:szCs w:val="18"/>
          <w:color w:val="auto"/>
        </w:rPr>
      </w:pPr>
    </w:p>
    <w:p>
      <w:pPr>
        <w:ind w:left="1300" w:right="60" w:firstLine="653"/>
        <w:spacing w:after="0" w:line="277" w:lineRule="auto"/>
        <w:tabs>
          <w:tab w:leader="none" w:pos="26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obtain true and full information regarding the amount of cash and a description and statement of the Net Agreed Value of any other Capital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Contribution by each Partner and which each Partner has agreed to contribute in the future, and the date on which each became a Partner; and</w:t>
      </w:r>
    </w:p>
    <w:p>
      <w:pPr>
        <w:spacing w:after="0" w:line="170" w:lineRule="exact"/>
        <w:rPr>
          <w:sz w:val="20"/>
          <w:szCs w:val="20"/>
          <w:color w:val="auto"/>
        </w:rPr>
      </w:pPr>
    </w:p>
    <w:p>
      <w:pPr>
        <w:ind w:left="2620" w:hanging="667"/>
        <w:spacing w:after="0"/>
        <w:tabs>
          <w:tab w:leader="none" w:pos="2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obtain such other information regarding the affairs of the Partnership as is just and reasonable.</w:t>
      </w:r>
    </w:p>
    <w:p>
      <w:pPr>
        <w:spacing w:after="0" w:line="225" w:lineRule="exact"/>
        <w:rPr>
          <w:rFonts w:ascii="Arial" w:cs="Arial" w:eastAsia="Arial" w:hAnsi="Arial"/>
          <w:sz w:val="18"/>
          <w:szCs w:val="18"/>
          <w:color w:val="auto"/>
        </w:rPr>
      </w:pPr>
    </w:p>
    <w:p>
      <w:pPr>
        <w:ind w:right="180" w:firstLine="1305"/>
        <w:spacing w:after="0" w:line="276" w:lineRule="auto"/>
        <w:tabs>
          <w:tab w:leader="none" w:pos="19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CERTIFICATES; RECORD HOLDERS; TRANSFER OF PARTNERSHIP INTERESTS; REDEMPTION OF PARTNERSHIP INTERESTS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Certificates</w:t>
      </w:r>
      <w:r>
        <w:rPr>
          <w:rFonts w:ascii="Arial" w:cs="Arial" w:eastAsia="Arial" w:hAnsi="Arial"/>
          <w:sz w:val="16"/>
          <w:szCs w:val="16"/>
          <w:color w:val="auto"/>
        </w:rPr>
        <w:t>.</w:t>
      </w:r>
    </w:p>
    <w:p>
      <w:pPr>
        <w:sectPr>
          <w:pgSz w:w="11900" w:h="16838" w:orient="portrait"/>
          <w:cols w:equalWidth="0" w:num="1">
            <w:col w:w="11380"/>
          </w:cols>
          <w:pgMar w:left="240" w:top="125" w:right="279" w:bottom="32" w:gutter="0" w:footer="0" w:header="0"/>
        </w:sectPr>
      </w:pPr>
    </w:p>
    <w:bookmarkStart w:id="43" w:name="page44"/>
    <w:bookmarkEnd w:id="43"/>
    <w:p>
      <w:pPr>
        <w:spacing w:after="0" w:line="11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any Partnership Securities other than Common Units, the Partnership shall issue to such Person one or more certificates evidencing such Partnership Securities other than Common Units. Certificates shall be executed on behalf of the Partnership by the President or any Executive Vice President or Vice President and the Secretary or any Assistant Secretary of the General Partner or one of its Affiliates.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the General Partner or one of its Affiliates on behalf of the Partnership may provide that some or all Common Units may be uncertificated; however, Certificates will be provided to any Unitholder upon such Unitholder’s request.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Mutilated, Destroyed, Lost or Stolen Certificates</w:t>
      </w:r>
      <w:r>
        <w:rPr>
          <w:rFonts w:ascii="Arial" w:cs="Arial" w:eastAsia="Arial" w:hAnsi="Arial"/>
          <w:sz w:val="16"/>
          <w:szCs w:val="16"/>
          <w:color w:val="auto"/>
        </w:rPr>
        <w:t>.</w:t>
      </w:r>
    </w:p>
    <w:p>
      <w:pPr>
        <w:spacing w:after="0" w:line="225" w:lineRule="exact"/>
        <w:rPr>
          <w:sz w:val="20"/>
          <w:szCs w:val="20"/>
          <w:color w:val="auto"/>
        </w:rPr>
      </w:pPr>
    </w:p>
    <w:p>
      <w:pPr>
        <w:ind w:right="360" w:firstLine="1305"/>
        <w:spacing w:after="0" w:line="259" w:lineRule="auto"/>
        <w:tabs>
          <w:tab w:leader="none" w:pos="19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mutilated Certificate is surrendered to the Transfer Agent, the appropriate officers of the General Partner or one of its Affiliates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64" w:lineRule="auto"/>
        <w:tabs>
          <w:tab w:leader="none" w:pos="19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appropriate officers of the General Partner or one of its Affiliates on behalf of the Partnership shall execute and deliver, and the Transfer Agent shall countersign a new Certificate, or shall deliver other evidence of the issuance of uncertificated Units, in place of any Certificate previously issued if the Record Holder of the Certificate:</w:t>
      </w:r>
    </w:p>
    <w:p>
      <w:pPr>
        <w:spacing w:after="0" w:line="181" w:lineRule="exact"/>
        <w:rPr>
          <w:rFonts w:ascii="Arial" w:cs="Arial" w:eastAsia="Arial" w:hAnsi="Arial"/>
          <w:sz w:val="18"/>
          <w:szCs w:val="18"/>
          <w:color w:val="auto"/>
        </w:rPr>
      </w:pPr>
    </w:p>
    <w:p>
      <w:pPr>
        <w:ind w:left="1300" w:right="260" w:firstLine="653"/>
        <w:spacing w:after="0" w:line="277" w:lineRule="auto"/>
        <w:tabs>
          <w:tab w:leader="none" w:pos="26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Partnership, that a previously issued Certificate has been lost, destroyed or stolen;</w:t>
      </w:r>
    </w:p>
    <w:p>
      <w:pPr>
        <w:spacing w:after="0" w:line="170" w:lineRule="exact"/>
        <w:rPr>
          <w:rFonts w:ascii="Arial" w:cs="Arial" w:eastAsia="Arial" w:hAnsi="Arial"/>
          <w:sz w:val="18"/>
          <w:szCs w:val="18"/>
          <w:color w:val="auto"/>
        </w:rPr>
      </w:pPr>
    </w:p>
    <w:p>
      <w:pPr>
        <w:ind w:left="1300" w:firstLine="653"/>
        <w:spacing w:after="0" w:line="342" w:lineRule="auto"/>
        <w:tabs>
          <w:tab w:leader="none" w:pos="2627" w:val="left"/>
        </w:tabs>
        <w:numPr>
          <w:ilvl w:val="1"/>
          <w:numId w:val="76"/>
        </w:numPr>
        <w:rPr>
          <w:rFonts w:ascii="Arial" w:cs="Arial" w:eastAsia="Arial" w:hAnsi="Arial"/>
          <w:sz w:val="16"/>
          <w:szCs w:val="16"/>
          <w:color w:val="auto"/>
        </w:rPr>
      </w:pPr>
      <w:r>
        <w:rPr>
          <w:rFonts w:ascii="Arial" w:cs="Arial" w:eastAsia="Arial" w:hAnsi="Arial"/>
          <w:sz w:val="16"/>
          <w:szCs w:val="16"/>
          <w:color w:val="auto"/>
        </w:rPr>
        <w:t>requests the issuance of a new Certificate, or other evidence of the issuance of uncertificated Units, before the Partnership has notice that the Certificate has been acquired by a purchaser for value in good faith and without notice of an adverse claim;</w:t>
      </w:r>
    </w:p>
    <w:p>
      <w:pPr>
        <w:spacing w:after="0" w:line="123" w:lineRule="exact"/>
        <w:rPr>
          <w:rFonts w:ascii="Arial" w:cs="Arial" w:eastAsia="Arial" w:hAnsi="Arial"/>
          <w:sz w:val="16"/>
          <w:szCs w:val="16"/>
          <w:color w:val="auto"/>
        </w:rPr>
      </w:pPr>
    </w:p>
    <w:p>
      <w:pPr>
        <w:ind w:left="1300" w:right="140" w:firstLine="653"/>
        <w:spacing w:after="0" w:line="259" w:lineRule="auto"/>
        <w:tabs>
          <w:tab w:leader="none" w:pos="2637"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Partnership.</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w:t>
      </w:r>
    </w:p>
    <w:p>
      <w:pPr>
        <w:spacing w:after="0" w:line="154" w:lineRule="exact"/>
        <w:rPr>
          <w:sz w:val="20"/>
          <w:szCs w:val="20"/>
          <w:color w:val="auto"/>
        </w:rPr>
      </w:pPr>
    </w:p>
    <w:p>
      <w:pPr>
        <w:ind w:right="500" w:firstLine="1305"/>
        <w:spacing w:after="0" w:line="286" w:lineRule="auto"/>
        <w:tabs>
          <w:tab w:leader="none" w:pos="19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i w:val="1"/>
          <w:iCs w:val="1"/>
          <w:color w:val="auto"/>
        </w:rPr>
        <w:t>Record Holders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between the Partnership on the one hand, and such other Persons on the other, such representative Person (a) shall be the Partner or Assignee (as the case may be) of record and beneficially, and (b) shall be bound by this Agreement and shall have the rights and obligations of a Partner or Assignee (as the case may be) hereunder and as, and to the extent, provided for herein.</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Transfer Generally</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term “transfer,” when used in this Agreement with respect to a Partnership Interest, shall be deemed to refer to a transaction</w:t>
      </w:r>
    </w:p>
    <w:p>
      <w:pPr>
        <w:spacing w:after="0" w:line="46" w:lineRule="exact"/>
        <w:rPr>
          <w:rFonts w:ascii="Arial" w:cs="Arial" w:eastAsia="Arial" w:hAnsi="Arial"/>
          <w:sz w:val="16"/>
          <w:szCs w:val="16"/>
          <w:color w:val="auto"/>
        </w:rPr>
      </w:pPr>
    </w:p>
    <w:p>
      <w:pPr>
        <w:ind w:right="20" w:firstLine="8"/>
        <w:spacing w:after="0" w:line="295" w:lineRule="auto"/>
        <w:tabs>
          <w:tab w:leader="none" w:pos="2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by which the General Partner assigns its General Partner Interest to another Person who becomes the General Partner,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w:t>
      </w:r>
    </w:p>
    <w:p>
      <w:pPr>
        <w:spacing w:after="0" w:line="161" w:lineRule="exact"/>
        <w:rPr>
          <w:rFonts w:ascii="Arial" w:cs="Arial" w:eastAsia="Arial" w:hAnsi="Arial"/>
          <w:sz w:val="16"/>
          <w:szCs w:val="16"/>
          <w:color w:val="auto"/>
        </w:rPr>
      </w:pPr>
    </w:p>
    <w:p>
      <w:pPr>
        <w:ind w:right="20" w:firstLine="1305"/>
        <w:spacing w:after="0" w:line="308" w:lineRule="auto"/>
        <w:tabs>
          <w:tab w:leader="none" w:pos="1952" w:val="left"/>
        </w:tabs>
        <w:numPr>
          <w:ilvl w:val="1"/>
          <w:numId w:val="79"/>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ectPr>
          <w:pgSz w:w="11900" w:h="16953" w:orient="portrait"/>
          <w:cols w:equalWidth="0" w:num="1">
            <w:col w:w="11400"/>
          </w:cols>
          <w:pgMar w:left="240" w:top="125" w:right="259" w:bottom="0" w:gutter="0" w:footer="0" w:header="0"/>
        </w:sectPr>
      </w:pPr>
    </w:p>
    <w:bookmarkStart w:id="44" w:name="page45"/>
    <w:bookmarkEnd w:id="44"/>
    <w:p>
      <w:pPr>
        <w:spacing w:after="0" w:line="83" w:lineRule="exact"/>
        <w:rPr>
          <w:sz w:val="20"/>
          <w:szCs w:val="20"/>
          <w:color w:val="auto"/>
        </w:rPr>
      </w:pPr>
    </w:p>
    <w:p>
      <w:pPr>
        <w:ind w:right="20" w:firstLine="1305"/>
        <w:spacing w:after="0" w:line="264" w:lineRule="auto"/>
        <w:tabs>
          <w:tab w:leader="none" w:pos="19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prevent a disposition by any stockholder, member, partner or owner of the General Partner of any or all of the issued and outstanding stock, membership interests, partnership interests or other ownership interests, as applicable, of the General Partner.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Registration and Transfer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9" w:lineRule="auto"/>
        <w:tabs>
          <w:tab w:leader="none" w:pos="194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or one of its Affiliates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57"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w:t>
      </w:r>
    </w:p>
    <w:p>
      <w:pPr>
        <w:spacing w:after="0" w:line="188" w:lineRule="exact"/>
        <w:rPr>
          <w:rFonts w:ascii="Arial" w:cs="Arial" w:eastAsia="Arial" w:hAnsi="Arial"/>
          <w:sz w:val="18"/>
          <w:szCs w:val="18"/>
          <w:color w:val="auto"/>
        </w:rPr>
      </w:pPr>
    </w:p>
    <w:p>
      <w:pPr>
        <w:ind w:right="240" w:firstLine="1305"/>
        <w:spacing w:after="0" w:line="264" w:lineRule="auto"/>
        <w:tabs>
          <w:tab w:leader="none" w:pos="19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Limited Partner Interests may be transferred only in the manner described in this Section 4.5 or, with respect to the Series A Preferred Units, subject to 5.14(b)(viii). The transfer of any Limited Partner Interests and the admission of any new Limited Partner shall not constitute an amendment to this Agreement.</w:t>
      </w:r>
    </w:p>
    <w:p>
      <w:pPr>
        <w:spacing w:after="0" w:line="181" w:lineRule="exact"/>
        <w:rPr>
          <w:rFonts w:ascii="Arial" w:cs="Arial" w:eastAsia="Arial" w:hAnsi="Arial"/>
          <w:sz w:val="18"/>
          <w:szCs w:val="18"/>
          <w:color w:val="auto"/>
        </w:rPr>
      </w:pPr>
    </w:p>
    <w:p>
      <w:pPr>
        <w:ind w:firstLine="1305"/>
        <w:spacing w:after="0" w:line="264"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General Partner and its Affiliates shall have the right at any time to transfer their Common Units to one or more Persons.</w:t>
      </w:r>
    </w:p>
    <w:p>
      <w:pPr>
        <w:spacing w:after="0" w:line="2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i w:val="1"/>
          <w:iCs w:val="1"/>
          <w:color w:val="auto"/>
        </w:rPr>
        <w:t>Transfer of the General Partner’s General Partner Interest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Subject to Section 4.6(b), the General Partner may transfer all or any part of its General Partner Interest without Unitholder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approval.</w:t>
      </w:r>
    </w:p>
    <w:p>
      <w:pPr>
        <w:spacing w:after="0" w:line="211" w:lineRule="exact"/>
        <w:rPr>
          <w:sz w:val="20"/>
          <w:szCs w:val="20"/>
          <w:color w:val="auto"/>
        </w:rPr>
      </w:pPr>
    </w:p>
    <w:p>
      <w:pPr>
        <w:ind w:right="40" w:firstLine="1305"/>
        <w:spacing w:after="0" w:line="285" w:lineRule="auto"/>
        <w:tabs>
          <w:tab w:leader="none" w:pos="1952" w:val="left"/>
        </w:tabs>
        <w:numPr>
          <w:ilvl w:val="1"/>
          <w:numId w:val="84"/>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w:t>
      </w:r>
    </w:p>
    <w:p>
      <w:pPr>
        <w:spacing w:after="0" w:line="2" w:lineRule="exact"/>
        <w:rPr>
          <w:rFonts w:ascii="Arial" w:cs="Arial" w:eastAsia="Arial" w:hAnsi="Arial"/>
          <w:sz w:val="16"/>
          <w:szCs w:val="16"/>
          <w:color w:val="auto"/>
        </w:rPr>
      </w:pPr>
    </w:p>
    <w:p>
      <w:pPr>
        <w:ind w:firstLine="8"/>
        <w:spacing w:after="0" w:line="295" w:lineRule="auto"/>
        <w:tabs>
          <w:tab w:leader="none" w:pos="3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transferee also agrees to purchase all (or the appropriate portion thereof, if applicable) of the partnership interest of the General Partner as the general partner or managing member of each other Group Member, if applicable. In the case of a transfer pursuant to and in compliance with this Section 4.6, 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i w:val="1"/>
          <w:iCs w:val="1"/>
          <w:color w:val="auto"/>
        </w:rPr>
        <w:t>Restrictions on Transfers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55"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provided in Section 4.8(c)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w:t>
      </w:r>
    </w:p>
    <w:p>
      <w:pPr>
        <w:spacing w:after="0" w:line="193" w:lineRule="exact"/>
        <w:rPr>
          <w:rFonts w:ascii="Arial" w:cs="Arial" w:eastAsia="Arial" w:hAnsi="Arial"/>
          <w:sz w:val="18"/>
          <w:szCs w:val="18"/>
          <w:color w:val="auto"/>
        </w:rPr>
      </w:pPr>
    </w:p>
    <w:p>
      <w:pPr>
        <w:ind w:firstLine="1305"/>
        <w:spacing w:after="0" w:line="272" w:lineRule="auto"/>
        <w:tabs>
          <w:tab w:leader="none" w:pos="195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w:t>
      </w:r>
    </w:p>
    <w:p>
      <w:pPr>
        <w:sectPr>
          <w:pgSz w:w="11900" w:h="16921" w:orient="portrait"/>
          <w:cols w:equalWidth="0" w:num="1">
            <w:col w:w="11400"/>
          </w:cols>
          <w:pgMar w:left="240" w:top="341" w:right="259" w:bottom="0" w:gutter="0" w:footer="0" w:header="0"/>
        </w:sectPr>
      </w:pPr>
    </w:p>
    <w:bookmarkStart w:id="45" w:name="page46"/>
    <w:bookmarkEnd w:id="45"/>
    <w:p>
      <w:pPr>
        <w:ind w:right="260" w:firstLine="1305"/>
        <w:spacing w:after="0" w:line="342" w:lineRule="auto"/>
        <w:tabs>
          <w:tab w:leader="none" w:pos="19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Citizenship Certificates; Non-citizen Assignees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42"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w:t>
      </w:r>
    </w:p>
    <w:p>
      <w:pPr>
        <w:spacing w:after="0" w:line="181" w:lineRule="exact"/>
        <w:rPr>
          <w:sz w:val="20"/>
          <w:szCs w:val="20"/>
          <w:color w:val="auto"/>
        </w:rPr>
      </w:pPr>
    </w:p>
    <w:p>
      <w:pPr>
        <w:ind w:right="340" w:firstLine="1305"/>
        <w:spacing w:after="0" w:line="264" w:lineRule="auto"/>
        <w:tabs>
          <w:tab w:leader="none" w:pos="19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right="40" w:firstLine="1305"/>
        <w:spacing w:after="0" w:line="279" w:lineRule="auto"/>
        <w:tabs>
          <w:tab w:leader="none" w:pos="19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1" w:lineRule="exact"/>
        <w:rPr>
          <w:rFonts w:ascii="Arial" w:cs="Arial" w:eastAsia="Arial" w:hAnsi="Arial"/>
          <w:sz w:val="17"/>
          <w:szCs w:val="17"/>
          <w:color w:val="auto"/>
        </w:rPr>
      </w:pPr>
    </w:p>
    <w:p>
      <w:pPr>
        <w:ind w:right="20" w:firstLine="1305"/>
        <w:spacing w:after="0" w:line="302" w:lineRule="auto"/>
        <w:tabs>
          <w:tab w:leader="none" w:pos="19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Section 4.10 and upon such Non-Citizen Assignees admission pursuant to Section 10.2, the General Partner shall cease to be deemed to be the Limited Partner in respect of the Non-citizen Assignee’s Limited Partner Interests.</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Redemption of Partnership Interests of Non-citizen Assignees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5" w:lineRule="auto"/>
        <w:tabs>
          <w:tab w:leader="none" w:pos="19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93" w:lineRule="exact"/>
        <w:rPr>
          <w:rFonts w:ascii="Arial" w:cs="Arial" w:eastAsia="Arial" w:hAnsi="Arial"/>
          <w:sz w:val="18"/>
          <w:szCs w:val="18"/>
          <w:color w:val="auto"/>
        </w:rPr>
      </w:pPr>
    </w:p>
    <w:p>
      <w:pPr>
        <w:ind w:left="1300" w:right="200" w:firstLine="653"/>
        <w:spacing w:after="0" w:line="276" w:lineRule="auto"/>
        <w:tabs>
          <w:tab w:leader="none" w:pos="2618"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uncertificated Units and that on and after the date fixed for redemption no further allocations or distributions to which the Limited Partner or Assignee would otherwise be entitled in respect of the Redeemable Interests will accrue or be made.</w:t>
      </w:r>
    </w:p>
    <w:p>
      <w:pPr>
        <w:spacing w:after="0" w:line="170" w:lineRule="exact"/>
        <w:rPr>
          <w:sz w:val="20"/>
          <w:szCs w:val="20"/>
          <w:color w:val="auto"/>
        </w:rPr>
      </w:pPr>
    </w:p>
    <w:p>
      <w:pPr>
        <w:ind w:left="1300" w:firstLine="653"/>
        <w:spacing w:after="0" w:line="273" w:lineRule="auto"/>
        <w:tabs>
          <w:tab w:leader="none" w:pos="262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78" w:lineRule="exact"/>
        <w:rPr>
          <w:rFonts w:ascii="Arial" w:cs="Arial" w:eastAsia="Arial" w:hAnsi="Arial"/>
          <w:sz w:val="17"/>
          <w:szCs w:val="17"/>
          <w:color w:val="auto"/>
        </w:rPr>
      </w:pPr>
    </w:p>
    <w:p>
      <w:pPr>
        <w:ind w:left="1300" w:right="40" w:firstLine="653"/>
        <w:spacing w:after="0" w:line="259" w:lineRule="auto"/>
        <w:tabs>
          <w:tab w:leader="none" w:pos="26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Assignee, at the place specified in the notice of redemption, of the Certificate evidencing the Redeemable Interests, duly endorsed in blank or accompanied by an assignment duly executed in blank, or other evidence of the issuance of uncertificated Units, the Limited Partner or Assignee or his duly authorized representative shall be entitled to receive the payment therefor.</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Interests.</w:t>
      </w:r>
    </w:p>
    <w:p>
      <w:pPr>
        <w:sectPr>
          <w:pgSz w:w="11900" w:h="16838" w:orient="portrait"/>
          <w:cols w:equalWidth="0" w:num="1">
            <w:col w:w="11420"/>
          </w:cols>
          <w:pgMar w:left="240" w:top="341" w:right="239" w:bottom="18" w:gutter="0" w:footer="0" w:header="0"/>
        </w:sectPr>
      </w:pPr>
    </w:p>
    <w:bookmarkStart w:id="46" w:name="page47"/>
    <w:bookmarkEnd w:id="46"/>
    <w:p>
      <w:pPr>
        <w:ind w:right="220" w:firstLine="1305"/>
        <w:spacing w:after="0" w:line="277" w:lineRule="auto"/>
        <w:tabs>
          <w:tab w:leader="none" w:pos="19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provisions of this Section 4.10 shall also be applicable to Limited Partner Interests held by a Limited Partner or Assignee as nominee of a Person determined to be other than an Eligible Citizen.</w:t>
      </w:r>
    </w:p>
    <w:p>
      <w:pPr>
        <w:spacing w:after="0" w:line="170" w:lineRule="exact"/>
        <w:rPr>
          <w:rFonts w:ascii="Arial" w:cs="Arial" w:eastAsia="Arial" w:hAnsi="Arial"/>
          <w:sz w:val="18"/>
          <w:szCs w:val="18"/>
          <w:color w:val="auto"/>
        </w:rPr>
      </w:pPr>
    </w:p>
    <w:p>
      <w:pPr>
        <w:ind w:right="80" w:firstLine="1305"/>
        <w:spacing w:after="0" w:line="257" w:lineRule="auto"/>
        <w:tabs>
          <w:tab w:leader="none" w:pos="19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that he is an Eligible Citizen. If the transferee fails to make such certification, such redemption shall be effected from the transferee on the original redemption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CONTRIBUTIONS AND ISSUANCE OF PARTNERSHIP INTERESTS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Conversion of the General Partner Interest and Repurchase of Incentive Distribution Rights.</w:t>
      </w:r>
    </w:p>
    <w:p>
      <w:pPr>
        <w:spacing w:after="0" w:line="225" w:lineRule="exact"/>
        <w:rPr>
          <w:sz w:val="20"/>
          <w:szCs w:val="20"/>
          <w:color w:val="auto"/>
        </w:rPr>
      </w:pPr>
    </w:p>
    <w:p>
      <w:pPr>
        <w:ind w:right="380" w:firstLine="1305"/>
        <w:spacing w:after="0" w:line="264" w:lineRule="auto"/>
        <w:tabs>
          <w:tab w:leader="none" w:pos="1942"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this Agreement and the Simplification Agreement, the General Partner Interest (as defined in the Fifth A&amp;R LP Agreement) in the Partnership that existed immediately prior to the execution of this Agreement is hereby converted into a non-economic general partner interest in the Partnership. As of the execution of this Agreement, PAA GP LLC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hereby continues as general partner of the Partnership and holds the General Partner Interest and the Partnership is hereby continued without dissolution.</w:t>
      </w:r>
    </w:p>
    <w:p>
      <w:pPr>
        <w:spacing w:after="0" w:line="248" w:lineRule="exact"/>
        <w:rPr>
          <w:sz w:val="20"/>
          <w:szCs w:val="20"/>
          <w:color w:val="auto"/>
        </w:rPr>
      </w:pPr>
    </w:p>
    <w:p>
      <w:pPr>
        <w:ind w:right="20" w:firstLine="1305"/>
        <w:spacing w:after="0" w:line="264"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and pursuant to this Agreement and the Simplification Agreement, all outstanding Incentive Distribution Rights (as defined in the Fifth A&amp;R LP Agreement) are being redeemed by the Partnership and such Incentive Distribution Rights are hereby cancelled.</w:t>
      </w:r>
    </w:p>
    <w:p>
      <w:pPr>
        <w:spacing w:after="0" w:line="181" w:lineRule="exact"/>
        <w:rPr>
          <w:rFonts w:ascii="Arial" w:cs="Arial" w:eastAsia="Arial" w:hAnsi="Arial"/>
          <w:sz w:val="18"/>
          <w:szCs w:val="18"/>
          <w:color w:val="auto"/>
        </w:rPr>
      </w:pPr>
    </w:p>
    <w:p>
      <w:pPr>
        <w:ind w:right="160" w:firstLine="1305"/>
        <w:spacing w:after="0" w:line="264"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Pursuant to the Simplification Agreement, the Partnership (i) has issued [244,707,926] Common Units to Plains AAP on the date hereof and (ii) will, from time to time, issue a number of Common Units to Plains AAP as required by Section 2.5(a) of the Simplification Agreement pursuant to Section 4.2(c)(i) of the Omnibus Agreement, which issuances are hereby ratified and approved.</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Contributions by the General Partner.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Article XII, the General Partner shall not be obligated to make any additional Capital Contributions to the Partnership.</w:t>
      </w:r>
    </w:p>
    <w:p>
      <w:pPr>
        <w:spacing w:after="0" w:line="2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i w:val="1"/>
          <w:iCs w:val="1"/>
          <w:color w:val="auto"/>
        </w:rPr>
        <w:t>Interest and Withdrawal</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17-502(b) of the Delaware Act.</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i w:val="1"/>
          <w:iCs w:val="1"/>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4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 For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avoidance of doubt, the Series A Preferred Units will be treated as a partnership interest in the Partnership that is “convertible equity” within the meaning of Treasury Regulation Section 1.721-2(g)(3), and, therefore, each holder of a Series A Preferred Unit will be treated as a partner in the Partnership. The initial Capital Account balance in respect of each Series A Preferred Unit shall be the Series A Issue Price, as such amount may be adjusted in accordance with the Series A Purchase Agreement for any reduction attributable to the Transaction Fee, as such term is defined in the Series A Purchase Agreement and expenses reimbursable under the Series A Purchase Agreement. The Capital Account balance of each holder of Series A Preferred Units in respect of its Series A Preferred Units shall not be increased or decreased as a result of the accrual and accumulation of an unpaid distribution pursuant to Section 5.14(b)(i)</w:t>
      </w:r>
    </w:p>
    <w:p>
      <w:pPr>
        <w:spacing w:after="0" w:line="5"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 Section 5.14(b)(i)(C) in respect of such Series A Preferred Units except as otherwise provided in this Agreement.</w:t>
      </w:r>
    </w:p>
    <w:p>
      <w:pPr>
        <w:spacing w:after="0" w:line="210" w:lineRule="exact"/>
        <w:rPr>
          <w:rFonts w:ascii="Arial" w:cs="Arial" w:eastAsia="Arial" w:hAnsi="Arial"/>
          <w:sz w:val="18"/>
          <w:szCs w:val="18"/>
          <w:color w:val="auto"/>
        </w:rPr>
      </w:pPr>
    </w:p>
    <w:p>
      <w:pPr>
        <w:ind w:right="200" w:firstLine="1305"/>
        <w:spacing w:after="0" w:line="259" w:lineRule="auto"/>
        <w:tabs>
          <w:tab w:leader="none" w:pos="1952"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ectPr>
          <w:pgSz w:w="11900" w:h="16838" w:orient="portrait"/>
          <w:cols w:equalWidth="0" w:num="1">
            <w:col w:w="11420"/>
          </w:cols>
          <w:pgMar w:left="240" w:top="125" w:right="239" w:bottom="0" w:gutter="0" w:footer="0" w:header="0"/>
        </w:sectPr>
      </w:pPr>
    </w:p>
    <w:bookmarkStart w:id="47" w:name="page48"/>
    <w:bookmarkEnd w:id="47"/>
    <w:p>
      <w:pPr>
        <w:spacing w:after="0" w:line="106" w:lineRule="exact"/>
        <w:rPr>
          <w:sz w:val="20"/>
          <w:szCs w:val="20"/>
          <w:color w:val="auto"/>
        </w:rPr>
      </w:pPr>
    </w:p>
    <w:p>
      <w:pPr>
        <w:ind w:left="1280" w:right="440" w:firstLine="653"/>
        <w:spacing w:after="0" w:line="312" w:lineRule="auto"/>
        <w:tabs>
          <w:tab w:leader="none" w:pos="2598" w:val="left"/>
        </w:tabs>
        <w:numPr>
          <w:ilvl w:val="0"/>
          <w:numId w:val="97"/>
        </w:numPr>
        <w:rPr>
          <w:rFonts w:ascii="Arial" w:cs="Arial" w:eastAsia="Arial" w:hAnsi="Arial"/>
          <w:sz w:val="16"/>
          <w:szCs w:val="16"/>
          <w:color w:val="auto"/>
        </w:rPr>
      </w:pPr>
      <w:r>
        <w:rPr>
          <w:rFonts w:ascii="Arial" w:cs="Arial" w:eastAsia="Arial" w:hAnsi="Arial"/>
          <w:sz w:val="16"/>
          <w:szCs w:val="16"/>
          <w:color w:val="auto"/>
        </w:rPr>
        <w:t>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w:t>
      </w:r>
    </w:p>
    <w:p>
      <w:pPr>
        <w:spacing w:after="0" w:line="146" w:lineRule="exact"/>
        <w:rPr>
          <w:rFonts w:ascii="Arial" w:cs="Arial" w:eastAsia="Arial" w:hAnsi="Arial"/>
          <w:sz w:val="16"/>
          <w:szCs w:val="16"/>
          <w:color w:val="auto"/>
        </w:rPr>
      </w:pPr>
    </w:p>
    <w:p>
      <w:pPr>
        <w:ind w:left="1280" w:firstLine="653"/>
        <w:spacing w:after="0" w:line="312" w:lineRule="auto"/>
        <w:tabs>
          <w:tab w:leader="none" w:pos="260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46" w:lineRule="exact"/>
        <w:rPr>
          <w:rFonts w:ascii="Arial" w:cs="Arial" w:eastAsia="Arial" w:hAnsi="Arial"/>
          <w:sz w:val="16"/>
          <w:szCs w:val="16"/>
          <w:color w:val="auto"/>
        </w:rPr>
      </w:pPr>
    </w:p>
    <w:p>
      <w:pPr>
        <w:ind w:left="1280" w:right="20" w:firstLine="653"/>
        <w:spacing w:after="0" w:line="272" w:lineRule="auto"/>
        <w:tabs>
          <w:tab w:leader="none" w:pos="2617"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00" w:firstLine="653"/>
        <w:spacing w:after="0" w:line="264" w:lineRule="auto"/>
        <w:tabs>
          <w:tab w:leader="none" w:pos="2593"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81" w:lineRule="exact"/>
        <w:rPr>
          <w:rFonts w:ascii="Arial" w:cs="Arial" w:eastAsia="Arial" w:hAnsi="Arial"/>
          <w:sz w:val="18"/>
          <w:szCs w:val="18"/>
          <w:color w:val="auto"/>
        </w:rPr>
      </w:pPr>
    </w:p>
    <w:p>
      <w:pPr>
        <w:ind w:left="1280" w:right="140" w:firstLine="653"/>
        <w:spacing w:after="0" w:line="289" w:lineRule="auto"/>
        <w:tabs>
          <w:tab w:leader="none" w:pos="2584"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66" w:lineRule="exact"/>
        <w:rPr>
          <w:rFonts w:ascii="Arial" w:cs="Arial" w:eastAsia="Arial" w:hAnsi="Arial"/>
          <w:sz w:val="16"/>
          <w:szCs w:val="16"/>
          <w:color w:val="auto"/>
        </w:rPr>
      </w:pPr>
    </w:p>
    <w:p>
      <w:pPr>
        <w:ind w:left="1280" w:right="120" w:firstLine="653"/>
        <w:spacing w:after="0" w:line="276" w:lineRule="auto"/>
        <w:tabs>
          <w:tab w:leader="none" w:pos="2593" w:val="left"/>
        </w:tabs>
        <w:numPr>
          <w:ilvl w:val="1"/>
          <w:numId w:val="98"/>
        </w:numPr>
        <w:rPr>
          <w:rFonts w:ascii="Arial" w:cs="Arial" w:eastAsia="Arial" w:hAnsi="Arial"/>
          <w:sz w:val="17"/>
          <w:szCs w:val="17"/>
          <w:color w:val="auto"/>
        </w:rPr>
      </w:pPr>
      <w:r>
        <w:rPr>
          <w:rFonts w:ascii="Arial" w:cs="Arial" w:eastAsia="Arial" w:hAnsi="Arial"/>
          <w:sz w:val="17"/>
          <w:szCs w:val="17"/>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 6.1. Any restoration of such basis pursuant to Section 48(q)(2) of the Code shall, to the extent possible, be allocated in the same manner to the Partners to whom such deemed deduction was allocated.</w:t>
      </w:r>
    </w:p>
    <w:p>
      <w:pPr>
        <w:spacing w:after="0" w:line="172" w:lineRule="exact"/>
        <w:rPr>
          <w:rFonts w:ascii="Arial" w:cs="Arial" w:eastAsia="Arial" w:hAnsi="Arial"/>
          <w:sz w:val="17"/>
          <w:szCs w:val="17"/>
          <w:color w:val="auto"/>
        </w:rPr>
      </w:pPr>
    </w:p>
    <w:p>
      <w:pPr>
        <w:ind w:left="-20" w:right="20" w:firstLine="1305"/>
        <w:spacing w:after="0" w:line="271" w:lineRule="auto"/>
        <w:tabs>
          <w:tab w:leader="none" w:pos="19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Except as otherwise provided in this Section 5.5(c), a transferee of a Partnership Interest shall succeed to a pro rata portion of the Capital Account of the transferor relating to the Partnership Interest so transferred. Immediately prior to the transfer of an AAP Common Unit (other than a transfer to an Affiliate unless the General Partner elects to have this subparagraph 5.5(c) apply), the Capital Account maintained for such AAP Common Unit will (A) first, be allocated to the Units to be transferred in an amount equal to the product of (x) the number of such Units to be transferred and (y) the Per Unit Capital Amount for an Initial Common Unit, and (B) second, any remaining balance in such Capital Account will be retained by the transferor, regardless of whether it has retained any Units. Following any such allocation, the transferor’s Capital Account, if any, maintained with respect to the retained AAP Common Units, if any, will have a balance equal to the amount allocated under clause (B) above, and the transferee’s Capital Account established with respect to the transferred Units will have a balance equal to the amount allocated under clause (A)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left="1280" w:right="20" w:firstLine="653"/>
        <w:spacing w:after="0" w:line="285" w:lineRule="auto"/>
        <w:tabs>
          <w:tab w:leader="none" w:pos="259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accordance with Treasury Regulation Section 1.704-1(b)(2)(iv)(f), on an issuance of additional Partnership Interests for cash or Contributed Property (including a deemed issuance of Series A Preferred Units for cash pursuant to Section 5.14(b)(i)(F)), the PAA/AAP Interest Restructuring (as such term is defined in the Simplification Agreement) or the conversion of the Combined Interest to Common Units pursuant to Section 11.3(b),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for an amount equal to its fair market value immediately prior to such issuance.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and make any adjustments necessary to reflect the difference, if any, between the fair market value of any Series A Preferred Units for which the Conversion Date has not occurred and the aggregate Capital Accounts attributable to such Series A Preferred Units to the extent of any Unrealized Gain or Unrealized Loss that has not been reflected in the Partners’ Capital Accounts previously, consistent with the methodology of Treasury Regulation Section 1.704-1(b)(2)(iv)(h)(2). The General Partner shall allocate such aggregate value among the assets of the Partnership (in such manner as it determines in its discretion to be reasonable) to arrive at a fair market value for individual properties.</w:t>
      </w:r>
    </w:p>
    <w:p>
      <w:pPr>
        <w:spacing w:after="0" w:line="177" w:lineRule="exact"/>
        <w:rPr>
          <w:rFonts w:ascii="Arial" w:cs="Arial" w:eastAsia="Arial" w:hAnsi="Arial"/>
          <w:sz w:val="16"/>
          <w:szCs w:val="16"/>
          <w:color w:val="auto"/>
        </w:rPr>
      </w:pPr>
    </w:p>
    <w:p>
      <w:pPr>
        <w:ind w:left="1280" w:right="40" w:firstLine="653"/>
        <w:spacing w:after="0" w:line="302" w:lineRule="auto"/>
        <w:tabs>
          <w:tab w:leader="none" w:pos="26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each Partnership property shall be adjusted upward or downward to reflect any Unrealized Gain or Unrealized Loss attributable to such Partnership property, as if such Unrealized Gain or Unrealized Loss had</w:t>
      </w:r>
    </w:p>
    <w:p>
      <w:pPr>
        <w:sectPr>
          <w:pgSz w:w="11900" w:h="16945" w:orient="portrait"/>
          <w:cols w:equalWidth="0" w:num="1">
            <w:col w:w="11400"/>
          </w:cols>
          <w:pgMar w:left="260" w:top="125" w:right="239" w:bottom="0" w:gutter="0" w:footer="0" w:header="0"/>
        </w:sectPr>
      </w:pPr>
    </w:p>
    <w:bookmarkStart w:id="48" w:name="page49"/>
    <w:bookmarkEnd w:id="48"/>
    <w:p>
      <w:pPr>
        <w:ind w:left="1300" w:right="60"/>
        <w:spacing w:after="0" w:line="285" w:lineRule="auto"/>
        <w:rPr>
          <w:sz w:val="20"/>
          <w:szCs w:val="20"/>
          <w:color w:val="auto"/>
        </w:rPr>
      </w:pPr>
      <w:r>
        <w:rPr>
          <w:rFonts w:ascii="Arial" w:cs="Arial" w:eastAsia="Arial" w:hAnsi="Arial"/>
          <w:sz w:val="16"/>
          <w:szCs w:val="16"/>
          <w:color w:val="auto"/>
        </w:rPr>
        <w:t>been recognized on an actual sale of each such property immediately prior to such distribution for an amount equal to its fair market value.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w:t>
      </w:r>
    </w:p>
    <w:p>
      <w:pPr>
        <w:spacing w:after="0" w:line="2" w:lineRule="exact"/>
        <w:rPr>
          <w:sz w:val="20"/>
          <w:szCs w:val="20"/>
          <w:color w:val="auto"/>
        </w:rPr>
      </w:pPr>
    </w:p>
    <w:p>
      <w:pPr>
        <w:ind w:left="1300" w:right="600" w:firstLine="5"/>
        <w:spacing w:after="0" w:line="261" w:lineRule="auto"/>
        <w:tabs>
          <w:tab w:leader="none" w:pos="15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or (B) in the case of a liquidating distribution pursuant to Section 12.4, be determined and allocated by the Liquidator using such reasonable method of valuation as it may adopt.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53"/>
        <w:spacing w:after="0" w:line="284" w:lineRule="auto"/>
        <w:tabs>
          <w:tab w:leader="none" w:pos="263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In accordance with Treasury Regulation Section 1.704-1(b)(2)(iv)(s), immediately after the conversion of a Series A Preferred Unit into Common Units in accordance with Section 5.14(b)(vi), the Capital Account of each Partner and the Carrying Value of each Partnership property shall be adjusted to reflect any Unrealized Gain or Unrealized Loss attributable to such Partnership property, as if such Unrealized Gain or Unrealized Loss had been recognized on an actual sale of each such property for an amount equal to its fair market value immediately after such conversion and (A) first, all Unrealized Gain (if the Capital Account of each such Series A Conversion Unit is less than the Per Unit Capital Account for a then Outstanding Initial Common Unit) or Unrealized Loss (if the Capital Account of each such Series A Conversion Unit is greater than the Per Unit Capital Account for a then Outstanding Initial Common Unit) had been allocated Pro Rata to each Partner holding Series A Conversion Units received upon such conversion until the Capital Account of each such Series A Conversion Unit is equal to the Per Unit Capital Amount for a then Outstanding Initial Common Unit; and (B) second, any remaining Unrealized Gain or Unrealized Loss had been allocated to the Partners at such time pursuant to Section 6.1(d). In determining such Unrealized Gain or Unrealized Loss, the aggregate cash amount and fair market value of all Partnership assets (including, without limitation, cash or cash equivalents) immediately after the conversion of a Series A Preferred Unit shall be determined by the General Partner using such reasonable method of valuation as it may adopt;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in arriving at such valuation, must take fully into account the fair market value of the Partnership Interests of all Partners at such time and must make such adjustments to such valuation as required by Treasury Regulation Section 1.704-1(b)(2)(iv)(h)(2). The General Partner shall allocate such aggregate value among the assets of the Partnership in such manner as it determines in its discretion to be reasonable. If, after making the allocations of Unrealized Gain and Unrealized Loss as set forth above in this Section 5.5(d)(iii), the Capital Account of each Partner with respect to each Series A Conversion Unit received upon such conversion of the Series A Preferred Unit is less than the Per Unit Capital Amount for a then Outstanding Initial Common Unit, then Capital Account balances shall be reallocated between the Partners holding Common Units (other than Series A Conversion Units) and Partners holding Series A Conversion Units so as to cause the Capital Account of each Partner holding a Series A Conversion Unit to equal, on a per Unit basis with respect to each such Series A Conversion Unit, the Per Unit Capital Amount for a then Outstanding Initial Common Unit.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i w:val="1"/>
          <w:iCs w:val="1"/>
          <w:color w:val="auto"/>
        </w:rPr>
        <w:t>Issuances of Additional Partnership Securities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9" w:lineRule="auto"/>
        <w:tabs>
          <w:tab w:leader="none" w:pos="194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Section 5.6(d) below and subject to any approvals required by Section 5.14(b)(iv),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90" w:lineRule="auto"/>
        <w:tabs>
          <w:tab w:leader="none" w:pos="195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 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General Partner is hereby authorized and directed to take all actions that it deems necessary or appropriate in connection with</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issuance of Partnership Securities and options, rights, warrants and appreciation rights relating to Partnership Securities pursuant to this Section 5.6,</w:t>
      </w:r>
    </w:p>
    <w:p>
      <w:pPr>
        <w:spacing w:after="0" w:line="32"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conversion of the Combined Interest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Combined Interest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 fractional Units shall be issued by the Partnership.</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5.7</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Right</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 Person shall have any preemptive, preferential or other similar right with respect to the issuance of any Partnership Security, whether unissued, held in the treasury or hereafter created.</w:t>
      </w:r>
    </w:p>
    <w:p>
      <w:pPr>
        <w:sectPr>
          <w:pgSz w:w="11900" w:h="16838" w:orient="portrait"/>
          <w:cols w:equalWidth="0" w:num="1">
            <w:col w:w="11400"/>
          </w:cols>
          <w:pgMar w:left="240" w:top="125" w:right="259" w:bottom="0" w:gutter="0" w:footer="0" w:header="0"/>
          <w:type w:val="continuous"/>
        </w:sectPr>
      </w:pPr>
    </w:p>
    <w:bookmarkStart w:id="49" w:name="page50"/>
    <w:bookmarkEnd w:id="49"/>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i w:val="1"/>
          <w:iCs w:val="1"/>
          <w:color w:val="auto"/>
        </w:rPr>
        <w:t>Splits and Combination</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59" w:lineRule="auto"/>
        <w:tabs>
          <w:tab w:leader="none" w:pos="19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Sections 5.10(d) and 5.14(b)(vi)(E),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(including the number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Parity Units that may be issued pursuant to Section 5.6(d) without a Unitholder vote) are proportionately adjusted retroactive to the beginning of the Partnership.</w:t>
      </w:r>
    </w:p>
    <w:p>
      <w:pPr>
        <w:spacing w:after="0" w:line="170" w:lineRule="exact"/>
        <w:rPr>
          <w:sz w:val="20"/>
          <w:szCs w:val="20"/>
          <w:color w:val="auto"/>
        </w:rPr>
      </w:pPr>
    </w:p>
    <w:p>
      <w:pPr>
        <w:ind w:firstLine="1305"/>
        <w:spacing w:after="0" w:line="255" w:lineRule="auto"/>
        <w:tabs>
          <w:tab w:leader="none" w:pos="19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93" w:lineRule="exact"/>
        <w:rPr>
          <w:rFonts w:ascii="Arial" w:cs="Arial" w:eastAsia="Arial" w:hAnsi="Arial"/>
          <w:sz w:val="18"/>
          <w:szCs w:val="18"/>
          <w:color w:val="auto"/>
        </w:rPr>
      </w:pPr>
    </w:p>
    <w:p>
      <w:pPr>
        <w:ind w:right="80" w:firstLine="1305"/>
        <w:spacing w:after="0" w:line="293" w:lineRule="auto"/>
        <w:tabs>
          <w:tab w:leader="none" w:pos="19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or other evidence of the issuance of uncertificated Units, the surrender of any Certificate, or other evidence of the issuance of uncertificated Units, held by such Record Holder immediately prior to such Record Date.</w:t>
      </w:r>
    </w:p>
    <w:p>
      <w:pPr>
        <w:spacing w:after="0" w:line="164" w:lineRule="exact"/>
        <w:rPr>
          <w:rFonts w:ascii="Arial" w:cs="Arial" w:eastAsia="Arial" w:hAnsi="Arial"/>
          <w:sz w:val="16"/>
          <w:szCs w:val="16"/>
          <w:color w:val="auto"/>
        </w:rPr>
      </w:pPr>
    </w:p>
    <w:p>
      <w:pPr>
        <w:ind w:right="360" w:firstLine="1305"/>
        <w:spacing w:after="0" w:line="286" w:lineRule="auto"/>
        <w:tabs>
          <w:tab w:leader="none" w:pos="195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Partnership shall not issue fractional Units upon any distribution, subdivision or combination of Units. If a distribution, subdivision or combination of Units would result in the issuance of fractional Units but for the provisions of Section 5.6(d) and this Section 5.10(d), each fractional Unit shall be rounded to the nearest whole Unit (and a 0.5 Unit shall be rounded to the next higher Unit).</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i w:val="1"/>
          <w:iCs w:val="1"/>
          <w:color w:val="auto"/>
        </w:rPr>
        <w:t>Fully Paid and Non-Assessable Nature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ectPr>
          <w:pgSz w:w="11900" w:h="16938" w:orient="portrait"/>
          <w:cols w:equalWidth="0" w:num="1">
            <w:col w:w="11420"/>
          </w:cols>
          <w:pgMar w:left="240" w:top="125" w:right="239" w:bottom="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9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9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Establishment of Series A Preferred Units.</w:t>
      </w:r>
    </w:p>
    <w:p>
      <w:pPr>
        <w:spacing w:after="0" w:line="200" w:lineRule="exact"/>
        <w:rPr>
          <w:sz w:val="20"/>
          <w:szCs w:val="20"/>
          <w:color w:val="auto"/>
        </w:rPr>
      </w:pPr>
    </w:p>
    <w:p>
      <w:pPr>
        <w:sectPr>
          <w:pgSz w:w="11900" w:h="169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right="80" w:firstLine="1305"/>
        <w:spacing w:after="0" w:line="259" w:lineRule="auto"/>
        <w:tabs>
          <w:tab w:leader="none" w:pos="1942"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Partnership hereby designates and creates a series of Units to be designated as “Series A Convertible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Units” (such Series A Convertible Preferred Units, together with any Series A PIK Units, the “</w:t>
      </w:r>
      <w:r>
        <w:rPr>
          <w:rFonts w:ascii="Arial" w:cs="Arial" w:eastAsia="Arial" w:hAnsi="Arial"/>
          <w:sz w:val="18"/>
          <w:szCs w:val="18"/>
          <w:i w:val="1"/>
          <w:iCs w:val="1"/>
          <w:color w:val="auto"/>
        </w:rPr>
        <w:t>Series A Preferred Units</w:t>
      </w:r>
      <w:r>
        <w:rPr>
          <w:rFonts w:ascii="Arial" w:cs="Arial" w:eastAsia="Arial" w:hAnsi="Arial"/>
          <w:sz w:val="18"/>
          <w:szCs w:val="18"/>
          <w:color w:val="auto"/>
        </w:rPr>
        <w:t>”), having the same rights, preferences and privileges, and subject to the same duties and obligations, as the Common Units, except as set forth in this Section 5.14 and in Sections 5.5, 6.1 and 12.4. However, in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event of any conflict between the rights, preferences, privileges, duties and obligations of the Common Units as generally set forth in this Agreement and the provisions of this Section 5.14 and Sections 5.5, 6.1 and 12.4 that specifically set forth the rights, preferences, privileges, duties and obligations of the Series A Preferred Units, such specific provisions shall control.</w:t>
      </w:r>
    </w:p>
    <w:p>
      <w:pPr>
        <w:spacing w:after="0" w:line="181" w:lineRule="exact"/>
        <w:rPr>
          <w:sz w:val="20"/>
          <w:szCs w:val="20"/>
          <w:color w:val="auto"/>
        </w:rPr>
      </w:pPr>
    </w:p>
    <w:p>
      <w:pPr>
        <w:ind w:right="60" w:firstLine="1305"/>
        <w:spacing w:after="0" w:line="277" w:lineRule="auto"/>
        <w:tabs>
          <w:tab w:leader="none" w:pos="1952"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Rights of Series A Preferred Units</w:t>
      </w:r>
      <w:r>
        <w:rPr>
          <w:rFonts w:ascii="Arial" w:cs="Arial" w:eastAsia="Arial" w:hAnsi="Arial"/>
          <w:sz w:val="18"/>
          <w:szCs w:val="18"/>
          <w:color w:val="auto"/>
        </w:rPr>
        <w:t>. The Series A Preferred Units shall have the following rights, preferences and privileges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Preferred Unitholders shall be subject to the following duties and obligations: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120" w:firstLine="641"/>
        <w:spacing w:after="0" w:line="283" w:lineRule="auto"/>
        <w:tabs>
          <w:tab w:leader="none" w:pos="3277" w:val="left"/>
        </w:tabs>
        <w:numPr>
          <w:ilvl w:val="2"/>
          <w:numId w:val="109"/>
        </w:numPr>
        <w:rPr>
          <w:rFonts w:ascii="Arial" w:cs="Arial" w:eastAsia="Arial" w:hAnsi="Arial"/>
          <w:sz w:val="16"/>
          <w:szCs w:val="16"/>
          <w:color w:val="auto"/>
        </w:rPr>
      </w:pPr>
      <w:r>
        <w:rPr>
          <w:rFonts w:ascii="Arial" w:cs="Arial" w:eastAsia="Arial" w:hAnsi="Arial"/>
          <w:sz w:val="16"/>
          <w:szCs w:val="16"/>
          <w:color w:val="auto"/>
        </w:rPr>
        <w:t>Commencing with the Quarter ending on March 31, 2016, the holders of the Series A Preferred Units as of an applicable Record Date shall be entitled to receive cumulative distributions (each, a “</w:t>
      </w:r>
      <w:r>
        <w:rPr>
          <w:rFonts w:ascii="Arial" w:cs="Arial" w:eastAsia="Arial" w:hAnsi="Arial"/>
          <w:sz w:val="16"/>
          <w:szCs w:val="16"/>
          <w:i w:val="1"/>
          <w:iCs w:val="1"/>
          <w:color w:val="auto"/>
        </w:rPr>
        <w:t>Series A Quarterly Distribution</w:t>
      </w:r>
      <w:r>
        <w:rPr>
          <w:rFonts w:ascii="Arial" w:cs="Arial" w:eastAsia="Arial" w:hAnsi="Arial"/>
          <w:sz w:val="16"/>
          <w:szCs w:val="16"/>
          <w:color w:val="auto"/>
        </w:rPr>
        <w:t>”), prior to any other distributions made in respect of any other Partnership Interests pursuant to Section 6.3, in the amount set forth in this Section 5.14(b)(i)(A) in respect of each Outstanding Series A Preferred Unit. With respect to any Quarter (or portion thereof for which a Series A Quarterly Distribution is due) ending on or prior to December 31, 2017 (the “</w:t>
      </w:r>
      <w:r>
        <w:rPr>
          <w:rFonts w:ascii="Arial" w:cs="Arial" w:eastAsia="Arial" w:hAnsi="Arial"/>
          <w:sz w:val="16"/>
          <w:szCs w:val="16"/>
          <w:i w:val="1"/>
          <w:iCs w:val="1"/>
          <w:color w:val="auto"/>
        </w:rPr>
        <w:t>Initial Distribution Period</w:t>
      </w:r>
      <w:r>
        <w:rPr>
          <w:rFonts w:ascii="Arial" w:cs="Arial" w:eastAsia="Arial" w:hAnsi="Arial"/>
          <w:sz w:val="16"/>
          <w:szCs w:val="16"/>
          <w:color w:val="auto"/>
        </w:rPr>
        <w:t>”), such Series A Quarterly Distribution may be paid, in the sole discretion of the General Partner, in Series A PIK Units, in cash, or in a combination of Series A PIK Units and cash. For any Quarter ending after the Initial Distribution Period, all Series A Quarterly Distributions shall be paid in cash. The Series A Distribution Amount for the Quarter ending March 31, 2016 shall be prorated for the period commencing on the Series A Issuance Date and ending on, and including, March 31, 2016. If during the Initial Distribution Period the General Partner elects to pay all or any portion of a Series A Quarterly Distribution in Series A PIK Units, the number of Series A PIK Units to be issued in connection with such Series A Quarterly Distribution shall equal the quotient of</w:t>
      </w:r>
    </w:p>
    <w:p>
      <w:pPr>
        <w:spacing w:after="0" w:line="4" w:lineRule="exact"/>
        <w:rPr>
          <w:rFonts w:ascii="Arial" w:cs="Arial" w:eastAsia="Arial" w:hAnsi="Arial"/>
          <w:sz w:val="16"/>
          <w:szCs w:val="16"/>
          <w:color w:val="auto"/>
        </w:rPr>
      </w:pPr>
    </w:p>
    <w:p>
      <w:pPr>
        <w:jc w:val="both"/>
        <w:ind w:left="1960" w:right="16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(A) the applicable Series A Distribution Amount (or portion thereof to be paid in Series A PIK Units) divided by (B) the Series A Issue Price;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instead of issuing any fractional Series A PIK Unit, the Partnership shall round the number of Series A PIK Units issued to each Series A Preferred Unitholder down to the nearest whole Series A PIK Unit and pay cash in lieu of any resulting fractional unit (with the amount of such cash payment being based on the value of such fractional Series A PIK Unit,</w:t>
      </w:r>
    </w:p>
    <w:p>
      <w:pPr>
        <w:sectPr>
          <w:pgSz w:w="11900" w:h="16938" w:orient="portrait"/>
          <w:cols w:equalWidth="0" w:num="1">
            <w:col w:w="11420"/>
          </w:cols>
          <w:pgMar w:left="240" w:top="125" w:right="239" w:bottom="0" w:gutter="0" w:footer="0" w:header="0"/>
          <w:type w:val="continuous"/>
        </w:sectPr>
      </w:pPr>
    </w:p>
    <w:bookmarkStart w:id="50" w:name="page51"/>
    <w:bookmarkEnd w:id="50"/>
    <w:p>
      <w:pPr>
        <w:ind w:left="760" w:right="20"/>
        <w:spacing w:after="0" w:line="255" w:lineRule="auto"/>
        <w:rPr>
          <w:sz w:val="20"/>
          <w:szCs w:val="20"/>
          <w:color w:val="auto"/>
        </w:rPr>
      </w:pPr>
      <w:r>
        <w:rPr>
          <w:rFonts w:ascii="Arial" w:cs="Arial" w:eastAsia="Arial" w:hAnsi="Arial"/>
          <w:sz w:val="18"/>
          <w:szCs w:val="18"/>
          <w:color w:val="auto"/>
        </w:rPr>
        <w:t>which shall in turn be based on the value of a comparable fraction of the number of Series A Conversion Units into which such Series A PIK Unit would be convertible at the applicable Series A Conversion Rate on the Record Date for such Series A Quarterly Distribution). All such distributions shall be paid quarterly within forty-five (45) days after the end of each Quarter. The Series A Quarterly Distribution on each Outstanding Series A Preferred Unit shall be equal to the sum of (i) the Series A Distribution Amount, and (ii) any unpaid Series A Unpaid Cash Distributions. If the Partnership establishes a Record Date for any distribution to be made by</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the Partnership on other Partnership Interests pursuant to Section 6.3 in respect of any Quarter, then the Record Date established pursuant to this Section 5.14(b)(i) for a Series A Quarterly Distribution in respect of such Quarter shall be the same Record Date. Unless otherwise expressly provided, references in this Agreement to Series A Preferred Units shall include all Series A PIK Units Outstanding as of any date of such determination.</w:t>
      </w:r>
    </w:p>
    <w:p>
      <w:pPr>
        <w:spacing w:after="0" w:line="187" w:lineRule="exact"/>
        <w:rPr>
          <w:sz w:val="20"/>
          <w:szCs w:val="20"/>
          <w:color w:val="auto"/>
        </w:rPr>
      </w:pPr>
    </w:p>
    <w:p>
      <w:pPr>
        <w:ind w:left="760" w:right="40" w:firstLine="641"/>
        <w:spacing w:after="0" w:line="288" w:lineRule="auto"/>
        <w:tabs>
          <w:tab w:leader="none" w:pos="206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the Partnership fails to pay in full the Series A Distribution Amount of any Series A Quarterly Distribution in cash or Series A PIK Units when due for any Quarter during the Initial Distribution Period, then the holders entitled to such unpaid Series A Quarterly Distribution shall be entitled to (I) receive such Series A Quarterly Distribution in Series A PIK Units,</w:t>
      </w:r>
    </w:p>
    <w:p>
      <w:pPr>
        <w:ind w:left="760" w:hanging="7"/>
        <w:spacing w:after="0" w:line="286" w:lineRule="auto"/>
        <w:tabs>
          <w:tab w:leader="none" w:pos="104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receive Series A Quarterly Distributions in subsequent Quarters on such unpaid Series A PIK Units, (III) receive the liquidation preference in accordance with Section 5.14(b)(xiii) in respect of such unpaid Series A PIK Units, and (IV) all other rights under this Agreement as if such unpaid Series A PIK Units had in fact been distributed on the date due. If the Partnership fails to pay in full the Series A Distribution Amount of any Series A Quarterly Distribution in cash when due for any Quarter following the Initial Distribution Period, then from and after the first date of such failure and continuing until such failure is cured by payment in full in cash of all such arrearages, (y) the amount of such unpaid cash distributions (“</w:t>
      </w:r>
      <w:r>
        <w:rPr>
          <w:rFonts w:ascii="Arial" w:cs="Arial" w:eastAsia="Arial" w:hAnsi="Arial"/>
          <w:sz w:val="16"/>
          <w:szCs w:val="16"/>
          <w:i w:val="1"/>
          <w:iCs w:val="1"/>
          <w:color w:val="auto"/>
        </w:rPr>
        <w:t>Series A Unpaid Cash Distributions</w:t>
      </w:r>
      <w:r>
        <w:rPr>
          <w:rFonts w:ascii="Arial" w:cs="Arial" w:eastAsia="Arial" w:hAnsi="Arial"/>
          <w:sz w:val="16"/>
          <w:szCs w:val="16"/>
          <w:color w:val="auto"/>
        </w:rPr>
        <w:t>”) unless and until paid will accrue and accumulate from and including the first day of the Quarter immediately following the Quarter in respect of which such payment is due until paid in full and (z) the Partnership shall not be permitted to, and shall not, declare or make any distributions in respect of any Junior Interests (including, for the avoidance of doubt, with respect to the Quarter for which the Partnership first failed to pay in full the Series A Distribution Amount of any Series A Quarterly Distribution in cash when due).</w:t>
      </w:r>
    </w:p>
    <w:p>
      <w:pPr>
        <w:spacing w:after="0" w:line="170" w:lineRule="exact"/>
        <w:rPr>
          <w:rFonts w:ascii="Arial" w:cs="Arial" w:eastAsia="Arial" w:hAnsi="Arial"/>
          <w:sz w:val="16"/>
          <w:szCs w:val="16"/>
          <w:color w:val="auto"/>
        </w:rPr>
      </w:pPr>
    </w:p>
    <w:p>
      <w:pPr>
        <w:ind w:left="760" w:right="60" w:firstLine="641"/>
        <w:spacing w:after="0" w:line="291" w:lineRule="auto"/>
        <w:tabs>
          <w:tab w:leader="none" w:pos="206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aggregate Series A Distribution Amount (excluding any portion paid in kind) to be so distributed in respect of the Series A Preferred Units Outstanding as of the Record Date for a Series A Quarterly Distribution shall be paid out of Available Cash with respect to the applicable Quarter that is deemed to be Operating Surplus prior to making any distribution pursuant to Section 6.3. To the extent that any portion of a Series A Quarterly Distribution to be paid in cash with respect to any Quarter exceeds the amount of Available Cash for such Quarter, an amount of cash equal to the Available Cash for such Quarter will be paid to the Series A Preferred Unitholders Pro Rata and the balance of such Series A Quarterly Distribution shall be unpaid and shall constitute an arrearage and shall accrue and accumulate as set forth in Section 5.14(b)(i)(B).</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firstLine="641"/>
        <w:spacing w:after="0" w:line="254" w:lineRule="auto"/>
        <w:tabs>
          <w:tab w:leader="none" w:pos="207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Notwithstanding anything in this Section 5.14(b)(i) to the contrary, with respect to any Series A Preferred Unit that is converted into a Common Unit, the holder thereof shall not be entitled to a distribution in respect of such Series A Preferred Unit and a distribution in respect of such Common Unit with respect to the same period, but shall be entitled only to the distribution to be paid based upon the class of Units held as of the close of business on the applicable Record Date. For the avoidance of doubt, if a Series A Conversion Date occurs prior to the close of business on a Record Date for payment of a distribution on the Common Units, the applicable holder of Series A Preferred Units shall receive, with respect to any Series A Preferred Units that have converted into Common Units, only the distribution in respect of such Common Units with respect to such period.</w:t>
      </w:r>
    </w:p>
    <w:p>
      <w:pPr>
        <w:spacing w:after="0" w:line="192" w:lineRule="exact"/>
        <w:rPr>
          <w:rFonts w:ascii="Arial" w:cs="Arial" w:eastAsia="Arial" w:hAnsi="Arial"/>
          <w:sz w:val="18"/>
          <w:szCs w:val="18"/>
          <w:color w:val="auto"/>
        </w:rPr>
      </w:pPr>
    </w:p>
    <w:p>
      <w:pPr>
        <w:ind w:left="760" w:firstLine="641"/>
        <w:spacing w:after="0" w:line="288" w:lineRule="auto"/>
        <w:tabs>
          <w:tab w:leader="none" w:pos="207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When any Series A PIK Units are payable to a Series A Preferred Unitholder pursuant to this Section 5.14, the Partnership shall issue the Series A PIK Units to such holder in accordance with Section 5.14(b)(i)(A) (the date of issuance of such Series A PIK Units, the “</w:t>
      </w:r>
      <w:r>
        <w:rPr>
          <w:rFonts w:ascii="Arial" w:cs="Arial" w:eastAsia="Arial" w:hAnsi="Arial"/>
          <w:sz w:val="16"/>
          <w:szCs w:val="16"/>
          <w:i w:val="1"/>
          <w:iCs w:val="1"/>
          <w:color w:val="auto"/>
        </w:rPr>
        <w:t>Series A PIK Payment Date</w:t>
      </w:r>
      <w:r>
        <w:rPr>
          <w:rFonts w:ascii="Arial" w:cs="Arial" w:eastAsia="Arial" w:hAnsi="Arial"/>
          <w:sz w:val="16"/>
          <w:szCs w:val="16"/>
          <w:color w:val="auto"/>
        </w:rPr>
        <w:t>”). On the Series A PIK Payment Date, the Partnership shall have the option to</w:t>
      </w:r>
    </w:p>
    <w:p>
      <w:pPr>
        <w:ind w:left="760" w:right="80" w:hanging="7"/>
        <w:spacing w:after="0" w:line="252" w:lineRule="auto"/>
        <w:tabs>
          <w:tab w:leader="none" w:pos="9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issue to such Series A Preferred Unitholder a certificate or certificates for the number of Series A PIK Units to which such Series A Preferred Unitholder shall be entitled, or (ii) make a notation in book entry form in the books of the Partnership, and all such Series A PIK Units shall, when so issued, be duly authorized, validly issued, fully paid and non-assessable Limited Partner Interests, except as such non-assessability may be affected by Section 17-607 or 17-804 of the Delaware Act, and shall be free from preemptive rights and free of any lien, claim, rights or encumbrances, other than those arising under the Delaware Act or this Agreement.</w:t>
      </w:r>
    </w:p>
    <w:p>
      <w:pPr>
        <w:spacing w:after="0" w:line="194" w:lineRule="exact"/>
        <w:rPr>
          <w:rFonts w:ascii="Arial" w:cs="Arial" w:eastAsia="Arial" w:hAnsi="Arial"/>
          <w:sz w:val="18"/>
          <w:szCs w:val="18"/>
          <w:color w:val="auto"/>
        </w:rPr>
      </w:pPr>
    </w:p>
    <w:p>
      <w:pPr>
        <w:ind w:left="760" w:right="60" w:firstLine="641"/>
        <w:spacing w:after="0" w:line="255" w:lineRule="auto"/>
        <w:tabs>
          <w:tab w:leader="none" w:pos="207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For purposes of maintaining Capital Accounts, if the Partnership issues one or more Series A PIK Units with respect to a Series A Preferred Unit, (i) the Partnership shall be treated as distributing cash with respect to such Series A Preferred Unit until the amount distributed with respect to such Series A Preferred Unit is equal to portion of the Series A Distribution Amount paid in Series A PIK Units, and (ii) the holder of such Series A Preferred Unit shall be treated as having contributed to the Partnership in exchange for such newly issued Series A PIK Units an amount of cash equal to the portion of the Series A Distribution Amount paid in Series A PIK Units less the amount of any cash distributed by the Partnership in lieu of fractional Series A PIK Units.</w:t>
      </w:r>
    </w:p>
    <w:p>
      <w:pPr>
        <w:spacing w:after="0" w:line="189" w:lineRule="exact"/>
        <w:rPr>
          <w:rFonts w:ascii="Arial" w:cs="Arial" w:eastAsia="Arial" w:hAnsi="Arial"/>
          <w:sz w:val="18"/>
          <w:szCs w:val="18"/>
          <w:color w:val="auto"/>
        </w:rPr>
      </w:pPr>
    </w:p>
    <w:p>
      <w:pPr>
        <w:ind w:left="100" w:right="20" w:firstLine="653"/>
        <w:spacing w:after="0" w:line="277" w:lineRule="auto"/>
        <w:tabs>
          <w:tab w:leader="none" w:pos="142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Issuance of the Series A Preferred Units. </w:t>
      </w:r>
      <w:r>
        <w:rPr>
          <w:rFonts w:ascii="Arial" w:cs="Arial" w:eastAsia="Arial" w:hAnsi="Arial"/>
          <w:sz w:val="18"/>
          <w:szCs w:val="18"/>
          <w:color w:val="auto"/>
        </w:rPr>
        <w:t>The Series A Preferred Units (other than the Series A PIK Units) shall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Partnership pursuant to the terms and conditions of the Series A Purchase Agreement.</w:t>
      </w:r>
    </w:p>
    <w:p>
      <w:pPr>
        <w:sectPr>
          <w:pgSz w:w="11900" w:h="16838" w:orient="portrait"/>
          <w:cols w:equalWidth="0" w:num="1">
            <w:col w:w="10220"/>
          </w:cols>
          <w:pgMar w:left="1440" w:top="125" w:right="239" w:bottom="271" w:gutter="0" w:footer="0" w:header="0"/>
        </w:sectPr>
      </w:pP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271" w:gutter="0" w:footer="0" w:header="0"/>
          <w:type w:val="continuous"/>
        </w:sectPr>
      </w:pPr>
    </w:p>
    <w:bookmarkStart w:id="51" w:name="page52"/>
    <w:bookmarkEnd w:id="51"/>
    <w:p>
      <w:pPr>
        <w:spacing w:after="0" w:line="114" w:lineRule="exact"/>
        <w:rPr>
          <w:sz w:val="20"/>
          <w:szCs w:val="20"/>
          <w:color w:val="auto"/>
        </w:rPr>
      </w:pPr>
    </w:p>
    <w:p>
      <w:pPr>
        <w:ind w:left="1440" w:hanging="687"/>
        <w:spacing w:after="0"/>
        <w:tabs>
          <w:tab w:leader="none" w:pos="14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120" w:firstLine="641"/>
        <w:spacing w:after="0" w:line="270" w:lineRule="auto"/>
        <w:tabs>
          <w:tab w:leader="none" w:pos="207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Except as provided in Section 5.14(b)(iii)(B) below, the Outstanding Series A Preferred Units shall have voting rights that are identical to the voting rights of the Common Units and shall vote with the Common Units as a single class, so that each Outstanding Series A Preferred Unit will be entitled to one vote for each Common Unit into which such Series A Preferred Unit is then convertible at the then applicable Series A Conversion Rate (or, if the Series A Preferred Units are not then convertible, assuming that such Series A Preferred Units are convertible at the then applicable Series A Conversion Rate) on each matter with respect to which each Common Unit is entitled to vote. Each reference in this Agreement to a vote of Record Holders of Common Units shall be deemed to be a reference to the holders of Common Units and Series A Preferred Units on an “as if” converted basis, and the definition of “Unit Majority” shall correspondingly be construed to mean at least a majority of the Common Units and the Series A Preferred Units, on an “as if” converted basis, voting together as a single class during any period in which any Series A Preferred Units are Outstanding.</w:t>
      </w:r>
    </w:p>
    <w:p>
      <w:pPr>
        <w:spacing w:after="0" w:line="177" w:lineRule="exact"/>
        <w:rPr>
          <w:rFonts w:ascii="Arial" w:cs="Arial" w:eastAsia="Arial" w:hAnsi="Arial"/>
          <w:sz w:val="17"/>
          <w:szCs w:val="17"/>
          <w:color w:val="auto"/>
        </w:rPr>
      </w:pPr>
    </w:p>
    <w:p>
      <w:pPr>
        <w:ind w:left="760" w:right="80" w:firstLine="641"/>
        <w:spacing w:after="0" w:line="293" w:lineRule="auto"/>
        <w:tabs>
          <w:tab w:leader="none" w:pos="206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addition to all other requirements imposed by Delaware law, and all other voting rights granted under this Agreement, the affirmative vote of the Record Holders of the Series A Required Voting Percentage, shall be required for any amendment (excluding any amendment of a ministerial or administrative nature) to this Agreement or the Certificate of Limited Partnership (including by merger or otherwise) that is adverse to any of the rights, preferences and privileges of the Series A Preferred Units. Without limiting the generality of the preceding sentence, any action shall be deemed to adversely affect the holders of the Series A Preferred Units if such action would:</w:t>
      </w:r>
    </w:p>
    <w:p>
      <w:pPr>
        <w:spacing w:after="0" w:line="164" w:lineRule="exact"/>
        <w:rPr>
          <w:rFonts w:ascii="Arial" w:cs="Arial" w:eastAsia="Arial" w:hAnsi="Arial"/>
          <w:sz w:val="16"/>
          <w:szCs w:val="16"/>
          <w:color w:val="auto"/>
        </w:rPr>
      </w:pPr>
    </w:p>
    <w:p>
      <w:pPr>
        <w:ind w:left="1400" w:right="60" w:firstLine="649"/>
        <w:spacing w:after="0" w:line="255" w:lineRule="auto"/>
        <w:tabs>
          <w:tab w:leader="none" w:pos="270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reduce the Series A Distribution Amount, change the form of payment of distributions on the Series A Preferred Units (other than as contemplated herein), defer the date from which distributions on the Series A Preferred Units will accrue, cancel accrued and unpaid distributions on the Series A Preferred Units or any interest accrued thereon (including any accrued Series A Unpaid Cash Distributions or Series A PIK Units), or change the seniority rights of the Series A Preferred Unitholders as to the payment of distributions in relation to the Unitholders of any other class or series of Units;</w:t>
      </w:r>
    </w:p>
    <w:p>
      <w:pPr>
        <w:spacing w:after="0" w:line="193" w:lineRule="exact"/>
        <w:rPr>
          <w:rFonts w:ascii="Arial" w:cs="Arial" w:eastAsia="Arial" w:hAnsi="Arial"/>
          <w:sz w:val="18"/>
          <w:szCs w:val="18"/>
          <w:color w:val="auto"/>
        </w:rPr>
      </w:pPr>
    </w:p>
    <w:p>
      <w:pPr>
        <w:ind w:left="1400" w:firstLine="649"/>
        <w:spacing w:after="0" w:line="264" w:lineRule="auto"/>
        <w:tabs>
          <w:tab w:leader="none" w:pos="270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reduce the amount payable or change the form of payment to the holders of the Series A Preferred Units upon the voluntary or involuntary liquidation, dissolution or winding up, or sale of all or substantially all of the assets, of the Partnership, or</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20"/>
        <w:spacing w:after="0" w:line="277" w:lineRule="auto"/>
        <w:rPr>
          <w:sz w:val="20"/>
          <w:szCs w:val="20"/>
          <w:color w:val="auto"/>
        </w:rPr>
      </w:pPr>
      <w:r>
        <w:rPr>
          <w:rFonts w:ascii="Arial" w:cs="Arial" w:eastAsia="Arial" w:hAnsi="Arial"/>
          <w:sz w:val="18"/>
          <w:szCs w:val="18"/>
          <w:color w:val="auto"/>
        </w:rPr>
        <w:t>change the seniority of the liquidation preferences of the holders of the Series A Preferred Units in relation to the rights upon liquidation of the holders of any other class or series of Units; or</w:t>
      </w:r>
    </w:p>
    <w:p>
      <w:pPr>
        <w:spacing w:after="0" w:line="170" w:lineRule="exact"/>
        <w:rPr>
          <w:sz w:val="20"/>
          <w:szCs w:val="20"/>
          <w:color w:val="auto"/>
        </w:rPr>
      </w:pPr>
    </w:p>
    <w:p>
      <w:pPr>
        <w:ind w:left="1400" w:right="80" w:firstLine="649"/>
        <w:spacing w:after="0" w:line="277" w:lineRule="auto"/>
        <w:tabs>
          <w:tab w:leader="none" w:pos="2704" w:val="left"/>
        </w:tabs>
        <w:numPr>
          <w:ilvl w:val="2"/>
          <w:numId w:val="115"/>
        </w:numPr>
        <w:rPr>
          <w:rFonts w:ascii="Arial" w:cs="Arial" w:eastAsia="Arial" w:hAnsi="Arial"/>
          <w:sz w:val="18"/>
          <w:szCs w:val="18"/>
          <w:color w:val="auto"/>
        </w:rPr>
      </w:pPr>
      <w:r>
        <w:rPr>
          <w:rFonts w:ascii="Arial" w:cs="Arial" w:eastAsia="Arial" w:hAnsi="Arial"/>
          <w:sz w:val="18"/>
          <w:szCs w:val="18"/>
          <w:color w:val="auto"/>
        </w:rPr>
        <w:t>make the Series A Preferred Units redeemable or convertible at the option of the Partnership other than as set forth herein.</w:t>
      </w:r>
    </w:p>
    <w:p>
      <w:pPr>
        <w:spacing w:after="0" w:line="170" w:lineRule="exact"/>
        <w:rPr>
          <w:rFonts w:ascii="Arial" w:cs="Arial" w:eastAsia="Arial" w:hAnsi="Arial"/>
          <w:sz w:val="18"/>
          <w:szCs w:val="18"/>
          <w:color w:val="auto"/>
        </w:rPr>
      </w:pPr>
    </w:p>
    <w:p>
      <w:pPr>
        <w:ind w:left="760" w:right="80" w:firstLine="641"/>
        <w:spacing w:after="0" w:line="257" w:lineRule="auto"/>
        <w:tabs>
          <w:tab w:leader="none" w:pos="206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5.14(b)(iii), except as contemplated by Section 5.14(b) (iii)(A), in no event shall the consent of the Series A Preferred Unitholders, as a separate class, be required in connection with any Partnership Restructuring Event. For the avoidance of doubt, the foregoing shall not limit the voting rights of any Series A Preferred Unitholder in connection with the vote of holders of Common Units and Series A Preferred Units together as a single class.</w:t>
      </w:r>
    </w:p>
    <w:p>
      <w:pPr>
        <w:spacing w:after="0" w:line="188" w:lineRule="exact"/>
        <w:rPr>
          <w:rFonts w:ascii="Arial" w:cs="Arial" w:eastAsia="Arial" w:hAnsi="Arial"/>
          <w:sz w:val="18"/>
          <w:szCs w:val="18"/>
          <w:color w:val="auto"/>
        </w:rPr>
      </w:pPr>
    </w:p>
    <w:p>
      <w:pPr>
        <w:ind w:left="760" w:firstLine="641"/>
        <w:spacing w:after="0" w:line="270" w:lineRule="auto"/>
        <w:tabs>
          <w:tab w:leader="none" w:pos="207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Upon the occurrence of a Series A Trigger Event, the General Partner shall notify the Series A Preferred Unitholders of the occurrence thereof, whereupon the Series A Preferred Unitholders, acting as a group and by majority vote of the Outstanding Series A Preferred Units, shall have the right, exercisable by the delivery of written notice delivered to the General Partner no later than 15 Business Days’ following the date of the General Partner’s notice to the Series A Preferred Unitholders, to appoint one representative to the Board of Directors in accordance with the PAGP GP LLC Agreement subject to the limitations and procedures set forth in the PAGP GP LLC Agreement; </w:t>
      </w:r>
      <w:r>
        <w:rPr>
          <w:rFonts w:ascii="Arial" w:cs="Arial" w:eastAsia="Arial" w:hAnsi="Arial"/>
          <w:sz w:val="17"/>
          <w:szCs w:val="17"/>
          <w:i w:val="1"/>
          <w:iCs w:val="1"/>
          <w:color w:val="auto"/>
        </w:rPr>
        <w:t>provided</w:t>
      </w:r>
      <w:r>
        <w:rPr>
          <w:rFonts w:ascii="Arial" w:cs="Arial" w:eastAsia="Arial" w:hAnsi="Arial"/>
          <w:sz w:val="17"/>
          <w:szCs w:val="17"/>
          <w:color w:val="auto"/>
        </w:rPr>
        <w:t>, upon payment of all Series A Unpaid Cash Distributions, any such representative shall tender his resignation from the Board of Directors immediately upon the request of the Board of Directors and the appointment right contemplated by this Section 5.14(b)(iii)(D) shall cease unless and until a subsequent Series A Trigger Event occurs.</w:t>
      </w:r>
    </w:p>
    <w:p>
      <w:pPr>
        <w:spacing w:after="0" w:line="181" w:lineRule="exact"/>
        <w:rPr>
          <w:rFonts w:ascii="Arial" w:cs="Arial" w:eastAsia="Arial" w:hAnsi="Arial"/>
          <w:sz w:val="17"/>
          <w:szCs w:val="17"/>
          <w:color w:val="auto"/>
        </w:rPr>
      </w:pPr>
    </w:p>
    <w:p>
      <w:pPr>
        <w:ind w:left="760" w:right="160" w:firstLine="641"/>
        <w:spacing w:after="0" w:line="264" w:lineRule="auto"/>
        <w:tabs>
          <w:tab w:leader="none" w:pos="207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in addition to all other voting rights granted under this Agreement, the Partnership shall not declare or pay any distribution from Capital Surplus without the affirmative vote of the Record Holders of the Series A Required Voting Percentage.</w:t>
      </w:r>
    </w:p>
    <w:p>
      <w:pPr>
        <w:spacing w:after="0" w:line="181" w:lineRule="exact"/>
        <w:rPr>
          <w:rFonts w:ascii="Arial" w:cs="Arial" w:eastAsia="Arial" w:hAnsi="Arial"/>
          <w:sz w:val="18"/>
          <w:szCs w:val="18"/>
          <w:color w:val="auto"/>
        </w:rPr>
      </w:pPr>
    </w:p>
    <w:p>
      <w:pPr>
        <w:ind w:left="100" w:right="260" w:firstLine="653"/>
        <w:spacing w:after="0" w:line="255" w:lineRule="auto"/>
        <w:tabs>
          <w:tab w:leader="none" w:pos="141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No Series A Senior Securities; Series A Parity Securities</w:t>
      </w:r>
      <w:r>
        <w:rPr>
          <w:rFonts w:ascii="Arial" w:cs="Arial" w:eastAsia="Arial" w:hAnsi="Arial"/>
          <w:sz w:val="18"/>
          <w:szCs w:val="18"/>
          <w:color w:val="auto"/>
        </w:rPr>
        <w:t>. Other than issuances contemplated by the Series A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Partnership shall not, without the affirmative vote of the Series A Required Voting Percentage, issue any (A) Series A Senior Securities (or amend the provisions of any class of Partnership Securities to make such class of Partnership Securities a class of Series A Senior Securities) or (B) Series A Parity Securities (or amend the provisions of any class of Partnership Securities to make such class of Partnership Securities a class of Series A Parity Securities); provided that, without the consent of the holders of Outstanding Series A Preferred Units, the</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0" w:right="80"/>
        <w:spacing w:after="0" w:line="312" w:lineRule="auto"/>
        <w:rPr>
          <w:sz w:val="20"/>
          <w:szCs w:val="20"/>
          <w:color w:val="auto"/>
        </w:rPr>
      </w:pPr>
      <w:r>
        <w:rPr>
          <w:rFonts w:ascii="Arial" w:cs="Arial" w:eastAsia="Arial" w:hAnsi="Arial"/>
          <w:sz w:val="16"/>
          <w:szCs w:val="16"/>
          <w:color w:val="auto"/>
        </w:rPr>
        <w:t>Partnership may issue (1) up to an aggregate $500,000,000 of non-convertible Series A Parity Securities, (2) so long as the aggregate value of the Outstanding Common Units (based on the closing trading price of Common Units on the National Securities Exchange on which the Common Units are then listed or admitted to trading on the trading day immediately preceding such date of issuance) is at least</w:t>
      </w:r>
    </w:p>
    <w:p>
      <w:pPr>
        <w:sectPr>
          <w:pgSz w:w="11900" w:h="16952" w:orient="portrait"/>
          <w:cols w:equalWidth="0" w:num="1">
            <w:col w:w="10200"/>
          </w:cols>
          <w:pgMar w:left="1440" w:top="341" w:right="259" w:bottom="0" w:gutter="0" w:footer="0" w:header="0"/>
        </w:sectPr>
      </w:pPr>
    </w:p>
    <w:bookmarkStart w:id="52" w:name="page53"/>
    <w:bookmarkEnd w:id="52"/>
    <w:p>
      <w:pPr>
        <w:spacing w:after="0" w:line="103" w:lineRule="exact"/>
        <w:rPr>
          <w:sz w:val="20"/>
          <w:szCs w:val="20"/>
          <w:color w:val="auto"/>
        </w:rPr>
      </w:pPr>
    </w:p>
    <w:p>
      <w:pPr>
        <w:ind w:left="100" w:right="60"/>
        <w:spacing w:after="0" w:line="268" w:lineRule="auto"/>
        <w:rPr>
          <w:sz w:val="20"/>
          <w:szCs w:val="20"/>
          <w:color w:val="auto"/>
        </w:rPr>
      </w:pPr>
      <w:r>
        <w:rPr>
          <w:rFonts w:ascii="Arial" w:cs="Arial" w:eastAsia="Arial" w:hAnsi="Arial"/>
          <w:sz w:val="17"/>
          <w:szCs w:val="17"/>
          <w:color w:val="auto"/>
        </w:rPr>
        <w:t>$10,000,000,000, a number of Series A Parity Securities such that, as of the date of the issuance of the Series A Parity Securities, the aggregate number of Series A Parity Securities, together with the Series A Preferred Units, in each case on an “as if” converted basis (or, if the Series A Parity Securities are not convertible, assuming that such Series A Parity Securities are convertible into a number of Common Units equal to the quotient of (i) the aggregate purchase price for such Series A Parity Securities, divided by (ii) the volume-weighted average price of the Common Units for the thirty (30) Trading Day period ending immediately prior to such issuance (such Common Units, the “</w:t>
      </w:r>
      <w:r>
        <w:rPr>
          <w:rFonts w:ascii="Arial" w:cs="Arial" w:eastAsia="Arial" w:hAnsi="Arial"/>
          <w:sz w:val="17"/>
          <w:szCs w:val="17"/>
          <w:i w:val="1"/>
          <w:iCs w:val="1"/>
          <w:color w:val="auto"/>
        </w:rPr>
        <w:t>Series A Parity Equivalent Units</w:t>
      </w:r>
      <w:r>
        <w:rPr>
          <w:rFonts w:ascii="Arial" w:cs="Arial" w:eastAsia="Arial" w:hAnsi="Arial"/>
          <w:sz w:val="17"/>
          <w:szCs w:val="17"/>
          <w:color w:val="auto"/>
        </w:rPr>
        <w:t>”)), equals no more than 15% of all Outstanding Common Units (including as Outstanding for such purposes, (i) any Common Units issuable in respect of the Series A Preferred Units at the then applicable Series A Conversion Rate (or, if the Series A Preferred Units are not then convertible, assuming that such Series A Preferred Units are convertible at the then applicable Series A Conversion Rate), (ii) any Common Units issuable in respect of Series A Parity Securities at the initial or then applicable conversion rate, as applicable, and (iii) any Series A Parity Equivalent Units), or (3) if a number of Series A Preferred Units having an aggregate Series A Issue Price of less than $500,000,000 is then Outstanding, such number of Series A Parity Securities as determined by the General Partner; provided, further, that the Partnership may, without the affirmative vote of the holders of Outstanding Series A Preferred Units, issue the Series A PIK Units contemplated by this Agreement and create (by reclassification or otherwise) and issue Junior Securities in an unlimited amount.</w:t>
      </w:r>
    </w:p>
    <w:p>
      <w:pPr>
        <w:spacing w:after="0" w:line="185" w:lineRule="exact"/>
        <w:rPr>
          <w:sz w:val="20"/>
          <w:szCs w:val="20"/>
          <w:color w:val="auto"/>
        </w:rPr>
      </w:pPr>
    </w:p>
    <w:p>
      <w:pPr>
        <w:ind w:left="1400" w:hanging="647"/>
        <w:spacing w:after="0"/>
        <w:tabs>
          <w:tab w:leader="none" w:pos="140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Certificates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40" w:firstLine="641"/>
        <w:spacing w:after="0" w:line="273" w:lineRule="auto"/>
        <w:tabs>
          <w:tab w:leader="none" w:pos="207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If requested by a Series A Preferred Unitholder, the Series A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A Preferred Units. Any certificates evidencing Series A Preferred Units shall be separately identified and shall not bear the same CUSIP number as any certificates evidencing Common Units.</w:t>
      </w:r>
    </w:p>
    <w:p>
      <w:pPr>
        <w:spacing w:after="0" w:line="178" w:lineRule="exact"/>
        <w:rPr>
          <w:rFonts w:ascii="Arial" w:cs="Arial" w:eastAsia="Arial" w:hAnsi="Arial"/>
          <w:sz w:val="17"/>
          <w:szCs w:val="17"/>
          <w:color w:val="auto"/>
        </w:rPr>
      </w:pPr>
    </w:p>
    <w:p>
      <w:pPr>
        <w:ind w:left="2060" w:hanging="659"/>
        <w:spacing w:after="0"/>
        <w:tabs>
          <w:tab w:leader="none" w:pos="20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certificate(s) representing the Series A Preferred Units may be imprinted with a legend in substantially the</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following form:</w:t>
      </w:r>
    </w:p>
    <w:p>
      <w:pPr>
        <w:spacing w:after="0" w:line="211" w:lineRule="exact"/>
        <w:rPr>
          <w:sz w:val="20"/>
          <w:szCs w:val="20"/>
          <w:color w:val="auto"/>
        </w:rPr>
      </w:pPr>
    </w:p>
    <w:p>
      <w:pPr>
        <w:ind w:left="1400" w:right="980"/>
        <w:spacing w:after="0" w:line="277" w:lineRule="auto"/>
        <w:rPr>
          <w:sz w:val="20"/>
          <w:szCs w:val="20"/>
          <w:color w:val="auto"/>
        </w:rPr>
      </w:pPr>
      <w:r>
        <w:rPr>
          <w:rFonts w:ascii="Arial" w:cs="Arial" w:eastAsia="Arial" w:hAnsi="Arial"/>
          <w:sz w:val="18"/>
          <w:szCs w:val="18"/>
          <w:color w:val="auto"/>
        </w:rPr>
        <w:t>“NEITHER THE OFFER NOR SALE OF THESE SECURITIES HAS BEEN REGISTERED UNDER THE SECURITIES ACT OF</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line="253" w:lineRule="auto"/>
        <w:rPr>
          <w:sz w:val="20"/>
          <w:szCs w:val="20"/>
          <w:color w:val="auto"/>
        </w:rPr>
      </w:pPr>
      <w:r>
        <w:rPr>
          <w:rFonts w:ascii="Arial" w:cs="Arial" w:eastAsia="Arial" w:hAnsi="Arial"/>
          <w:sz w:val="18"/>
          <w:szCs w:val="18"/>
          <w:color w:val="auto"/>
        </w:rPr>
        <w:t>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 DOES NOT REQUIRE REGISTRATION UNDER SUCH ACT. THIS SECURITY IS SUBJECT TO CERTAIN RESTRICTIONS ON TRANSFER SET FORTH IN THE SIXTH AMENDED AND RESTATED LIMITED PARTNERSHIP AGREEMENT OF THE PARTNERSHIP, DATED AS OF [•], 2016, A COPY OF WHICH MAY BE OBTAINED FROM THE PARTNERSHIP AT ITS PRINCIPAL EXECUTIVE OFFICES.”</w:t>
      </w:r>
    </w:p>
    <w:p>
      <w:pPr>
        <w:spacing w:after="0" w:line="195" w:lineRule="exact"/>
        <w:rPr>
          <w:sz w:val="20"/>
          <w:szCs w:val="20"/>
          <w:color w:val="auto"/>
        </w:rPr>
      </w:pPr>
    </w:p>
    <w:p>
      <w:pPr>
        <w:ind w:left="1420" w:hanging="667"/>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Conversion.</w:t>
      </w:r>
    </w:p>
    <w:p>
      <w:pPr>
        <w:spacing w:after="0" w:line="225" w:lineRule="exact"/>
        <w:rPr>
          <w:rFonts w:ascii="Arial" w:cs="Arial" w:eastAsia="Arial" w:hAnsi="Arial"/>
          <w:sz w:val="18"/>
          <w:szCs w:val="18"/>
          <w:color w:val="auto"/>
        </w:rPr>
      </w:pPr>
    </w:p>
    <w:p>
      <w:pPr>
        <w:ind w:left="760" w:firstLine="641"/>
        <w:spacing w:after="0" w:line="268" w:lineRule="auto"/>
        <w:tabs>
          <w:tab w:leader="none" w:pos="2077" w:val="left"/>
        </w:tabs>
        <w:numPr>
          <w:ilvl w:val="1"/>
          <w:numId w:val="119"/>
        </w:numPr>
        <w:rPr>
          <w:rFonts w:ascii="Arial" w:cs="Arial" w:eastAsia="Arial" w:hAnsi="Arial"/>
          <w:sz w:val="17"/>
          <w:szCs w:val="17"/>
          <w:color w:val="auto"/>
        </w:rPr>
      </w:pPr>
      <w:r>
        <w:rPr>
          <w:rFonts w:ascii="Arial" w:cs="Arial" w:eastAsia="Arial" w:hAnsi="Arial"/>
          <w:sz w:val="17"/>
          <w:szCs w:val="17"/>
          <w:i w:val="1"/>
          <w:iCs w:val="1"/>
          <w:color w:val="auto"/>
        </w:rPr>
        <w:t>At the Option of the Series A Preferred Unitholders</w:t>
      </w:r>
      <w:r>
        <w:rPr>
          <w:rFonts w:ascii="Arial" w:cs="Arial" w:eastAsia="Arial" w:hAnsi="Arial"/>
          <w:sz w:val="17"/>
          <w:szCs w:val="17"/>
          <w:color w:val="auto"/>
        </w:rPr>
        <w:t>. Beginning with the earlier of (i) the Business Day</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following the Record Date with respect to the Quarter ending on the last day of the Initial Distribution Period, (ii) the second anniversary of the Series A Issuance Date, and (iii) immediately prior to the liquidation, dissolution and winding up of the Partnership under Section 12.4, the Series A Preferred Units owned by any Series A Preferred Unitholder shall be convertible, in whole or in part, at any time and from time to time upon the request of such Series A Preferred Unitholder, but not more than once per Quarter, into a number of Common Units determined by multiplying the number of Series A Preferred Units to be converted by the Series A Conversion Rate; provided, however, that the Partnership shall not be obligated to honor any such conversion request if such conversion request does not involve an underlying value of Common Units of at least $100,000,000 based on the closing trading price of Common Units on the trading day immediately preceding the Series A Conversion Notice Date on the National Securities Exchange on which the Common Units are then listed or admitted to trading (or such lesser amount to the extent such partial exercise covers all of such Series A Preferred Unitholder’s Series A Preferred Units). Immediately upon the effectiveness of any conversion of Series A Preferred Units, all rights of the Series A Converting Unitholder in respect thereof shall cease, including, without limitation, any further accrual of distributions, and such Series A Converting Unitholder thereafter shall be treated for all purposes as the owner of Common Units. Fractional Common Units shall not be issued to any person pursuant to this Section 5.14(b)(vi)(A) (each fractional Common Unit shall be</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260"/>
        <w:spacing w:after="0" w:line="264" w:lineRule="auto"/>
        <w:rPr>
          <w:sz w:val="20"/>
          <w:szCs w:val="20"/>
          <w:color w:val="auto"/>
        </w:rPr>
      </w:pPr>
      <w:r>
        <w:rPr>
          <w:rFonts w:ascii="Arial" w:cs="Arial" w:eastAsia="Arial" w:hAnsi="Arial"/>
          <w:sz w:val="18"/>
          <w:szCs w:val="18"/>
          <w:color w:val="auto"/>
        </w:rPr>
        <w:t>rounded down with the remainder being paid an amount in cash based on the closing trading price of Common Units on the National Securities Exchange on which the Common Units are then listed or admitted to trading on the trading day immediately preceding such date of conversion).</w:t>
      </w:r>
    </w:p>
    <w:p>
      <w:pPr>
        <w:spacing w:after="0" w:line="181" w:lineRule="exact"/>
        <w:rPr>
          <w:sz w:val="20"/>
          <w:szCs w:val="20"/>
          <w:color w:val="auto"/>
        </w:rPr>
      </w:pPr>
    </w:p>
    <w:p>
      <w:pPr>
        <w:ind w:left="760" w:right="20" w:firstLine="641"/>
        <w:spacing w:after="0" w:line="297" w:lineRule="auto"/>
        <w:tabs>
          <w:tab w:leader="none" w:pos="2067"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At the Option of the Partnership. </w:t>
      </w:r>
      <w:r>
        <w:rPr>
          <w:rFonts w:ascii="Arial" w:cs="Arial" w:eastAsia="Arial" w:hAnsi="Arial"/>
          <w:sz w:val="16"/>
          <w:szCs w:val="16"/>
          <w:color w:val="auto"/>
        </w:rPr>
        <w:t>At any time following the third anniversary of the Series A Issuance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 the General Partner’s sole discretion, shall have the option at any time, but not more than once per Quarter, to convert all or any portion of the Series A Preferred Units then Outstanding into a number of Common Units determined by multiplying the number of Series A Preferred Units to be converted by the Series A Conversion Rate. Fractional Common Units shall not be issued to any person pursuant to this Section 5.14(b)(vi)(B) (each fractional Common Unit shall be rounded down with</w:t>
      </w:r>
    </w:p>
    <w:p>
      <w:pPr>
        <w:sectPr>
          <w:pgSz w:w="11900" w:h="16941" w:orient="portrait"/>
          <w:cols w:equalWidth="0" w:num="1">
            <w:col w:w="10220"/>
          </w:cols>
          <w:pgMar w:left="1440" w:top="125" w:right="239" w:bottom="0" w:gutter="0" w:footer="0" w:header="0"/>
        </w:sectPr>
      </w:pPr>
    </w:p>
    <w:bookmarkStart w:id="53" w:name="page54"/>
    <w:bookmarkEnd w:id="53"/>
    <w:p>
      <w:pPr>
        <w:spacing w:after="0" w:line="94"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the remainder being paid an amount in cash based on the closing trading price of Common Units on the National Securities Exchange on which the Common Units are then listed or admitted to trading on the trading day immediately preceding such date of conversion). Notwithstanding the foregoing, in order for the Partnership to exercise such option,</w:t>
      </w:r>
    </w:p>
    <w:p>
      <w:pPr>
        <w:spacing w:after="0" w:line="166" w:lineRule="exact"/>
        <w:rPr>
          <w:sz w:val="20"/>
          <w:szCs w:val="20"/>
          <w:color w:val="auto"/>
        </w:rPr>
      </w:pPr>
    </w:p>
    <w:p>
      <w:pPr>
        <w:ind w:left="2600" w:right="120" w:firstLine="649"/>
        <w:spacing w:after="0" w:line="259" w:lineRule="auto"/>
        <w:tabs>
          <w:tab w:leader="none" w:pos="39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closing trading price of the Common Units on the National Securities Exchange on which the Common Units are then listed or admitted to trading must be greater than one hundred fifty percent (150%) of the Series A Issue Price for the twenty (20) Trading Day period immediately preceding the date the Partnership furnishes the Series A Forced Conversion Notice,</w:t>
      </w:r>
    </w:p>
    <w:p>
      <w:pPr>
        <w:spacing w:after="0" w:line="186" w:lineRule="exact"/>
        <w:rPr>
          <w:rFonts w:ascii="Arial" w:cs="Arial" w:eastAsia="Arial" w:hAnsi="Arial"/>
          <w:sz w:val="18"/>
          <w:szCs w:val="18"/>
          <w:color w:val="auto"/>
        </w:rPr>
      </w:pPr>
    </w:p>
    <w:p>
      <w:pPr>
        <w:ind w:left="2600" w:right="100" w:firstLine="649"/>
        <w:spacing w:after="0" w:line="259" w:lineRule="auto"/>
        <w:tabs>
          <w:tab w:leader="none" w:pos="39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daily trading volume of the Common Units on the National Securities Exchange on which the Common Units are then listed or admitted to trading must have exceeded 1,000,000 (as such amount may be adjusted to reflect any Unit split, combination or similar event) for the twenty (20) Trading Day period immediately preceding the date the Partnership furnishes the Series A Forced Conversion Notice;</w:t>
      </w:r>
    </w:p>
    <w:p>
      <w:pPr>
        <w:spacing w:after="0" w:line="186" w:lineRule="exact"/>
        <w:rPr>
          <w:rFonts w:ascii="Arial" w:cs="Arial" w:eastAsia="Arial" w:hAnsi="Arial"/>
          <w:sz w:val="18"/>
          <w:szCs w:val="18"/>
          <w:color w:val="auto"/>
        </w:rPr>
      </w:pPr>
    </w:p>
    <w:p>
      <w:pPr>
        <w:ind w:left="2600" w:right="400" w:firstLine="649"/>
        <w:spacing w:after="0" w:line="277" w:lineRule="auto"/>
        <w:tabs>
          <w:tab w:leader="none" w:pos="39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Partnership must have an effective registration statement on file with the Commission covering resales of the underlying Common Units to be received upon any such conversion, and</w:t>
      </w:r>
    </w:p>
    <w:p>
      <w:pPr>
        <w:spacing w:after="0" w:line="170" w:lineRule="exact"/>
        <w:rPr>
          <w:rFonts w:ascii="Arial" w:cs="Arial" w:eastAsia="Arial" w:hAnsi="Arial"/>
          <w:sz w:val="18"/>
          <w:szCs w:val="18"/>
          <w:color w:val="auto"/>
        </w:rPr>
      </w:pPr>
    </w:p>
    <w:p>
      <w:pPr>
        <w:ind w:left="3900" w:hanging="651"/>
        <w:spacing w:after="0"/>
        <w:tabs>
          <w:tab w:leader="none" w:pos="3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Series A Trigger Event shall have occurred that is continuing;</w:t>
      </w:r>
    </w:p>
    <w:p>
      <w:pPr>
        <w:spacing w:after="0" w:line="225"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in each case, that each such conversion by the Partnership shall be for an aggregate amount of Series A Preferred Units (including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Series A PIK Units) involving an underlying value of Common Units of at least $500,000,000 based on the closing trading price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Common Units on the trading day immediately preceding the date of such conversion on the National Securities Exchange on which the Common Units are then listed or admitted to trading (or such lesser amount if such amount includes all then Outstanding Series A Preferred Units) and shall be allocated among the Series A Preferred Unitholders on a Pro Rata basis or on such other basis as may be agreed upon by the Series A Preferred Unitholders.</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2600" w:right="20" w:firstLine="649"/>
        <w:spacing w:after="0" w:line="254" w:lineRule="auto"/>
        <w:tabs>
          <w:tab w:leader="none" w:pos="3904"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Conversion Notice</w:t>
      </w:r>
      <w:r>
        <w:rPr>
          <w:rFonts w:ascii="Arial" w:cs="Arial" w:eastAsia="Arial" w:hAnsi="Arial"/>
          <w:sz w:val="18"/>
          <w:szCs w:val="18"/>
          <w:color w:val="auto"/>
        </w:rPr>
        <w:t>. To convert Series A Preferred Units into Common Units pursuant to Section 5.14(b)</w:t>
      </w:r>
      <w:r>
        <w:rPr>
          <w:rFonts w:ascii="Arial" w:cs="Arial" w:eastAsia="Arial" w:hAnsi="Arial"/>
          <w:sz w:val="18"/>
          <w:szCs w:val="18"/>
          <w:i w:val="1"/>
          <w:iCs w:val="1"/>
          <w:color w:val="auto"/>
        </w:rPr>
        <w:t xml:space="preserve"> </w:t>
      </w:r>
      <w:r>
        <w:rPr>
          <w:rFonts w:ascii="Arial" w:cs="Arial" w:eastAsia="Arial" w:hAnsi="Arial"/>
          <w:sz w:val="18"/>
          <w:szCs w:val="18"/>
          <w:color w:val="auto"/>
        </w:rPr>
        <w:t>(vi)(A), the Series A Converting Unitholder shall give written notice (a “</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to the Partnership stating that such Series A Unitholder elects to so convert Series A Preferred Units and shall state or include therein with respect to Series A Preferred Units to be converted pursuant to Section 5.14(b)(vi)(A) the following: (a) the number of Series A Preferred Units to be converted, and (b) if a Certificate has been issued for such Series A Preferred Units, the Certificate(s) evidencing the Series A Preferred Units to be converted and duly endorsed. The date any Series A Conversion Notice is received by the Partnership shall be hereinafter be referred to as a “</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600" w:right="180" w:firstLine="649"/>
        <w:spacing w:after="0" w:line="276" w:lineRule="auto"/>
        <w:tabs>
          <w:tab w:leader="none" w:pos="3904"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To convert Series A Preferred Units into Common Units pursuant to Section 5.14(b)(vi)(B), the Partnership shall give written notice (a “</w:t>
      </w:r>
      <w:r>
        <w:rPr>
          <w:rFonts w:ascii="Arial" w:cs="Arial" w:eastAsia="Arial" w:hAnsi="Arial"/>
          <w:sz w:val="17"/>
          <w:szCs w:val="17"/>
          <w:i w:val="1"/>
          <w:iCs w:val="1"/>
          <w:color w:val="auto"/>
        </w:rPr>
        <w:t>Series A Forced Conversion Notice</w:t>
      </w:r>
      <w:r>
        <w:rPr>
          <w:rFonts w:ascii="Arial" w:cs="Arial" w:eastAsia="Arial" w:hAnsi="Arial"/>
          <w:sz w:val="17"/>
          <w:szCs w:val="17"/>
          <w:color w:val="auto"/>
        </w:rPr>
        <w:t>,” and the date such notice is received, a “</w:t>
      </w:r>
      <w:r>
        <w:rPr>
          <w:rFonts w:ascii="Arial" w:cs="Arial" w:eastAsia="Arial" w:hAnsi="Arial"/>
          <w:sz w:val="17"/>
          <w:szCs w:val="17"/>
          <w:i w:val="1"/>
          <w:iCs w:val="1"/>
          <w:color w:val="auto"/>
        </w:rPr>
        <w:t>Series A Forced Conversion Notice Date</w:t>
      </w:r>
      <w:r>
        <w:rPr>
          <w:rFonts w:ascii="Arial" w:cs="Arial" w:eastAsia="Arial" w:hAnsi="Arial"/>
          <w:sz w:val="17"/>
          <w:szCs w:val="17"/>
          <w:color w:val="auto"/>
        </w:rPr>
        <w:t>”) to each holder of Series A Preferred Units stating that the Partnership elects to force conversion of such Series A Preferred Units pursuant to Section 5.14(b)(vi)(B). The Series A Conversion Units shall be issued in the name of the Record Holder of such Series A Preferred Units.</w:t>
      </w:r>
    </w:p>
    <w:p>
      <w:pPr>
        <w:spacing w:after="0" w:line="172" w:lineRule="exact"/>
        <w:rPr>
          <w:rFonts w:ascii="Arial" w:cs="Arial" w:eastAsia="Arial" w:hAnsi="Arial"/>
          <w:sz w:val="17"/>
          <w:szCs w:val="17"/>
          <w:color w:val="auto"/>
        </w:rPr>
      </w:pPr>
    </w:p>
    <w:p>
      <w:pPr>
        <w:ind w:left="1960" w:right="120" w:firstLine="641"/>
        <w:spacing w:after="0" w:line="288" w:lineRule="auto"/>
        <w:tabs>
          <w:tab w:leader="none" w:pos="3277" w:val="left"/>
        </w:tabs>
        <w:numPr>
          <w:ilvl w:val="1"/>
          <w:numId w:val="123"/>
        </w:numPr>
        <w:rPr>
          <w:rFonts w:ascii="Arial" w:cs="Arial" w:eastAsia="Arial" w:hAnsi="Arial"/>
          <w:sz w:val="16"/>
          <w:szCs w:val="16"/>
          <w:color w:val="auto"/>
        </w:rPr>
      </w:pPr>
      <w:r>
        <w:rPr>
          <w:rFonts w:ascii="Arial" w:cs="Arial" w:eastAsia="Arial" w:hAnsi="Arial"/>
          <w:sz w:val="16"/>
          <w:szCs w:val="16"/>
          <w:i w:val="1"/>
          <w:iCs w:val="1"/>
          <w:color w:val="auto"/>
        </w:rPr>
        <w:t>Timing; Certificates</w:t>
      </w:r>
      <w:r>
        <w:rPr>
          <w:rFonts w:ascii="Arial" w:cs="Arial" w:eastAsia="Arial" w:hAnsi="Arial"/>
          <w:sz w:val="16"/>
          <w:szCs w:val="16"/>
          <w:color w:val="auto"/>
        </w:rPr>
        <w:t>. If a Series A Conversion Notice is delivered by a Series A Unitholder to the Partnership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Section 5.14(b)(vi)(C) or a Series A Forced Conversion Notice is delivered by the Partnership to a Series A Unitholder pursuant to Section 5.14(b)(vi)(C), the Partnership shall issue the Series A Conversion Units no later than seven</w:t>
      </w:r>
    </w:p>
    <w:p>
      <w:pPr>
        <w:ind w:left="1960" w:right="20" w:hanging="7"/>
        <w:spacing w:after="0" w:line="252" w:lineRule="auto"/>
        <w:tabs>
          <w:tab w:leader="none" w:pos="22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days after the Series A Conversion Notice Date or the Series A Forced Conversion Notice Date, as the case may be, occurs (any date of issuance of such Common Units, a “</w:t>
      </w:r>
      <w:r>
        <w:rPr>
          <w:rFonts w:ascii="Arial" w:cs="Arial" w:eastAsia="Arial" w:hAnsi="Arial"/>
          <w:sz w:val="18"/>
          <w:szCs w:val="18"/>
          <w:i w:val="1"/>
          <w:iCs w:val="1"/>
          <w:color w:val="auto"/>
        </w:rPr>
        <w:t>Series A Conversion Date</w:t>
      </w:r>
      <w:r>
        <w:rPr>
          <w:rFonts w:ascii="Arial" w:cs="Arial" w:eastAsia="Arial" w:hAnsi="Arial"/>
          <w:sz w:val="18"/>
          <w:szCs w:val="18"/>
          <w:color w:val="auto"/>
        </w:rPr>
        <w:t>”). On the Series A Conversion Date, the Partnership shall issue to such Series A Unitholder (or designated recipient(s)) a Certificate or Certificates for the number of Series A Conversion Units to which such holder shall be entitled. In lieu of delivering physical Certificates representing the Series A Conversion Units issuable upon conversion of Series A Preferred Units, provided the Transfer Agent is participating in the Depositary’s Fast Automated Securities Transfer program, upon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80"/>
        <w:spacing w:after="0" w:line="272" w:lineRule="auto"/>
        <w:rPr>
          <w:sz w:val="20"/>
          <w:szCs w:val="20"/>
          <w:color w:val="auto"/>
        </w:rPr>
      </w:pPr>
      <w:r>
        <w:rPr>
          <w:rFonts w:ascii="Arial" w:cs="Arial" w:eastAsia="Arial" w:hAnsi="Arial"/>
          <w:sz w:val="17"/>
          <w:szCs w:val="17"/>
          <w:color w:val="auto"/>
        </w:rPr>
        <w:t>request of the Series A Unitholder, the Partnership shall use its commercially reasonable efforts to cause its Transfer Agent to electronically transmit the Series A Conversion Units issuable upon conversion or distribution payment to such Series A Unitholder (or designated recipient(s)), by crediting the account of the Series A Unitholder (or designated recipient(s)) prime broker with the Depositary through its Deposit Withdrawal Agent Commission system. The parties agree to coordinate with the Depositary to accomplish this objective. Upon issuance of Series A Conversion Units to the Series A Converting Unitholder, all rights under the converted Series A Preferred Units shall cease, and such Series A Converting Unitholder shall be treated for all purposes as the Record Holder of such Series A Conversion Units.</w:t>
      </w:r>
    </w:p>
    <w:p>
      <w:pPr>
        <w:spacing w:after="0" w:line="178" w:lineRule="exact"/>
        <w:rPr>
          <w:sz w:val="20"/>
          <w:szCs w:val="20"/>
          <w:color w:val="auto"/>
        </w:rPr>
      </w:pPr>
    </w:p>
    <w:p>
      <w:pPr>
        <w:ind w:left="1960" w:right="120" w:firstLine="641"/>
        <w:spacing w:after="0" w:line="291" w:lineRule="auto"/>
        <w:tabs>
          <w:tab w:leader="none" w:pos="327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Distributions, Combinations, Subdivisions and Reclassifications by the Partnership</w:t>
      </w:r>
      <w:r>
        <w:rPr>
          <w:rFonts w:ascii="Arial" w:cs="Arial" w:eastAsia="Arial" w:hAnsi="Arial"/>
          <w:sz w:val="16"/>
          <w:szCs w:val="16"/>
          <w:color w:val="auto"/>
        </w:rPr>
        <w:t>. If, after the Series A</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Date, the Partnership (i) makes a distribution on its Common Units payable in Common Units or another Partnership Interest, (ii) subdivides or splits its outstanding Common Units into a greater number of Common Units, (iii) combines or reclassifies its Common Units into a smaller number of Common Units or (iv) issues by reclassification of its Common Units any Partnership Interests (including any reclassification in connection with a merger, consolidation or business combination in which the Partnership is the surviving Person), in each case other than in connection with a Series A Change of Control (which shall be governed by Section 5.14(b)(vii)), then the Series A Conversion Rate in effect at the time of the Record Date for such distribution</w:t>
      </w:r>
    </w:p>
    <w:p>
      <w:pPr>
        <w:sectPr>
          <w:pgSz w:w="11900" w:h="16932" w:orient="portrait"/>
          <w:cols w:equalWidth="0" w:num="1">
            <w:col w:w="11420"/>
          </w:cols>
          <w:pgMar w:left="240" w:top="125" w:right="239" w:bottom="0" w:gutter="0" w:footer="0" w:header="0"/>
        </w:sectPr>
      </w:pPr>
    </w:p>
    <w:bookmarkStart w:id="54" w:name="page55"/>
    <w:bookmarkEnd w:id="54"/>
    <w:p>
      <w:pPr>
        <w:ind w:left="1960" w:right="20"/>
        <w:spacing w:after="0" w:line="268" w:lineRule="auto"/>
        <w:rPr>
          <w:sz w:val="20"/>
          <w:szCs w:val="20"/>
          <w:color w:val="auto"/>
        </w:rPr>
      </w:pPr>
      <w:r>
        <w:rPr>
          <w:rFonts w:ascii="Arial" w:cs="Arial" w:eastAsia="Arial" w:hAnsi="Arial"/>
          <w:sz w:val="17"/>
          <w:szCs w:val="17"/>
          <w:color w:val="auto"/>
        </w:rPr>
        <w:t>or the effective date of such subdivision, split, combination, or reclassification shall be proportionately adjusted so that the conversion of the Series A Preferred Units after such time shall entitle each Series A Unitholder to receive the aggregate number of Common Units (or any Partnership Interests into which such Common Units would have been combined, consolidated, merged or reclassified pursuant to clauses (iii) and (iv) above) that such Series A Unitholder would have been entitled to receive if the Series A Preferred Units had been converted into Common Units immediately prior to such Record Date or effective date, as the case may be, and in the case of a merger, consolidation or business combination in which the Partnership is the surviving Person, the Partnership shall provide effective provisions to ensure that the provisions in this Section 5.14 relating to the Series A Preferred Units shall not be abridged or amended and that the Series A Preferred Units shall thereafter retain the same powers, preferences and relative participating, optional and other special rights, and the qualifications, limitations and restrictions thereon, that the Series A Preferred Units had immediately prior to such transaction or event. An adjustment made pursuant to this Section 5.14(b) (vi)(E) shall become effective immediately after the Record Date in the case of a distribution and shall become effective immediately after the effective date in the case of a subdivision, combination, reclassification (including any reclassification in connection with a merger, consolidation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60"/>
        <w:spacing w:after="0" w:line="277" w:lineRule="auto"/>
        <w:rPr>
          <w:sz w:val="20"/>
          <w:szCs w:val="20"/>
          <w:color w:val="auto"/>
        </w:rPr>
      </w:pPr>
      <w:r>
        <w:rPr>
          <w:rFonts w:ascii="Arial" w:cs="Arial" w:eastAsia="Arial" w:hAnsi="Arial"/>
          <w:sz w:val="18"/>
          <w:szCs w:val="18"/>
          <w:color w:val="auto"/>
        </w:rPr>
        <w:t>or business combination in which the Partnership is the surviving Person) or split. Such adjustment shall be made successively whenever any event described above shall occur.</w:t>
      </w:r>
    </w:p>
    <w:p>
      <w:pPr>
        <w:spacing w:after="0" w:line="170" w:lineRule="exact"/>
        <w:rPr>
          <w:sz w:val="20"/>
          <w:szCs w:val="20"/>
          <w:color w:val="auto"/>
        </w:rPr>
      </w:pPr>
    </w:p>
    <w:p>
      <w:pPr>
        <w:jc w:val="both"/>
        <w:ind w:left="1960" w:right="240" w:firstLine="641"/>
        <w:spacing w:after="0" w:line="342" w:lineRule="auto"/>
        <w:tabs>
          <w:tab w:leader="none" w:pos="3274"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No Adjustments for Certain Items</w:t>
      </w:r>
      <w:r>
        <w:rPr>
          <w:rFonts w:ascii="Arial" w:cs="Arial" w:eastAsia="Arial" w:hAnsi="Arial"/>
          <w:sz w:val="16"/>
          <w:szCs w:val="16"/>
          <w:color w:val="auto"/>
        </w:rPr>
        <w:t>. Notwithstanding any of the other provisions of this Section 5.14(b)(vi), no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shall be made to the Series A Conversion Rate pursuant to Section 5.14(b)(vi)(E) as a result of any of the following:</w:t>
      </w:r>
    </w:p>
    <w:p>
      <w:pPr>
        <w:spacing w:after="0" w:line="123" w:lineRule="exact"/>
        <w:rPr>
          <w:rFonts w:ascii="Arial" w:cs="Arial" w:eastAsia="Arial" w:hAnsi="Arial"/>
          <w:sz w:val="16"/>
          <w:szCs w:val="16"/>
          <w:color w:val="auto"/>
        </w:rPr>
      </w:pPr>
    </w:p>
    <w:p>
      <w:pPr>
        <w:ind w:left="3900" w:hanging="651"/>
        <w:spacing w:after="0"/>
        <w:tabs>
          <w:tab w:leader="none" w:pos="390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issuance of additional Partnership Securities issued in connection with distributions paid in-kind;</w:t>
      </w:r>
    </w:p>
    <w:p>
      <w:pPr>
        <w:spacing w:after="0" w:line="236" w:lineRule="exact"/>
        <w:rPr>
          <w:rFonts w:ascii="Arial" w:cs="Arial" w:eastAsia="Arial" w:hAnsi="Arial"/>
          <w:sz w:val="17"/>
          <w:szCs w:val="17"/>
          <w:color w:val="auto"/>
        </w:rPr>
      </w:pPr>
    </w:p>
    <w:p>
      <w:pPr>
        <w:ind w:left="2600" w:right="40" w:firstLine="649"/>
        <w:spacing w:after="0" w:line="276" w:lineRule="auto"/>
        <w:tabs>
          <w:tab w:leader="none" w:pos="390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grant of Common Units or options, warrants or rights to purchase or receive Common Units or the issuance of Common Units upon the exercise or vesting of any such options, warrants or rights to employees, officers or directors of Plains All American GP LLC, PAGP GP or the Partnership and its Subsidiaries in respect of services provided to or for the benefit of the Partnership or its Subsidiaries, under compensation plans and agreements approved in good faith by the General Partner (including any long term incentive plan); or</w:t>
      </w:r>
    </w:p>
    <w:p>
      <w:pPr>
        <w:spacing w:after="0" w:line="172" w:lineRule="exact"/>
        <w:rPr>
          <w:rFonts w:ascii="Arial" w:cs="Arial" w:eastAsia="Arial" w:hAnsi="Arial"/>
          <w:sz w:val="17"/>
          <w:szCs w:val="17"/>
          <w:color w:val="auto"/>
        </w:rPr>
      </w:pPr>
    </w:p>
    <w:p>
      <w:pPr>
        <w:ind w:left="2600" w:right="140" w:firstLine="649"/>
        <w:spacing w:after="0" w:line="286" w:lineRule="auto"/>
        <w:tabs>
          <w:tab w:leader="none" w:pos="390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issuance of any Common Units as all or part of the consideration to effect (i) the closing of any acquisition by the Partnership of assets or equity interests of a third party in an arm’s-length transaction or (ii) the consummation of a merger, consolidation or other business combination of the Partnership with another entity in which the Partnership survives and the Common Units remain Outstanding to the extent any such transaction set forth in clause</w:t>
      </w:r>
    </w:p>
    <w:p>
      <w:pPr>
        <w:spacing w:after="0" w:line="1" w:lineRule="exact"/>
        <w:rPr>
          <w:rFonts w:ascii="Arial" w:cs="Arial" w:eastAsia="Arial" w:hAnsi="Arial"/>
          <w:sz w:val="16"/>
          <w:szCs w:val="16"/>
          <w:color w:val="auto"/>
        </w:rPr>
      </w:pPr>
    </w:p>
    <w:p>
      <w:pPr>
        <w:ind w:left="2600"/>
        <w:spacing w:after="0"/>
        <w:rPr>
          <w:rFonts w:ascii="Arial" w:cs="Arial" w:eastAsia="Arial" w:hAnsi="Arial"/>
          <w:sz w:val="16"/>
          <w:szCs w:val="16"/>
          <w:color w:val="auto"/>
        </w:rPr>
      </w:pPr>
      <w:r>
        <w:rPr>
          <w:rFonts w:ascii="Arial" w:cs="Arial" w:eastAsia="Arial" w:hAnsi="Arial"/>
          <w:sz w:val="18"/>
          <w:szCs w:val="18"/>
          <w:color w:val="auto"/>
        </w:rPr>
        <w:t>(i) or (ii) above is validly approved by the vote or consent of the General Partner.</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anything in this Agreement to the contrary, whenever the issuance of a Partnership Interest or other event would require an adjustment to the Series A Conversion Rate under one or more provisions of this Agreement, only one adjustment shall be made to the Series A Conversion Rate in respect of such issuance or event.</w:t>
      </w:r>
    </w:p>
    <w:p>
      <w:pPr>
        <w:spacing w:after="0" w:line="181" w:lineRule="exact"/>
        <w:rPr>
          <w:sz w:val="20"/>
          <w:szCs w:val="20"/>
          <w:color w:val="auto"/>
        </w:rPr>
      </w:pPr>
    </w:p>
    <w:p>
      <w:pPr>
        <w:ind w:left="2620" w:hanging="667"/>
        <w:spacing w:after="0"/>
        <w:tabs>
          <w:tab w:leader="none" w:pos="262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Series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360" w:firstLine="641"/>
        <w:spacing w:after="0" w:line="288" w:lineRule="auto"/>
        <w:tabs>
          <w:tab w:leader="none" w:pos="327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Subject to Section 5.14(b)(vi)(B), in the event of a Series A Cash COC Event, the Outstanding Series A Preferred Units shall be automatically converted, without requirement of any action of the Series A Preferred Unitholders, into Common Units immediately prior to the closing of the Series A Cash COC Event at a conversion ratio equal to the greater of</w:t>
      </w:r>
    </w:p>
    <w:p>
      <w:pPr>
        <w:ind w:left="1960" w:right="240"/>
        <w:spacing w:after="0" w:line="261" w:lineRule="auto"/>
        <w:rPr>
          <w:rFonts w:ascii="Arial" w:cs="Arial" w:eastAsia="Arial" w:hAnsi="Arial"/>
          <w:sz w:val="16"/>
          <w:szCs w:val="16"/>
          <w:color w:val="auto"/>
        </w:rPr>
      </w:pPr>
      <w:r>
        <w:rPr>
          <w:rFonts w:ascii="Arial" w:cs="Arial" w:eastAsia="Arial" w:hAnsi="Arial"/>
          <w:sz w:val="18"/>
          <w:szCs w:val="18"/>
          <w:color w:val="auto"/>
        </w:rPr>
        <w:t>(1) the then applicable Series A Conversion Rate (or, if the Series A Preferred Units are not then convertible, assuming that such Series A Preferred Units are convertible at the then applicable Series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40"/>
        <w:spacing w:after="0" w:line="286" w:lineRule="auto"/>
        <w:rPr>
          <w:sz w:val="20"/>
          <w:szCs w:val="20"/>
          <w:color w:val="auto"/>
        </w:rPr>
      </w:pPr>
      <w:r>
        <w:rPr>
          <w:rFonts w:ascii="Arial" w:cs="Arial" w:eastAsia="Arial" w:hAnsi="Arial"/>
          <w:sz w:val="16"/>
          <w:szCs w:val="16"/>
          <w:color w:val="auto"/>
        </w:rPr>
        <w:t xml:space="preserve">Conversion Rate) and (2) the quotient of (i) the product of (a) the Series A Issue Price together with accrued but unpaid distributions on the Series A Preferred Units, multiplied by (b) the Series A Cash COC Conversion Premium, divided by (ii) the volume-weighted average price of the Common Units for the thirty (30) consecutive Trading Days ending immediately prior to the date of execution and public announcement of the Series A Cash COC Event; </w:t>
      </w:r>
      <w:r>
        <w:rPr>
          <w:rFonts w:ascii="Arial" w:cs="Arial" w:eastAsia="Arial" w:hAnsi="Arial"/>
          <w:sz w:val="16"/>
          <w:szCs w:val="16"/>
          <w:i w:val="1"/>
          <w:iCs w:val="1"/>
          <w:color w:val="auto"/>
        </w:rPr>
        <w:t>provided</w:t>
      </w:r>
      <w:r>
        <w:rPr>
          <w:rFonts w:ascii="Arial" w:cs="Arial" w:eastAsia="Arial" w:hAnsi="Arial"/>
          <w:sz w:val="16"/>
          <w:szCs w:val="16"/>
          <w:color w:val="auto"/>
        </w:rPr>
        <w:t>, that the ratio contemplated by clause</w:t>
      </w:r>
    </w:p>
    <w:p>
      <w:pPr>
        <w:spacing w:after="0" w:line="2" w:lineRule="exact"/>
        <w:rPr>
          <w:sz w:val="20"/>
          <w:szCs w:val="20"/>
          <w:color w:val="auto"/>
        </w:rPr>
      </w:pPr>
    </w:p>
    <w:p>
      <w:pPr>
        <w:ind w:left="1960" w:hanging="7"/>
        <w:spacing w:after="0" w:line="252" w:lineRule="auto"/>
        <w:tabs>
          <w:tab w:leader="none" w:pos="22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above shall not exceed a ratio resulting in a value per Series A Preferred Unit (based on the consideration payable to holders of Common Units in such Series A Cash COC Event) equal to (i) 120% of the Series A Issue Price in the case of a Series A Change of Control occurring on or prior to the first anniversary of the Series A Issuance Date, (ii) 130% of 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93" w:lineRule="exact"/>
        <w:rPr>
          <w:rFonts w:ascii="Arial" w:cs="Arial" w:eastAsia="Arial" w:hAnsi="Arial"/>
          <w:sz w:val="18"/>
          <w:szCs w:val="18"/>
          <w:color w:val="auto"/>
        </w:rPr>
      </w:pPr>
    </w:p>
    <w:p>
      <w:pPr>
        <w:ind w:left="1960" w:right="100" w:firstLine="641"/>
        <w:spacing w:after="0" w:line="270" w:lineRule="auto"/>
        <w:tabs>
          <w:tab w:leader="none" w:pos="326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Promptly upon entry into definitive agreements that provide for a Series A Change of Control (other than a Series A Cash COC Event), if the Partnership has not issued a press release or other widely-disseminated public statement regarding the entry into such definitive agreements, the Partnership shall provide written notice thereof to the Series A Unitholders. Subject to Section 5.14(b)(vi)(B), if a Series A Change of Control (other than a Series A Cash COC Event) occurs, then each Series A Preferred Unitholder, with respect to all but not less than all of its Series A Preferred Units, by notice given to the Partnership within ten (10) Business Days of the date the Partnership provides written notice of the execution of definitive agreements that provide for a Series A Change of Control, shall be entitled to elect one of the following (with the understanding that any Series A Preferred Unitholder who fails to timely provide notice of its election to the Partnership shall be deemed to have elected the option set forth in sub-clause (1) below):</w:t>
      </w:r>
    </w:p>
    <w:p>
      <w:pPr>
        <w:sectPr>
          <w:pgSz w:w="11900" w:h="16838" w:orient="portrait"/>
          <w:cols w:equalWidth="0" w:num="1">
            <w:col w:w="11420"/>
          </w:cols>
          <w:pgMar w:left="240" w:top="125" w:right="239" w:bottom="0" w:gutter="0" w:footer="0" w:header="0"/>
        </w:sectPr>
      </w:pPr>
    </w:p>
    <w:bookmarkStart w:id="55" w:name="page56"/>
    <w:bookmarkEnd w:id="55"/>
    <w:p>
      <w:pPr>
        <w:spacing w:after="0" w:line="13" w:lineRule="exact"/>
        <w:rPr>
          <w:sz w:val="20"/>
          <w:szCs w:val="20"/>
          <w:color w:val="auto"/>
        </w:rPr>
      </w:pPr>
    </w:p>
    <w:p>
      <w:pPr>
        <w:ind w:left="1400" w:firstLine="649"/>
        <w:spacing w:after="0" w:line="264" w:lineRule="auto"/>
        <w:tabs>
          <w:tab w:leader="none" w:pos="27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convert all, but not less than all, Outstanding Series A Preferred Units into Common Units, at the then-applicable Series A Conversion Rate, subject to payment of any accrued but unpaid distributions to the date of conversion, in accordance with Section 5.14(b)(vi);</w:t>
      </w:r>
    </w:p>
    <w:p>
      <w:pPr>
        <w:spacing w:after="0" w:line="181" w:lineRule="exact"/>
        <w:rPr>
          <w:rFonts w:ascii="Arial" w:cs="Arial" w:eastAsia="Arial" w:hAnsi="Arial"/>
          <w:sz w:val="18"/>
          <w:szCs w:val="18"/>
          <w:color w:val="auto"/>
        </w:rPr>
      </w:pPr>
    </w:p>
    <w:p>
      <w:pPr>
        <w:ind w:left="1400" w:right="80" w:firstLine="649"/>
        <w:spacing w:after="0" w:line="259" w:lineRule="auto"/>
        <w:tabs>
          <w:tab w:leader="none" w:pos="27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Partnership will not be the surviving entity of such Series A Change of Control or the Partnership will be the surviving entity but its Common Units will cease to be listed or admitted to trading on a National Securities Exchange, require the Partnership to use its commercially reasonable efforts to deliver or to cause to be delivered to the Series A Preferred Unitholders, in</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0"/>
        <w:spacing w:after="0" w:line="283" w:lineRule="auto"/>
        <w:rPr>
          <w:sz w:val="20"/>
          <w:szCs w:val="20"/>
          <w:color w:val="auto"/>
        </w:rPr>
      </w:pPr>
      <w:r>
        <w:rPr>
          <w:rFonts w:ascii="Arial" w:cs="Arial" w:eastAsia="Arial" w:hAnsi="Arial"/>
          <w:sz w:val="16"/>
          <w:szCs w:val="16"/>
          <w:color w:val="auto"/>
        </w:rPr>
        <w:t>exchange for their Series A Preferred Units upon such Series A Change of Control,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Series A Change of Control would entitle the holder to the number of common securities of such surviving entity (together with a number of common securities of equivalent value to any other assets received by Common Unitholders in such Series A Change of Control) which, if a Series A Preferred Unit had been converted into Common Units immediately prior to such Series A Change of Control, such holder would have been entitled to receive immediately following such Series A Change of Control (such security in the surviving entity, a “</w:t>
      </w:r>
      <w:r>
        <w:rPr>
          <w:rFonts w:ascii="Arial" w:cs="Arial" w:eastAsia="Arial" w:hAnsi="Arial"/>
          <w:sz w:val="16"/>
          <w:szCs w:val="16"/>
          <w:i w:val="1"/>
          <w:iCs w:val="1"/>
          <w:color w:val="auto"/>
        </w:rPr>
        <w:t>Substantially Equivalent</w:t>
      </w:r>
    </w:p>
    <w:p>
      <w:pPr>
        <w:spacing w:after="0" w:line="7" w:lineRule="exact"/>
        <w:rPr>
          <w:sz w:val="20"/>
          <w:szCs w:val="20"/>
          <w:color w:val="auto"/>
        </w:rPr>
      </w:pPr>
    </w:p>
    <w:p>
      <w:pPr>
        <w:ind w:left="1400" w:right="80"/>
        <w:spacing w:after="0" w:line="252" w:lineRule="auto"/>
        <w:rPr>
          <w:sz w:val="20"/>
          <w:szCs w:val="20"/>
          <w:color w:val="auto"/>
        </w:rPr>
      </w:pPr>
      <w:r>
        <w:rPr>
          <w:rFonts w:ascii="Arial" w:cs="Arial" w:eastAsia="Arial" w:hAnsi="Arial"/>
          <w:sz w:val="18"/>
          <w:szCs w:val="18"/>
          <w:i w:val="1"/>
          <w:iCs w:val="1"/>
          <w:color w:val="auto"/>
        </w:rPr>
        <w:t>Unit</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Partnership is unable to deliver or cause to be delivered Substantially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Units to any Series A Preferred Unitholder in connection with such Series A Change of Control, each Series A Preferred Unitholder shall be entitled to either (A) require redemption of such Series A Preferred Units in the manner contemplated by sub-clause (4) of this Section 5.14(b)(vii)(B) or (B) convert the Series A Preferred Units held by such Series A Preferred Unitholder immediately prior to such Series A Change of Control into a number of Common Units at a conversion ratio equal to the quotient of:</w:t>
      </w:r>
    </w:p>
    <w:p>
      <w:pPr>
        <w:spacing w:after="0" w:line="194" w:lineRule="exact"/>
        <w:rPr>
          <w:sz w:val="20"/>
          <w:szCs w:val="20"/>
          <w:color w:val="auto"/>
        </w:rPr>
      </w:pPr>
    </w:p>
    <w:p>
      <w:pPr>
        <w:ind w:left="2040" w:right="180" w:firstLine="658"/>
        <w:spacing w:after="0" w:line="255" w:lineRule="auto"/>
        <w:tabs>
          <w:tab w:leader="none" w:pos="332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product of (i) 160% multiplied by (ii) the Series A Issue Price, less the Series A Unitholder’s Pro Rata portion of the sum of (A) all cash distributions paid on all Series A Preferred Units on or prior to the date of the Series A Change of Control, and (B) an amount in cash equal to the aggregate of the Series A Quarterly Distribution Amounts paid in Series A PIK Units (based on the value of such Series A PIK Units on the applicable Series A PIK Payment Date) on or before the date of the Series A Change of Control, divided by</w:t>
      </w:r>
    </w:p>
    <w:p>
      <w:pPr>
        <w:spacing w:after="0" w:line="193" w:lineRule="exact"/>
        <w:rPr>
          <w:rFonts w:ascii="Arial" w:cs="Arial" w:eastAsia="Arial" w:hAnsi="Arial"/>
          <w:sz w:val="18"/>
          <w:szCs w:val="18"/>
          <w:color w:val="auto"/>
        </w:rPr>
      </w:pPr>
    </w:p>
    <w:p>
      <w:pPr>
        <w:jc w:val="both"/>
        <w:ind w:left="2040" w:right="80" w:firstLine="658"/>
        <w:spacing w:after="0" w:line="286" w:lineRule="auto"/>
        <w:tabs>
          <w:tab w:leader="none" w:pos="333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an amount equal to 95% of the volume-weighted average price of the Common Units for the thirty (30) Trading Day period prior to the closing of the Series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that such ratio shall be capped at a value per Series A Preferred Unit equal to (i) 120% of the Series A Issue Price in the case of a Series A Change of Control occurring on or prior to the first anniversary of the Series A Issuance Date,</w:t>
      </w:r>
    </w:p>
    <w:p>
      <w:pPr>
        <w:spacing w:after="0" w:line="1" w:lineRule="exact"/>
        <w:rPr>
          <w:rFonts w:ascii="Arial" w:cs="Arial" w:eastAsia="Arial" w:hAnsi="Arial"/>
          <w:sz w:val="16"/>
          <w:szCs w:val="16"/>
          <w:color w:val="auto"/>
        </w:rPr>
      </w:pPr>
    </w:p>
    <w:p>
      <w:pPr>
        <w:ind w:left="2320" w:hanging="271"/>
        <w:spacing w:after="0"/>
        <w:tabs>
          <w:tab w:leader="none" w:pos="2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130% of the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40"/>
        <w:spacing w:after="0" w:line="302" w:lineRule="auto"/>
        <w:rPr>
          <w:sz w:val="20"/>
          <w:szCs w:val="20"/>
          <w:color w:val="auto"/>
        </w:rPr>
      </w:pPr>
      <w:r>
        <w:rPr>
          <w:rFonts w:ascii="Arial" w:cs="Arial" w:eastAsia="Arial" w:hAnsi="Arial"/>
          <w:sz w:val="16"/>
          <w:szCs w:val="16"/>
          <w:color w:val="auto"/>
        </w:rPr>
        <w:t>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54" w:lineRule="exact"/>
        <w:rPr>
          <w:sz w:val="20"/>
          <w:szCs w:val="20"/>
          <w:color w:val="auto"/>
        </w:rPr>
      </w:pPr>
    </w:p>
    <w:p>
      <w:pPr>
        <w:ind w:left="1400" w:right="160" w:firstLine="649"/>
        <w:spacing w:after="0" w:line="277" w:lineRule="auto"/>
        <w:tabs>
          <w:tab w:leader="none" w:pos="2704" w:val="left"/>
        </w:tabs>
        <w:numPr>
          <w:ilvl w:val="2"/>
          <w:numId w:val="132"/>
        </w:numPr>
        <w:rPr>
          <w:rFonts w:ascii="Arial" w:cs="Arial" w:eastAsia="Arial" w:hAnsi="Arial"/>
          <w:sz w:val="18"/>
          <w:szCs w:val="18"/>
          <w:color w:val="auto"/>
        </w:rPr>
      </w:pPr>
      <w:r>
        <w:rPr>
          <w:rFonts w:ascii="Arial" w:cs="Arial" w:eastAsia="Arial" w:hAnsi="Arial"/>
          <w:sz w:val="18"/>
          <w:szCs w:val="18"/>
          <w:color w:val="auto"/>
        </w:rPr>
        <w:t>if the Partnership is the surviving entity of such Series A Change of Control, continue to hold Series A Preferred Units; or</w:t>
      </w:r>
    </w:p>
    <w:p>
      <w:pPr>
        <w:spacing w:after="0" w:line="170" w:lineRule="exact"/>
        <w:rPr>
          <w:rFonts w:ascii="Arial" w:cs="Arial" w:eastAsia="Arial" w:hAnsi="Arial"/>
          <w:sz w:val="18"/>
          <w:szCs w:val="18"/>
          <w:color w:val="auto"/>
        </w:rPr>
      </w:pPr>
    </w:p>
    <w:p>
      <w:pPr>
        <w:ind w:left="1400" w:right="40" w:firstLine="649"/>
        <w:spacing w:after="0" w:line="286" w:lineRule="auto"/>
        <w:tabs>
          <w:tab w:leader="none" w:pos="2704" w:val="left"/>
        </w:tabs>
        <w:numPr>
          <w:ilvl w:val="2"/>
          <w:numId w:val="132"/>
        </w:numPr>
        <w:rPr>
          <w:rFonts w:ascii="Arial" w:cs="Arial" w:eastAsia="Arial" w:hAnsi="Arial"/>
          <w:sz w:val="16"/>
          <w:szCs w:val="16"/>
          <w:color w:val="auto"/>
        </w:rPr>
      </w:pPr>
      <w:r>
        <w:rPr>
          <w:rFonts w:ascii="Arial" w:cs="Arial" w:eastAsia="Arial" w:hAnsi="Arial"/>
          <w:sz w:val="16"/>
          <w:szCs w:val="16"/>
          <w:color w:val="auto"/>
        </w:rPr>
        <w:t>require the Partnership to redeem the Series A Preferred Units at a price per Series A Preferred Unit equal to 101% of the Series A Issue Price plus accrued and unpaid distributions to the date of such redemption. Any redemption pursuant to this sub-clause (4) shall, in the sole discretion of the General Partner, be paid in cash and/or Common Units. If all or any portion of such redemption is to be paid in Common Units, the Common Units to be issued shall be valued at 95% of the volume-weighted average price of the Common Units for the thirty (30) Trading Day period ending on the fifth Trading Day immediately prior to the Series A Change of Control. No later than three Trading Days prior to the consummation of the related Series A Change of Control, the Partnership shall deliver a written notice to the holders of the Series A Preferred Units stating the date on which the Series A Preferred Units will be redeemed and the Partnership’s computation of the amount of cash or Common Units to be received by the holder upon redemption of such Series A Preferred Units. No later than 10 Business Days following the consummation of such Series A Change of Control, the Partnership shall remit the applicable cash or Common Unit consideration to the holders of then Outstanding Series A Preferred Units. The holders shall deliver to the Partnership any certificates representing the Series A Preferred Units as soon as practicable following the redemption. Holders of the Series A Preferred Units shall retain all of the rights and privileges thereof unless and until the consideration due to them as a result of such redemption shall be paid in full in cash or Common Units, as applicable.</w:t>
      </w:r>
    </w:p>
    <w:p>
      <w:pPr>
        <w:spacing w:after="0" w:line="168" w:lineRule="exact"/>
        <w:rPr>
          <w:rFonts w:ascii="Arial" w:cs="Arial" w:eastAsia="Arial" w:hAnsi="Arial"/>
          <w:sz w:val="16"/>
          <w:szCs w:val="16"/>
          <w:color w:val="auto"/>
        </w:rPr>
      </w:pPr>
    </w:p>
    <w:p>
      <w:pPr>
        <w:ind w:left="1440" w:hanging="687"/>
        <w:spacing w:after="0"/>
        <w:tabs>
          <w:tab w:leader="none" w:pos="144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Series A Preferred Unit Transfer Restrictions.</w:t>
      </w:r>
    </w:p>
    <w:p>
      <w:pPr>
        <w:spacing w:after="0" w:line="225" w:lineRule="exact"/>
        <w:rPr>
          <w:rFonts w:ascii="Arial" w:cs="Arial" w:eastAsia="Arial" w:hAnsi="Arial"/>
          <w:sz w:val="18"/>
          <w:szCs w:val="18"/>
          <w:color w:val="auto"/>
        </w:rPr>
      </w:pPr>
    </w:p>
    <w:p>
      <w:pPr>
        <w:jc w:val="both"/>
        <w:ind w:left="760" w:right="120" w:firstLine="641"/>
        <w:spacing w:after="0" w:line="342" w:lineRule="auto"/>
        <w:tabs>
          <w:tab w:leader="none" w:pos="207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5.14(b)(viii), each Series A Purchaser shall be permitted to transfer any Series A Preferred Units owned by such Series A Purchaser to any of its Affiliates or to any other Series A Purchaser.</w:t>
      </w:r>
    </w:p>
    <w:p>
      <w:pPr>
        <w:sectPr>
          <w:pgSz w:w="11900" w:h="16851" w:orient="portrait"/>
          <w:cols w:equalWidth="0" w:num="1">
            <w:col w:w="10220"/>
          </w:cols>
          <w:pgMar w:left="1440" w:top="125" w:right="239" w:bottom="0" w:gutter="0" w:footer="0" w:header="0"/>
        </w:sectPr>
      </w:pP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52</w:t>
      </w:r>
    </w:p>
    <w:p>
      <w:pPr>
        <w:sectPr>
          <w:pgSz w:w="11900" w:h="16851" w:orient="portrait"/>
          <w:cols w:equalWidth="0" w:num="1">
            <w:col w:w="10220"/>
          </w:cols>
          <w:pgMar w:left="1440" w:top="125" w:right="239" w:bottom="0" w:gutter="0" w:footer="0" w:header="0"/>
          <w:type w:val="continuous"/>
        </w:sectPr>
      </w:pPr>
    </w:p>
    <w:bookmarkStart w:id="56" w:name="page57"/>
    <w:bookmarkEnd w:id="5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760" w:right="20" w:firstLine="641"/>
        <w:spacing w:after="0" w:line="285" w:lineRule="auto"/>
        <w:tabs>
          <w:tab w:leader="none" w:pos="206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Without the prior written consent of the Partnership, except as specifically provided in this Agreement, each Series A Preferred Unitholder shall not, (a) during the period commencing on the Series A Issuance Date and ending on the first anniversary of the Series A Issuance Date, offer, sell, contract to sell, sell any option or contract to purchase, purchase any option or contract to sell, grant any option, right or warrant to purchase, lend, or otherwise transfer or dispose of, directly or indirectly, any of its Series A Preferred Units, (b) during the period commencing on the Series A Issuance Date and ending on the second anniversary of the Series A Issuance Date, directly or indirectly engage in any short sales or other derivative or hedging transactions with respect to the Series A Preferred Units, (c) transfer any Series A Preferred Units to any non-U.S. resident individual, non-U.S. corporation or partnership, or any other non-U.S. entity, including any foreign governmental entity, including by means of any swap or other transaction or arrangement that transfers or that is designed to, or that might reasonably be expected to, result in the transfer to another, in whole or in part, any of the economic consequences of ownership of any Series A Preferred Units, regardless of whether any transaction described in clauses (a) through (c) above is to be settled by delivery of Series A Preferred Units, Common Units or other securities, in cash or otherwise, or (d) effect any transfer of Series A Preferred Units or Series A Conversion Units in a manner that violates the terms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Series A Preferred Unitholder may pledge all or any portion of its Series A Preferred Units to any holders of obligations owed by the Series A Preferred Unitholders, including to the trustee for, or representative of, such holders; </w:t>
      </w:r>
      <w:r>
        <w:rPr>
          <w:rFonts w:ascii="Arial" w:cs="Arial" w:eastAsia="Arial" w:hAnsi="Arial"/>
          <w:sz w:val="16"/>
          <w:szCs w:val="16"/>
          <w:i w:val="1"/>
          <w:iCs w:val="1"/>
          <w:color w:val="auto"/>
        </w:rPr>
        <w:t>provided further</w:t>
      </w:r>
      <w:r>
        <w:rPr>
          <w:rFonts w:ascii="Arial" w:cs="Arial" w:eastAsia="Arial" w:hAnsi="Arial"/>
          <w:sz w:val="16"/>
          <w:szCs w:val="16"/>
          <w:color w:val="auto"/>
        </w:rPr>
        <w:t>, that such Series A Preferred Unitholder may transfer any of the Series A Preferred Units purchased hereunder to an Affiliate of such Series A Preferred Unitholder. Notwithstanding the foregoing, any transferee receiving any Series A Preferred Units pursuant to this Section 5.14(b) (viii)(B) shall agree to the restrictions set forth in this Section 5.14(b)(viii)(B).</w:t>
      </w:r>
    </w:p>
    <w:p>
      <w:pPr>
        <w:spacing w:after="0" w:line="172" w:lineRule="exact"/>
        <w:rPr>
          <w:rFonts w:ascii="Arial" w:cs="Arial" w:eastAsia="Arial" w:hAnsi="Arial"/>
          <w:sz w:val="16"/>
          <w:szCs w:val="16"/>
          <w:color w:val="auto"/>
        </w:rPr>
      </w:pPr>
    </w:p>
    <w:p>
      <w:pPr>
        <w:ind w:left="760" w:right="40" w:firstLine="641"/>
        <w:spacing w:after="0" w:line="273" w:lineRule="auto"/>
        <w:tabs>
          <w:tab w:leader="none" w:pos="206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Following the first anniversary of the Series A Issuance Date, the Series A Purchasers or their permitted transferees may freely transfer Series A Preferred Units involving an underlying value of Common Units of at least $50,000,000 based on the closing trading price of Common Units on the date immediately preceding the date of such transfer on the National Securities Exchange on which the Common Units are then listed or trading (or such lesser amount if it (i) constitutes the remaining holdings of such Series A Preferred Unitholder or (ii) has been approved by the General Partner, in its sole discretion), subject to compliance with applicable securities laws and this Agreement.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667"/>
        <w:spacing w:after="0"/>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Series A Distribution Amount Reset; Redemption.</w:t>
      </w:r>
    </w:p>
    <w:p>
      <w:pPr>
        <w:spacing w:after="0" w:line="225" w:lineRule="exact"/>
        <w:rPr>
          <w:rFonts w:ascii="Arial" w:cs="Arial" w:eastAsia="Arial" w:hAnsi="Arial"/>
          <w:sz w:val="18"/>
          <w:szCs w:val="18"/>
          <w:color w:val="auto"/>
        </w:rPr>
      </w:pPr>
    </w:p>
    <w:p>
      <w:pPr>
        <w:jc w:val="both"/>
        <w:ind w:left="760" w:right="80" w:firstLine="641"/>
        <w:spacing w:after="0" w:line="259" w:lineRule="auto"/>
        <w:tabs>
          <w:tab w:leader="none" w:pos="207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For a period of thirty (30) days following (1) the fifth anniversary of the Series A Issuance Date and (2) each subsequent anniversary of the Series A Issuance Date, the Series A Preferred Unitholders, acting by a vote of a majority of the Outstanding Series A Preferred Units, may make a one-time election to reset the Series A Distribution Amount to an amount equal to the Series A Reset Amount.</w:t>
      </w:r>
    </w:p>
    <w:p>
      <w:pPr>
        <w:spacing w:after="0" w:line="186" w:lineRule="exact"/>
        <w:rPr>
          <w:rFonts w:ascii="Arial" w:cs="Arial" w:eastAsia="Arial" w:hAnsi="Arial"/>
          <w:sz w:val="18"/>
          <w:szCs w:val="18"/>
          <w:color w:val="auto"/>
        </w:rPr>
      </w:pPr>
    </w:p>
    <w:p>
      <w:pPr>
        <w:ind w:left="760" w:firstLine="641"/>
        <w:spacing w:after="0" w:line="285" w:lineRule="auto"/>
        <w:tabs>
          <w:tab w:leader="none" w:pos="206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If the Series A Preferred Unitholders elect to reset the Series A Distribution Amount pursuant to Section 5.14(b) (ix)(A), then, at any time following thirty (30) days after the sixth anniversary of the Series A Issuance Date, the Partnership may, at its option, by delivering written notice to the Series A Preferred Unitholders, redeem all or any portion of the Outstanding Series A Preferred Units in exchange for cash, Common Units (valued at 95% of the volume-weighted average price of the Common Units for the thirty (30) Trading Day period ending on the fifth Trading Day immediately prior to the date of such redemption) or a combination thereof at a redemption price equal to 110% of the Series A Issue Price, plus any accrued and unpaid distributions;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Partnership must have an effective registration statement on file with the Commission covering resales of the underlying Common Units to be received upon any such redemption; </w:t>
      </w:r>
      <w:r>
        <w:rPr>
          <w:rFonts w:ascii="Arial" w:cs="Arial" w:eastAsia="Arial" w:hAnsi="Arial"/>
          <w:sz w:val="16"/>
          <w:szCs w:val="16"/>
          <w:i w:val="1"/>
          <w:iCs w:val="1"/>
          <w:color w:val="auto"/>
        </w:rPr>
        <w:t>provided, further</w:t>
      </w:r>
      <w:r>
        <w:rPr>
          <w:rFonts w:ascii="Arial" w:cs="Arial" w:eastAsia="Arial" w:hAnsi="Arial"/>
          <w:sz w:val="16"/>
          <w:szCs w:val="16"/>
          <w:color w:val="auto"/>
        </w:rPr>
        <w:t>, any such redemption by the Partnership shall (1) cover an aggregate amount of Series A Preferred Units (including any Outstanding Series A PIK Units) with an underlying value of Common Units of at least $500,000,000 based on the closing price of Common Units on the trading day immediately preceding the date of such notice on the National Securities Exchange on which the Common Units are then listed or admitted to trading (or such lesser amount if such amount includes all then Outstanding Series A Preferred Units) and (2) be allocated among the Series A Preferred Unitholders on a Pro Rata basis or on such other basis as may be agreed upon by the Series A Preferred Unitholders. The Partnership shall have the option to exercise such redemption right no more than two times in respect of the Outstanding Series A Preferred Units. Such written notice shall state the date on which the Series A Preferred Units will be redeemed (such date not to be more than thirty (30) days following delivery of such notice) and the Partnership’s computation of the amount of cash or Common Units to be received by the holder upon redemption of such Series A Preferred Units. Holders of the Series A Preferred Units shall retain all of the rights and privileges thereof unless and until the consideration due to them as a result of such redemption shall be paid in full in cash or Common Units, as applicable.</w:t>
      </w:r>
    </w:p>
    <w:p>
      <w:pPr>
        <w:spacing w:after="0" w:line="170" w:lineRule="exact"/>
        <w:rPr>
          <w:rFonts w:ascii="Arial" w:cs="Arial" w:eastAsia="Arial" w:hAnsi="Arial"/>
          <w:sz w:val="16"/>
          <w:szCs w:val="16"/>
          <w:color w:val="auto"/>
        </w:rPr>
      </w:pPr>
    </w:p>
    <w:p>
      <w:pPr>
        <w:ind w:left="100" w:right="180" w:firstLine="653"/>
        <w:spacing w:after="0" w:line="277" w:lineRule="auto"/>
        <w:tabs>
          <w:tab w:leader="none" w:pos="140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Fully Paid and Nonassessable</w:t>
      </w:r>
      <w:r>
        <w:rPr>
          <w:rFonts w:ascii="Arial" w:cs="Arial" w:eastAsia="Arial" w:hAnsi="Arial"/>
          <w:sz w:val="18"/>
          <w:szCs w:val="18"/>
          <w:color w:val="auto"/>
        </w:rPr>
        <w:t>. Any Series A Conversion Unit(s) delivered pursuant to this Section 5.14 shall be validly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fully paid and nonassessable (except as such nonassessability may be affected by matters</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described in Sections 17-303, 17-607 and 17-804 of the Delaware Act), free and clear of any liens, claims, rights or encumbrances other than those arising under the Delaware Act or this Agreement or created by the holders thereof.</w:t>
      </w:r>
    </w:p>
    <w:p>
      <w:pPr>
        <w:spacing w:after="0" w:line="170" w:lineRule="exact"/>
        <w:rPr>
          <w:sz w:val="20"/>
          <w:szCs w:val="20"/>
          <w:color w:val="auto"/>
        </w:rPr>
      </w:pPr>
    </w:p>
    <w:p>
      <w:pPr>
        <w:ind w:left="100" w:right="100" w:firstLine="653"/>
        <w:spacing w:after="0" w:line="293" w:lineRule="auto"/>
        <w:tabs>
          <w:tab w:leader="none" w:pos="1413"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Partnership Restructuring Event</w:t>
      </w:r>
      <w:r>
        <w:rPr>
          <w:rFonts w:ascii="Arial" w:cs="Arial" w:eastAsia="Arial" w:hAnsi="Arial"/>
          <w:sz w:val="16"/>
          <w:szCs w:val="16"/>
          <w:color w:val="auto"/>
        </w:rPr>
        <w:t>. Subject to Section 5.14(b)(vi)(B), if (A) a Partnership Restructuring Event occurs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Partnership engages in any other recapitalization, reorganization, consolidation, merger, spin-off or other business combination (other than a Series A Change of Control) and (B) (1) the Partnership will not be the surviving entity of such Partnership Restructuring Event or other event or (2) the Partnership will be the surviving entity but its Common Units will cease to be listed or admitted to trading on a National Securities Exchange, the Partnership shall deliver or cause to be delivered to the Series A Preferred Unitholders, in exchange for their Series A Preferred Units upon consummation of such Partnership Restructuring Event or other event, a security in the surviving entity</w:t>
      </w:r>
    </w:p>
    <w:p>
      <w:pPr>
        <w:sectPr>
          <w:pgSz w:w="11900" w:h="16894" w:orient="portrait"/>
          <w:cols w:equalWidth="0" w:num="1">
            <w:col w:w="10220"/>
          </w:cols>
          <w:pgMar w:left="1440" w:top="733" w:right="239" w:bottom="0" w:gutter="0" w:footer="0" w:header="0"/>
        </w:sectPr>
      </w:pPr>
    </w:p>
    <w:bookmarkStart w:id="57" w:name="page58"/>
    <w:bookmarkEnd w:id="57"/>
    <w:p>
      <w:pPr>
        <w:spacing w:after="0" w:line="77" w:lineRule="exact"/>
        <w:rPr>
          <w:sz w:val="20"/>
          <w:szCs w:val="20"/>
          <w:color w:val="auto"/>
        </w:rPr>
      </w:pPr>
    </w:p>
    <w:p>
      <w:pPr>
        <w:ind w:left="1300" w:right="60"/>
        <w:spacing w:after="0" w:line="254" w:lineRule="auto"/>
        <w:rPr>
          <w:sz w:val="20"/>
          <w:szCs w:val="20"/>
          <w:color w:val="auto"/>
        </w:rPr>
      </w:pPr>
      <w:r>
        <w:rPr>
          <w:rFonts w:ascii="Arial" w:cs="Arial" w:eastAsia="Arial" w:hAnsi="Arial"/>
          <w:sz w:val="18"/>
          <w:szCs w:val="18"/>
          <w:color w:val="auto"/>
        </w:rPr>
        <w:t>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Partnership Restructuring Event or such other event would entitle the holder to the number of common securities of such surviving entity (together with a number of common securities of equivalent value to any other assets received by Common Unitholders in such Partnership Restructuring Event or such other event) which, if a Series A Preferred Unit had been converted into Common Units immediately prior to such Partnership Restructuring Event or such other event, such holder would have been entitled to receive immediately following such Partnership Restructuring Event or such other event.</w:t>
      </w:r>
    </w:p>
    <w:p>
      <w:pPr>
        <w:spacing w:after="0" w:line="192" w:lineRule="exact"/>
        <w:rPr>
          <w:sz w:val="20"/>
          <w:szCs w:val="20"/>
          <w:color w:val="auto"/>
        </w:rPr>
      </w:pPr>
    </w:p>
    <w:p>
      <w:pPr>
        <w:ind w:left="1300" w:right="80" w:firstLine="653"/>
        <w:spacing w:after="0" w:line="259" w:lineRule="auto"/>
        <w:tabs>
          <w:tab w:leader="none" w:pos="2623"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For the avoidance of doubt, the Partnership shall distribute to the holders of Series A Preferred Units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all notices, materials, annual and quarterly reports, proxy statements, information statements and any other documents distributed generally to the holders of Common Units of the Partnership, at such times and by such method as such documents are distributed to such holders of such Common Units.</w:t>
      </w:r>
    </w:p>
    <w:p>
      <w:pPr>
        <w:spacing w:after="0" w:line="186" w:lineRule="exact"/>
        <w:rPr>
          <w:rFonts w:ascii="Arial" w:cs="Arial" w:eastAsia="Arial" w:hAnsi="Arial"/>
          <w:sz w:val="18"/>
          <w:szCs w:val="18"/>
          <w:color w:val="auto"/>
        </w:rPr>
      </w:pPr>
    </w:p>
    <w:p>
      <w:pPr>
        <w:ind w:left="1300" w:right="100" w:firstLine="653"/>
        <w:spacing w:after="0" w:line="255" w:lineRule="auto"/>
        <w:tabs>
          <w:tab w:leader="none" w:pos="263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Liquidation Value</w:t>
      </w:r>
      <w:r>
        <w:rPr>
          <w:rFonts w:ascii="Arial" w:cs="Arial" w:eastAsia="Arial" w:hAnsi="Arial"/>
          <w:sz w:val="18"/>
          <w:szCs w:val="18"/>
          <w:color w:val="auto"/>
        </w:rPr>
        <w:t>. In the event of any liquidation, dissolution and winding up of the Partnership under Section 12.4 or a</w:t>
      </w:r>
      <w:r>
        <w:rPr>
          <w:rFonts w:ascii="Arial" w:cs="Arial" w:eastAsia="Arial" w:hAnsi="Arial"/>
          <w:sz w:val="18"/>
          <w:szCs w:val="18"/>
          <w:i w:val="1"/>
          <w:iCs w:val="1"/>
          <w:color w:val="auto"/>
        </w:rPr>
        <w:t xml:space="preserve"> </w:t>
      </w:r>
      <w:r>
        <w:rPr>
          <w:rFonts w:ascii="Arial" w:cs="Arial" w:eastAsia="Arial" w:hAnsi="Arial"/>
          <w:sz w:val="18"/>
          <w:szCs w:val="18"/>
          <w:color w:val="auto"/>
        </w:rPr>
        <w:t>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the positive value in each such holder’s Capital Account in respect of such Series A Preferred Units, after taking into account all Capital Account adjustments for the relevant taxable periods, including without limitation those provided for under Section 6.1(d)(x)(C).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ALLOCATIONS AND DISTRIBUTIONS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Allocations for Capital Account Purposes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81" w:lineRule="exact"/>
        <w:rPr>
          <w:sz w:val="20"/>
          <w:szCs w:val="20"/>
          <w:color w:val="auto"/>
        </w:rPr>
      </w:pPr>
    </w:p>
    <w:p>
      <w:pPr>
        <w:ind w:right="20" w:firstLine="1305"/>
        <w:spacing w:after="0" w:line="308" w:lineRule="auto"/>
        <w:tabs>
          <w:tab w:leader="none" w:pos="1942"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After giving effect to the special allocations set forth in Section 6.1(d), Net Income for each taxable year and all items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gain, loss and deduction taken into account in computing Net Income for such taxable year shall be allocated as follows:</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First, 100% to the General Partner as necessary to eliminate any deficit balance in the General Partner’s Capital Account;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Second, the balance, if any, to the Unitholders in accordance with their respective Percentage Interests.</w:t>
      </w:r>
    </w:p>
    <w:p>
      <w:pPr>
        <w:spacing w:after="0" w:line="225" w:lineRule="exact"/>
        <w:rPr>
          <w:rFonts w:ascii="Arial" w:cs="Arial" w:eastAsia="Arial" w:hAnsi="Arial"/>
          <w:sz w:val="18"/>
          <w:szCs w:val="18"/>
          <w:color w:val="auto"/>
        </w:rPr>
      </w:pPr>
    </w:p>
    <w:p>
      <w:pPr>
        <w:ind w:right="400" w:firstLine="1305"/>
        <w:spacing w:after="0" w:line="308" w:lineRule="auto"/>
        <w:tabs>
          <w:tab w:leader="none" w:pos="1952"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Net Losses</w:t>
      </w:r>
      <w:r>
        <w:rPr>
          <w:rFonts w:ascii="Arial" w:cs="Arial" w:eastAsia="Arial" w:hAnsi="Arial"/>
          <w:sz w:val="17"/>
          <w:szCs w:val="17"/>
          <w:color w:val="auto"/>
        </w:rPr>
        <w:t>. After giving effect to the special allocations set forth in Section 6.1(d), Net Losses for each taxable period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items of income, gain, loss and deduction taken into account in computing Net Losses for such taxable period shall be allocated as follows:</w:t>
      </w:r>
    </w:p>
    <w:p>
      <w:pPr>
        <w:spacing w:after="0" w:line="146" w:lineRule="exact"/>
        <w:rPr>
          <w:rFonts w:ascii="Arial" w:cs="Arial" w:eastAsia="Arial" w:hAnsi="Arial"/>
          <w:sz w:val="17"/>
          <w:szCs w:val="17"/>
          <w:color w:val="auto"/>
        </w:rPr>
      </w:pPr>
    </w:p>
    <w:p>
      <w:pPr>
        <w:ind w:left="1300" w:right="20" w:firstLine="653"/>
        <w:spacing w:after="0" w:line="312" w:lineRule="auto"/>
        <w:tabs>
          <w:tab w:leader="none" w:pos="261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First, to the Unitholders in accordance with their respective Percentage Interests,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w:t>
      </w:r>
    </w:p>
    <w:p>
      <w:pPr>
        <w:spacing w:after="0" w:line="146" w:lineRule="exact"/>
        <w:rPr>
          <w:rFonts w:ascii="Arial" w:cs="Arial" w:eastAsia="Arial" w:hAnsi="Arial"/>
          <w:sz w:val="16"/>
          <w:szCs w:val="16"/>
          <w:color w:val="auto"/>
        </w:rPr>
      </w:pPr>
    </w:p>
    <w:p>
      <w:pPr>
        <w:ind w:left="1300" w:right="360" w:firstLine="653"/>
        <w:spacing w:after="0" w:line="264" w:lineRule="auto"/>
        <w:tabs>
          <w:tab w:leader="none" w:pos="262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Second, to the Unitholders holding Common Units in accordance with the positive balances in their Adjusted Capital Accounts as such Adjusted Capital Accounts would be determined without regard to any Series A Preferred Units then held by such Unitholders;</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Third, to the Series A Preferred Unitholders in accordance with the positive balances in their Adjusted Capital Accounts;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Finally, the balance, if any, 100% to the General Partner.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Special Allocations</w:t>
      </w:r>
      <w:r>
        <w:rPr>
          <w:rFonts w:ascii="Arial" w:cs="Arial" w:eastAsia="Arial" w:hAnsi="Arial"/>
          <w:sz w:val="17"/>
          <w:szCs w:val="17"/>
          <w:color w:val="auto"/>
        </w:rPr>
        <w:t>. Notwithstanding any other provision of this Section 6.1, the following special allocations shall be made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such taxable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53"/>
        <w:spacing w:after="0" w:line="284" w:lineRule="auto"/>
        <w:tabs>
          <w:tab w:leader="none" w:pos="2618" w:val="left"/>
        </w:tabs>
        <w:numPr>
          <w:ilvl w:val="1"/>
          <w:numId w:val="139"/>
        </w:numPr>
        <w:rPr>
          <w:rFonts w:ascii="Arial" w:cs="Arial" w:eastAsia="Arial" w:hAnsi="Arial"/>
          <w:sz w:val="16"/>
          <w:szCs w:val="16"/>
          <w:color w:val="auto"/>
        </w:rPr>
      </w:pPr>
      <w:r>
        <w:rPr>
          <w:rFonts w:ascii="Arial" w:cs="Arial" w:eastAsia="Arial" w:hAnsi="Arial"/>
          <w:sz w:val="16"/>
          <w:szCs w:val="16"/>
          <w:i w:val="1"/>
          <w:iCs w:val="1"/>
          <w:color w:val="auto"/>
        </w:rPr>
        <w:t>Partnership Minimum Gain Chargeback</w:t>
      </w:r>
      <w:r>
        <w:rPr>
          <w:rFonts w:ascii="Arial" w:cs="Arial" w:eastAsia="Arial" w:hAnsi="Arial"/>
          <w:sz w:val="16"/>
          <w:szCs w:val="16"/>
          <w:color w:val="auto"/>
        </w:rPr>
        <w:t>. Notwithstanding any other provision of this Section 6.1, if there is a net</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w:t>
      </w:r>
    </w:p>
    <w:p>
      <w:pPr>
        <w:spacing w:after="0" w:line="4" w:lineRule="exact"/>
        <w:rPr>
          <w:rFonts w:ascii="Arial" w:cs="Arial" w:eastAsia="Arial" w:hAnsi="Arial"/>
          <w:sz w:val="16"/>
          <w:szCs w:val="16"/>
          <w:color w:val="auto"/>
        </w:rPr>
      </w:pPr>
    </w:p>
    <w:p>
      <w:pPr>
        <w:ind w:left="1300" w:right="160" w:firstLine="5"/>
        <w:spacing w:after="0" w:line="261" w:lineRule="auto"/>
        <w:tabs>
          <w:tab w:leader="none" w:pos="16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and 6.1(d)(vii)). This Section 6.1(d)(i) is intended to comply with the Partnership Minimum Gain chargeback requirement in Treasury Regulation Section 1.704-2(f) and shall be interpreted consistently therewith.</w:t>
      </w:r>
    </w:p>
    <w:p>
      <w:pPr>
        <w:sectPr>
          <w:pgSz w:w="11900" w:h="16915" w:orient="portrait"/>
          <w:cols w:equalWidth="0" w:num="1">
            <w:col w:w="11420"/>
          </w:cols>
          <w:pgMar w:left="240" w:top="125" w:right="239" w:bottom="0" w:gutter="0" w:footer="0" w:header="0"/>
        </w:sectPr>
      </w:pPr>
    </w:p>
    <w:bookmarkStart w:id="58" w:name="page59"/>
    <w:bookmarkEnd w:id="58"/>
    <w:p>
      <w:pPr>
        <w:ind w:left="100" w:firstLine="653"/>
        <w:spacing w:after="0" w:line="270" w:lineRule="auto"/>
        <w:tabs>
          <w:tab w:leader="none" w:pos="1427"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Chargeback of Partner Nonrecourse Debt Minimum Gain</w:t>
      </w:r>
      <w:r>
        <w:rPr>
          <w:rFonts w:ascii="Arial" w:cs="Arial" w:eastAsia="Arial" w:hAnsi="Arial"/>
          <w:sz w:val="17"/>
          <w:szCs w:val="17"/>
          <w:color w:val="auto"/>
        </w:rPr>
        <w:t>. Notwithstanding the other provisions of this Section 6.1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 Section 6.1(d)(ii) is intended to comply with the chargeback of items of income and gain requirement in Treasury Regulation Section 1.704-2(i)(4) and shall be interpreted consistently therewith.</w:t>
      </w:r>
    </w:p>
    <w:p>
      <w:pPr>
        <w:spacing w:after="0" w:line="177" w:lineRule="exact"/>
        <w:rPr>
          <w:rFonts w:ascii="Arial" w:cs="Arial" w:eastAsia="Arial" w:hAnsi="Arial"/>
          <w:sz w:val="17"/>
          <w:szCs w:val="17"/>
          <w:color w:val="auto"/>
        </w:rPr>
      </w:pPr>
    </w:p>
    <w:p>
      <w:pPr>
        <w:ind w:left="100" w:firstLine="653"/>
        <w:spacing w:after="0" w:line="255" w:lineRule="auto"/>
        <w:tabs>
          <w:tab w:leader="none" w:pos="1437"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Priority Allocations</w:t>
      </w:r>
      <w:r>
        <w:rPr>
          <w:rFonts w:ascii="Arial" w:cs="Arial" w:eastAsia="Arial" w:hAnsi="Arial"/>
          <w:sz w:val="18"/>
          <w:szCs w:val="18"/>
          <w:color w:val="auto"/>
        </w:rPr>
        <w:t>. If the amount of cash or the Net Agreed Value of any property distributed (except cash or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pursuant to Section 12.4 or with respect to Series A Preferred Units) to any Unitholder with respect to its Units for a taxable year is greater (on a per Unit basis) than the amount of cash or the Net Agreed Value of property distributed to the other Unitholders with respect to their Units (on a per Unit basis), then each such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w:t>
      </w:r>
    </w:p>
    <w:p>
      <w:pPr>
        <w:spacing w:after="0" w:line="189" w:lineRule="exact"/>
        <w:rPr>
          <w:rFonts w:ascii="Arial" w:cs="Arial" w:eastAsia="Arial" w:hAnsi="Arial"/>
          <w:sz w:val="18"/>
          <w:szCs w:val="18"/>
          <w:color w:val="auto"/>
        </w:rPr>
      </w:pPr>
    </w:p>
    <w:p>
      <w:pPr>
        <w:ind w:left="100" w:right="340" w:firstLine="653"/>
        <w:spacing w:after="0" w:line="277" w:lineRule="auto"/>
        <w:tabs>
          <w:tab w:leader="none" w:pos="1413"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Qualified Income Offset</w:t>
      </w:r>
      <w:r>
        <w:rPr>
          <w:rFonts w:ascii="Arial" w:cs="Arial" w:eastAsia="Arial" w:hAnsi="Arial"/>
          <w:sz w:val="18"/>
          <w:szCs w:val="18"/>
          <w:color w:val="auto"/>
        </w:rPr>
        <w:t>. In the event any Partner unexpectedly receives any adjustments, allocations or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Treasury</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20"/>
        <w:spacing w:after="0" w:line="302" w:lineRule="auto"/>
        <w:rPr>
          <w:sz w:val="20"/>
          <w:szCs w:val="20"/>
          <w:color w:val="auto"/>
        </w:rPr>
      </w:pPr>
      <w:r>
        <w:rPr>
          <w:rFonts w:ascii="Arial" w:cs="Arial" w:eastAsia="Arial" w:hAnsi="Arial"/>
          <w:sz w:val="16"/>
          <w:szCs w:val="16"/>
          <w:color w:val="auto"/>
        </w:rPr>
        <w:t>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54" w:lineRule="exact"/>
        <w:rPr>
          <w:sz w:val="20"/>
          <w:szCs w:val="20"/>
          <w:color w:val="auto"/>
        </w:rPr>
      </w:pPr>
    </w:p>
    <w:p>
      <w:pPr>
        <w:ind w:left="100" w:right="60" w:firstLine="653"/>
        <w:spacing w:after="0" w:line="255" w:lineRule="auto"/>
        <w:tabs>
          <w:tab w:leader="none" w:pos="1404"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Gross Income Allocations</w:t>
      </w:r>
      <w:r>
        <w:rPr>
          <w:rFonts w:ascii="Arial" w:cs="Arial" w:eastAsia="Arial" w:hAnsi="Arial"/>
          <w:sz w:val="18"/>
          <w:szCs w:val="18"/>
          <w:color w:val="auto"/>
        </w:rPr>
        <w:t>. In the event any Partner has a deficit balance in its Capital Account at the end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w:t>
      </w:r>
    </w:p>
    <w:p>
      <w:pPr>
        <w:spacing w:after="0" w:line="189" w:lineRule="exact"/>
        <w:rPr>
          <w:rFonts w:ascii="Arial" w:cs="Arial" w:eastAsia="Arial" w:hAnsi="Arial"/>
          <w:sz w:val="18"/>
          <w:szCs w:val="18"/>
          <w:color w:val="auto"/>
        </w:rPr>
      </w:pPr>
    </w:p>
    <w:p>
      <w:pPr>
        <w:ind w:left="100" w:right="20" w:firstLine="653"/>
        <w:spacing w:after="0" w:line="257" w:lineRule="auto"/>
        <w:tabs>
          <w:tab w:leader="none" w:pos="1413"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Nonrecourse Deductions</w:t>
      </w:r>
      <w:r>
        <w:rPr>
          <w:rFonts w:ascii="Arial" w:cs="Arial" w:eastAsia="Arial" w:hAnsi="Arial"/>
          <w:sz w:val="18"/>
          <w:szCs w:val="18"/>
          <w:color w:val="auto"/>
        </w:rPr>
        <w:t>. Nonrecourse Deductions for any taxable period shall be allocated to the Partners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88" w:lineRule="exact"/>
        <w:rPr>
          <w:rFonts w:ascii="Arial" w:cs="Arial" w:eastAsia="Arial" w:hAnsi="Arial"/>
          <w:sz w:val="18"/>
          <w:szCs w:val="18"/>
          <w:color w:val="auto"/>
        </w:rPr>
      </w:pPr>
    </w:p>
    <w:p>
      <w:pPr>
        <w:jc w:val="both"/>
        <w:ind w:left="100" w:right="60" w:firstLine="653"/>
        <w:spacing w:after="0" w:line="276" w:lineRule="auto"/>
        <w:tabs>
          <w:tab w:leader="none" w:pos="1423"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Partner Nonrecourse Deductions</w:t>
      </w:r>
      <w:r>
        <w:rPr>
          <w:rFonts w:ascii="Arial" w:cs="Arial" w:eastAsia="Arial" w:hAnsi="Arial"/>
          <w:sz w:val="17"/>
          <w:szCs w:val="17"/>
          <w:color w:val="auto"/>
        </w:rPr>
        <w:t>. Partner Nonrecourse Deductions for any taxable period shall be allocated 100%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72" w:lineRule="exact"/>
        <w:rPr>
          <w:rFonts w:ascii="Arial" w:cs="Arial" w:eastAsia="Arial" w:hAnsi="Arial"/>
          <w:sz w:val="17"/>
          <w:szCs w:val="17"/>
          <w:color w:val="auto"/>
        </w:rPr>
      </w:pPr>
    </w:p>
    <w:p>
      <w:pPr>
        <w:ind w:left="100" w:right="20" w:firstLine="653"/>
        <w:spacing w:after="0" w:line="286" w:lineRule="auto"/>
        <w:tabs>
          <w:tab w:leader="none" w:pos="1432"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Nonrecourse Liabilities</w:t>
      </w:r>
      <w:r>
        <w:rPr>
          <w:rFonts w:ascii="Arial" w:cs="Arial" w:eastAsia="Arial" w:hAnsi="Arial"/>
          <w:sz w:val="17"/>
          <w:szCs w:val="17"/>
          <w:color w:val="auto"/>
        </w:rPr>
        <w:t>. For purposes of Treasury Regulation Section 1.752-3(a)(3), the Partners agree that Nonrecourse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165" w:lineRule="exact"/>
        <w:rPr>
          <w:rFonts w:ascii="Arial" w:cs="Arial" w:eastAsia="Arial" w:hAnsi="Arial"/>
          <w:sz w:val="17"/>
          <w:szCs w:val="17"/>
          <w:color w:val="auto"/>
        </w:rPr>
      </w:pPr>
    </w:p>
    <w:p>
      <w:pPr>
        <w:ind w:left="100" w:right="100" w:firstLine="653"/>
        <w:spacing w:after="0" w:line="277" w:lineRule="auto"/>
        <w:tabs>
          <w:tab w:leader="none" w:pos="1413"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Code Section 754 Adjustments</w:t>
      </w:r>
      <w:r>
        <w:rPr>
          <w:rFonts w:ascii="Arial" w:cs="Arial" w:eastAsia="Arial" w:hAnsi="Arial"/>
          <w:sz w:val="18"/>
          <w:szCs w:val="18"/>
          <w:color w:val="auto"/>
        </w:rPr>
        <w:t>. To the extent an adjustment to the adjusted tax basis of any Partnership asset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734(b) or 743(b) of</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40"/>
        <w:spacing w:after="0" w:line="257" w:lineRule="auto"/>
        <w:rPr>
          <w:sz w:val="20"/>
          <w:szCs w:val="20"/>
          <w:color w:val="auto"/>
        </w:rPr>
      </w:pPr>
      <w:r>
        <w:rPr>
          <w:rFonts w:ascii="Arial" w:cs="Arial" w:eastAsia="Arial" w:hAnsi="Arial"/>
          <w:sz w:val="18"/>
          <w:szCs w:val="18"/>
          <w:color w:val="auto"/>
        </w:rPr>
        <w:t>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88" w:lineRule="exact"/>
        <w:rPr>
          <w:sz w:val="20"/>
          <w:szCs w:val="20"/>
          <w:color w:val="auto"/>
        </w:rPr>
      </w:pPr>
    </w:p>
    <w:p>
      <w:pPr>
        <w:ind w:left="1400" w:hanging="647"/>
        <w:spacing w:after="0"/>
        <w:tabs>
          <w:tab w:leader="none" w:pos="14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Allocations with respect to Series A Preferred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200" w:firstLine="641"/>
        <w:spacing w:after="0" w:line="302" w:lineRule="auto"/>
        <w:tabs>
          <w:tab w:leader="none" w:pos="2077"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Items of Partnership gross income shall be allocated to each Series A Preferred Unitholder until the aggregate amount of gross income allocated to each Series A Preferred Unitholder pursuant hereto for the current taxable period and all previous taxable periods is equal to the cumulative amount of all cash distributions made with respect to such Series A Preferred Unit pursuant to Section 5.14(b)(i) from the date such Series A Preferred Unit was issued to a date 45 days after the end of the</w:t>
      </w:r>
    </w:p>
    <w:p>
      <w:pPr>
        <w:sectPr>
          <w:pgSz w:w="11900" w:h="16838" w:orient="portrait"/>
          <w:cols w:equalWidth="0" w:num="1">
            <w:col w:w="10200"/>
          </w:cols>
          <w:pgMar w:left="1440" w:top="341" w:right="259" w:bottom="0" w:gutter="0" w:footer="0" w:header="0"/>
        </w:sectPr>
      </w:pPr>
    </w:p>
    <w:bookmarkStart w:id="59" w:name="page60"/>
    <w:bookmarkEnd w:id="59"/>
    <w:p>
      <w:pPr>
        <w:ind w:left="1300" w:right="100"/>
        <w:spacing w:after="0" w:line="277" w:lineRule="auto"/>
        <w:rPr>
          <w:sz w:val="20"/>
          <w:szCs w:val="20"/>
          <w:color w:val="auto"/>
        </w:rPr>
      </w:pPr>
      <w:r>
        <w:rPr>
          <w:rFonts w:ascii="Arial" w:cs="Arial" w:eastAsia="Arial" w:hAnsi="Arial"/>
          <w:sz w:val="18"/>
          <w:szCs w:val="18"/>
          <w:color w:val="auto"/>
        </w:rPr>
        <w:t>current taxable year (and for the avoidance of doubt, without taking into account the cash distributions treated as made to Series A Preferred Unitholders pursuant to Section 5.14(b)(i)(F)).</w:t>
      </w:r>
    </w:p>
    <w:p>
      <w:pPr>
        <w:spacing w:after="0" w:line="170" w:lineRule="exact"/>
        <w:rPr>
          <w:sz w:val="20"/>
          <w:szCs w:val="20"/>
          <w:color w:val="auto"/>
        </w:rPr>
      </w:pPr>
    </w:p>
    <w:p>
      <w:pPr>
        <w:ind w:left="1300" w:right="160" w:firstLine="641"/>
        <w:spacing w:after="0" w:line="302" w:lineRule="auto"/>
        <w:tabs>
          <w:tab w:leader="none" w:pos="260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Items of Unrealized Gain and, to the extent Unrealized Gain is insufficient, Partnership gross income shall be allocated to each Series A Preferred Unitholder until the aggregate amount of such items allocated to each Series A Preferred Unitholder pursuant hereto for the current taxable period and all previous taxable periods is equal to the cumulative amount of all Net Losses allocated to such Series A Preferred Unitholder pursuant to Section 6.1(b)(iii) for all previous taxable years.</w:t>
      </w:r>
    </w:p>
    <w:p>
      <w:pPr>
        <w:spacing w:after="0" w:line="154" w:lineRule="exact"/>
        <w:rPr>
          <w:rFonts w:ascii="Arial" w:cs="Arial" w:eastAsia="Arial" w:hAnsi="Arial"/>
          <w:sz w:val="16"/>
          <w:szCs w:val="16"/>
          <w:color w:val="auto"/>
        </w:rPr>
      </w:pPr>
    </w:p>
    <w:p>
      <w:pPr>
        <w:ind w:left="1300" w:right="60" w:firstLine="641"/>
        <w:spacing w:after="0" w:line="288" w:lineRule="auto"/>
        <w:tabs>
          <w:tab w:leader="none" w:pos="260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6.1 (other than the Required Allocations), if (A) the Liquidation Date occurs prior to the conversion of the last Outstanding Series A Preferred Unit and (B) after having made all other allocations provided for in this Section 6.1 for the taxable period in which the Liquidation Date occurs, the Per Unit Capital Amount of each Series A Preferred Unit does not equal or exceed the Series A Liquidation Value, then items of income, gain, loss and deduction for such taxable period shall be allocated among the Partners in a manner determined appropriate by the General Partner so as to cause, to the maximum extent possible, the Per Unit Capital Amount in respect of each Series A Preferred Unit to equal the Series A Liquidation Value (and no other allocation pursuant to this Agreement shall reverse the effect of such allocation). For the avoidance of doubt, the reallocation of items set forth in the immediately preceding sentence provides that, to the extent necessary to achieve the Per Unit Capital Amount balances described above, items of income and gain that would otherwise be included in Net Income or Net Loss, as the case may be, for the taxable period in which</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89" w:lineRule="auto"/>
        <w:rPr>
          <w:sz w:val="20"/>
          <w:szCs w:val="20"/>
          <w:color w:val="auto"/>
        </w:rPr>
      </w:pPr>
      <w:r>
        <w:rPr>
          <w:rFonts w:ascii="Arial" w:cs="Arial" w:eastAsia="Arial" w:hAnsi="Arial"/>
          <w:sz w:val="16"/>
          <w:szCs w:val="16"/>
          <w:color w:val="auto"/>
        </w:rPr>
        <w:t>the Liquidation Date occurs, shall be reallocated from the Unitholders holding Units other than Series A Preferred Units to Unitholders holding Series A Preferred Units. In the event that (i) the Liquidation Date occurs on or before the date (not including any extension of time) prescribed by law for the filing of the Partnership’s federal income tax return for the taxable period immediately prior to the taxable period in which the Liquidation Date occurs and (ii) the reallocation of items for the taxable period in which the Liquidation Date occurs as set forth above in this Section 6.1(d)(x)(C) fails to achieve the Per Unit Capital Amounts described above, items of income, gain, loss and deduction that would otherwise be included in the Net Income or Net Loss, as the case may be, for such prior taxable period shall be reallocated among all Partners in a manner that will, to the maximum extent possible and after taking into account all other allocations made pursuant to this Section 6.1(d)(x)(C), cause the Per Unit Capital Amount in respect of each Series A Preferred Unit to equal the Series A Liquidation Value.</w:t>
      </w:r>
    </w:p>
    <w:p>
      <w:pPr>
        <w:spacing w:after="0" w:line="167" w:lineRule="exact"/>
        <w:rPr>
          <w:sz w:val="20"/>
          <w:szCs w:val="20"/>
          <w:color w:val="auto"/>
        </w:rPr>
      </w:pPr>
    </w:p>
    <w:p>
      <w:pPr>
        <w:ind w:left="1960" w:hanging="667"/>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Curative Allocation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41"/>
        <w:spacing w:after="0" w:line="283" w:lineRule="auto"/>
        <w:tabs>
          <w:tab w:leader="none" w:pos="261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 be inconsistent with the economic agreement among the Partners. Further, allocations pursuant to this Section 6.1(d)(xi)(A) shall be deferred with respect to allocations pursuant to clauses</w:t>
      </w:r>
    </w:p>
    <w:p>
      <w:pPr>
        <w:spacing w:after="0" w:line="4" w:lineRule="exact"/>
        <w:rPr>
          <w:rFonts w:ascii="Arial" w:cs="Arial" w:eastAsia="Arial" w:hAnsi="Arial"/>
          <w:sz w:val="16"/>
          <w:szCs w:val="16"/>
          <w:color w:val="auto"/>
        </w:rPr>
      </w:pPr>
    </w:p>
    <w:p>
      <w:pPr>
        <w:ind w:left="1300" w:right="840"/>
        <w:spacing w:after="0" w:line="261" w:lineRule="auto"/>
        <w:rPr>
          <w:rFonts w:ascii="Arial" w:cs="Arial" w:eastAsia="Arial" w:hAnsi="Arial"/>
          <w:sz w:val="16"/>
          <w:szCs w:val="16"/>
          <w:color w:val="auto"/>
        </w:rPr>
      </w:pPr>
      <w:r>
        <w:rPr>
          <w:rFonts w:ascii="Arial" w:cs="Arial" w:eastAsia="Arial" w:hAnsi="Arial"/>
          <w:sz w:val="18"/>
          <w:szCs w:val="18"/>
          <w:color w:val="auto"/>
        </w:rPr>
        <w:t>(1) and (2) hereof to the extent the General Partner reasonably determines that such allocations are likely to be offset by subsequent Required Allocations.</w:t>
      </w:r>
    </w:p>
    <w:p>
      <w:pPr>
        <w:spacing w:after="0" w:line="183" w:lineRule="exact"/>
        <w:rPr>
          <w:rFonts w:ascii="Arial" w:cs="Arial" w:eastAsia="Arial" w:hAnsi="Arial"/>
          <w:sz w:val="16"/>
          <w:szCs w:val="16"/>
          <w:color w:val="auto"/>
        </w:rPr>
      </w:pPr>
    </w:p>
    <w:p>
      <w:pPr>
        <w:ind w:left="1300" w:right="360" w:firstLine="641"/>
        <w:spacing w:after="0" w:line="264" w:lineRule="auto"/>
        <w:tabs>
          <w:tab w:leader="none" w:pos="260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General Partner shall have reasonable discretion, with respect to each taxable period, to (1) apply the provisions of Section 6.1(d)(xi)(A) in whatever order is most likely to minimize the economic distortions that might otherwise result from the Required Allocations, and</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740" w:hanging="7"/>
        <w:spacing w:after="0" w:line="277" w:lineRule="auto"/>
        <w:tabs>
          <w:tab w:leader="none" w:pos="15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divide all allocations pursuant to Section 6.1(d)(xi)(A) among the Partners in a manner that is likely to minimize such economic distortions.</w:t>
      </w:r>
    </w:p>
    <w:p>
      <w:pPr>
        <w:spacing w:after="0" w:line="170" w:lineRule="exact"/>
        <w:rPr>
          <w:sz w:val="20"/>
          <w:szCs w:val="20"/>
          <w:color w:val="auto"/>
        </w:rPr>
      </w:pPr>
    </w:p>
    <w:p>
      <w:pPr>
        <w:ind w:left="1960" w:hanging="667"/>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Allocations with respect to AAP 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firstLine="641"/>
        <w:spacing w:after="0" w:line="273" w:lineRule="auto"/>
        <w:tabs>
          <w:tab w:leader="none" w:pos="261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In applying Sections 5.5(d) and 6.1(c) of the Fifth A&amp;R LP Agreement and the 2012 Agreement (as defined in the Fifth A&amp;R LP Agreement) upon a Revaluation Event occurring on or after January 1, 2016, the General Partner shall, adopt such valuation methodologies and make special allocations of Net Termination Gain and Net Termination Loss (as those terms are defined in the Fifth A&amp;R LP Agreement) among the Partners in a manner that takes into account the relative economics established by the Simplification Agreement and to the nearest extent possible results in the Capital Accounts maintained with respect to each AAP Common Unit equaling the Per Unit Capital Amount for an Initial Common Unit.</w:t>
      </w:r>
    </w:p>
    <w:p>
      <w:pPr>
        <w:spacing w:after="0" w:line="178" w:lineRule="exact"/>
        <w:rPr>
          <w:rFonts w:ascii="Arial" w:cs="Arial" w:eastAsia="Arial" w:hAnsi="Arial"/>
          <w:sz w:val="17"/>
          <w:szCs w:val="17"/>
          <w:color w:val="auto"/>
        </w:rPr>
      </w:pPr>
    </w:p>
    <w:p>
      <w:pPr>
        <w:jc w:val="both"/>
        <w:ind w:left="1300" w:right="40" w:firstLine="641"/>
        <w:spacing w:after="0" w:line="259" w:lineRule="auto"/>
        <w:tabs>
          <w:tab w:leader="none" w:pos="260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Upon any Revaluation Event occurring concurrent with or after the PAA/AAP Interest Restructuring (as defined in the Simplification Agreement), items of Unrealized Gain and Unrealized Loss shall be allocated among the Partners in a manner that to the nearest extent possible results in the Capital Accounts maintained with respect to each AAP Common Unit equaling the Per Unit Capital Amount for an Initial Common Unit.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Allocations for Tax Purposes.</w:t>
      </w:r>
    </w:p>
    <w:p>
      <w:pPr>
        <w:sectPr>
          <w:pgSz w:w="11900" w:h="16838" w:orient="portrait"/>
          <w:cols w:equalWidth="0" w:num="1">
            <w:col w:w="10760"/>
          </w:cols>
          <w:pgMar w:left="900" w:top="125" w:right="239" w:bottom="0" w:gutter="0" w:footer="0" w:header="0"/>
        </w:sectPr>
      </w:pPr>
    </w:p>
    <w:bookmarkStart w:id="60" w:name="page61"/>
    <w:bookmarkEnd w:id="60"/>
    <w:p>
      <w:pPr>
        <w:ind w:right="500" w:firstLine="1305"/>
        <w:spacing w:after="0" w:line="342" w:lineRule="auto"/>
        <w:tabs>
          <w:tab w:leader="none" w:pos="194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 1.</w:t>
      </w:r>
    </w:p>
    <w:p>
      <w:pPr>
        <w:spacing w:after="0" w:line="123" w:lineRule="exact"/>
        <w:rPr>
          <w:rFonts w:ascii="Arial" w:cs="Arial" w:eastAsia="Arial" w:hAnsi="Arial"/>
          <w:sz w:val="16"/>
          <w:szCs w:val="16"/>
          <w:color w:val="auto"/>
        </w:rPr>
      </w:pPr>
    </w:p>
    <w:p>
      <w:pPr>
        <w:ind w:right="40" w:firstLine="1305"/>
        <w:spacing w:after="0" w:line="308" w:lineRule="auto"/>
        <w:tabs>
          <w:tab w:leader="none" w:pos="195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46" w:lineRule="exact"/>
        <w:rPr>
          <w:rFonts w:ascii="Arial" w:cs="Arial" w:eastAsia="Arial" w:hAnsi="Arial"/>
          <w:sz w:val="17"/>
          <w:szCs w:val="17"/>
          <w:color w:val="auto"/>
        </w:rPr>
      </w:pPr>
    </w:p>
    <w:p>
      <w:pPr>
        <w:ind w:left="1300" w:right="20" w:firstLine="653"/>
        <w:spacing w:after="0" w:line="302" w:lineRule="auto"/>
        <w:tabs>
          <w:tab w:leader="none" w:pos="2618"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54" w:lineRule="exact"/>
        <w:rPr>
          <w:rFonts w:ascii="Arial" w:cs="Arial" w:eastAsia="Arial" w:hAnsi="Arial"/>
          <w:sz w:val="16"/>
          <w:szCs w:val="16"/>
          <w:color w:val="auto"/>
        </w:rPr>
      </w:pPr>
    </w:p>
    <w:p>
      <w:pPr>
        <w:ind w:left="1300" w:right="480" w:firstLine="653"/>
        <w:spacing w:after="0" w:line="308" w:lineRule="auto"/>
        <w:tabs>
          <w:tab w:leader="none" w:pos="2627"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 In the case of an Adjusted Property, such items shall (1) first, be allocated among the Partners in a manner consistent with the principles of Section 704(c) of the Code to take into account the Unrealized Gain or Unrealized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91" w:lineRule="auto"/>
        <w:rPr>
          <w:sz w:val="20"/>
          <w:szCs w:val="20"/>
          <w:color w:val="auto"/>
        </w:rPr>
      </w:pPr>
      <w:r>
        <w:rPr>
          <w:rFonts w:ascii="Arial" w:cs="Arial" w:eastAsia="Arial" w:hAnsi="Arial"/>
          <w:sz w:val="16"/>
          <w:szCs w:val="16"/>
          <w:color w:val="auto"/>
        </w:rPr>
        <w:t>Loss attributable to such property and the allocations thereof pursuant to Section 5.5(d)(i) or 5-5(d)(ii), and (2) second, in the event such property was originally a Contributed Property, be allocated among the Partners in a manner consistent with Section 6.2(b)(i)(A); and</w:t>
      </w:r>
    </w:p>
    <w:p>
      <w:pPr>
        <w:ind w:left="1300" w:right="460" w:firstLine="5"/>
        <w:spacing w:after="0" w:line="261" w:lineRule="auto"/>
        <w:tabs>
          <w:tab w:leader="none" w:pos="15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item of Residual Gain or Residual Loss attributable to an Adjusted Property shall be allocated among the Partners in the same manner as its correlative item of “book” gain or loss is allocated pursuant to Section 6.1.</w:t>
      </w:r>
    </w:p>
    <w:p>
      <w:pPr>
        <w:spacing w:after="0" w:line="183" w:lineRule="exact"/>
        <w:rPr>
          <w:rFonts w:ascii="Arial" w:cs="Arial" w:eastAsia="Arial" w:hAnsi="Arial"/>
          <w:sz w:val="18"/>
          <w:szCs w:val="18"/>
          <w:color w:val="auto"/>
        </w:rPr>
      </w:pPr>
    </w:p>
    <w:p>
      <w:pPr>
        <w:ind w:left="2640" w:hanging="687"/>
        <w:spacing w:after="0"/>
        <w:tabs>
          <w:tab w:leader="none" w:pos="26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General Partner shall apply the principles of Treasury Regulation Section 1.704-3(d) to eliminate Book-Tax</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Disparities.</w:t>
      </w:r>
    </w:p>
    <w:p>
      <w:pPr>
        <w:spacing w:after="0" w:line="211" w:lineRule="exact"/>
        <w:rPr>
          <w:sz w:val="20"/>
          <w:szCs w:val="20"/>
          <w:color w:val="auto"/>
        </w:rPr>
      </w:pPr>
    </w:p>
    <w:p>
      <w:pPr>
        <w:ind w:right="180" w:firstLine="1305"/>
        <w:spacing w:after="0" w:line="270" w:lineRule="auto"/>
        <w:tabs>
          <w:tab w:leader="none" w:pos="19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81" w:lineRule="exact"/>
        <w:rPr>
          <w:rFonts w:ascii="Arial" w:cs="Arial" w:eastAsia="Arial" w:hAnsi="Arial"/>
          <w:sz w:val="17"/>
          <w:szCs w:val="17"/>
          <w:color w:val="auto"/>
        </w:rPr>
      </w:pPr>
    </w:p>
    <w:p>
      <w:pPr>
        <w:ind w:firstLine="1305"/>
        <w:spacing w:after="0" w:line="289" w:lineRule="auto"/>
        <w:tabs>
          <w:tab w:leader="none" w:pos="19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1.167(c)-1(a)(6).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166" w:lineRule="exact"/>
        <w:rPr>
          <w:rFonts w:ascii="Arial" w:cs="Arial" w:eastAsia="Arial" w:hAnsi="Arial"/>
          <w:sz w:val="16"/>
          <w:szCs w:val="16"/>
          <w:color w:val="auto"/>
        </w:rPr>
      </w:pPr>
    </w:p>
    <w:p>
      <w:pPr>
        <w:jc w:val="both"/>
        <w:ind w:right="160" w:firstLine="1305"/>
        <w:spacing w:after="0" w:line="264" w:lineRule="auto"/>
        <w:tabs>
          <w:tab w:leader="none" w:pos="19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have been allocated any deductions directly or indirectly giving rise to the treatment of such gains as Recapture Income.</w:t>
      </w:r>
    </w:p>
    <w:p>
      <w:pPr>
        <w:spacing w:after="0" w:line="225" w:lineRule="exact"/>
        <w:rPr>
          <w:sz w:val="20"/>
          <w:szCs w:val="20"/>
          <w:color w:val="auto"/>
        </w:rPr>
      </w:pPr>
    </w:p>
    <w:p>
      <w:pPr>
        <w:ind w:firstLine="1305"/>
        <w:spacing w:after="0" w:line="259" w:lineRule="auto"/>
        <w:tabs>
          <w:tab w:leader="none" w:pos="194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86" w:lineRule="exact"/>
        <w:rPr>
          <w:rFonts w:ascii="Arial" w:cs="Arial" w:eastAsia="Arial" w:hAnsi="Arial"/>
          <w:sz w:val="18"/>
          <w:szCs w:val="18"/>
          <w:color w:val="auto"/>
        </w:rPr>
      </w:pPr>
    </w:p>
    <w:p>
      <w:pPr>
        <w:ind w:firstLine="1305"/>
        <w:spacing w:after="0" w:line="270" w:lineRule="auto"/>
        <w:tabs>
          <w:tab w:leader="none" w:pos="196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 opening of the New York Stock Exchange on the first Business Day of the next 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w:t>
      </w:r>
    </w:p>
    <w:p>
      <w:pPr>
        <w:spacing w:after="0" w:line="181" w:lineRule="exact"/>
        <w:rPr>
          <w:rFonts w:ascii="Arial" w:cs="Arial" w:eastAsia="Arial" w:hAnsi="Arial"/>
          <w:sz w:val="17"/>
          <w:szCs w:val="17"/>
          <w:color w:val="auto"/>
        </w:rPr>
      </w:pPr>
    </w:p>
    <w:p>
      <w:pPr>
        <w:jc w:val="both"/>
        <w:ind w:right="100" w:firstLine="1305"/>
        <w:spacing w:after="0" w:line="286" w:lineRule="auto"/>
        <w:tabs>
          <w:tab w:leader="none" w:pos="195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ectPr>
          <w:pgSz w:w="11900" w:h="16838" w:orient="portrait"/>
          <w:cols w:equalWidth="0" w:num="1">
            <w:col w:w="11420"/>
          </w:cols>
          <w:pgMar w:left="240" w:top="125" w:right="239" w:bottom="0" w:gutter="0" w:footer="0" w:header="0"/>
        </w:sectPr>
      </w:pPr>
    </w:p>
    <w:bookmarkStart w:id="61" w:name="page62"/>
    <w:bookmarkEnd w:id="61"/>
    <w:p>
      <w:pPr>
        <w:spacing w:after="0" w:line="36" w:lineRule="exact"/>
        <w:rPr>
          <w:sz w:val="20"/>
          <w:szCs w:val="20"/>
          <w:color w:val="auto"/>
        </w:rPr>
      </w:pPr>
    </w:p>
    <w:p>
      <w:pPr>
        <w:ind w:right="60" w:firstLine="1305"/>
        <w:spacing w:after="0" w:line="264" w:lineRule="auto"/>
        <w:tabs>
          <w:tab w:leader="none" w:pos="196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as a result of the conversion of a Series A Preferred Unit into Common Units and the adjustments pursuant to Section 5.5(d) (iii), a Capital Account reallocation is required consistent with the principles of Treasury Regulation Section 1.704-1(b)(2)(iv)(s)(3), the General Partner shall make corrective allocations pursuant to Treasury Regulation Section 1.704-1(b)(4)(x).</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i w:val="1"/>
          <w:iCs w:val="1"/>
          <w:color w:val="auto"/>
        </w:rPr>
        <w:t>Requirement for and Characterization of Distributions; Distributions to Record Holders.</w:t>
      </w:r>
    </w:p>
    <w:p>
      <w:pPr>
        <w:spacing w:after="0" w:line="225" w:lineRule="exact"/>
        <w:rPr>
          <w:sz w:val="20"/>
          <w:szCs w:val="20"/>
          <w:color w:val="auto"/>
        </w:rPr>
      </w:pPr>
    </w:p>
    <w:p>
      <w:pPr>
        <w:ind w:firstLine="1305"/>
        <w:spacing w:after="0" w:line="257" w:lineRule="auto"/>
        <w:tabs>
          <w:tab w:leader="none" w:pos="194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otherwise required by Section 5.14(b)(i), within 45 days following the end of each Quarter, an amount equal to 100% of Available Cash with respect to such Quarter shall, subject to Section 17-607 of the Delaware Act, be distributed in accordance with this Article VI by the Partnership to the Partners, Pro Rata,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Partners equals the Operating Surplus from the Closing Date through the close of the immediately preceding Quarter. Any remaining amounts of Available Cash distributed by the Partnership on such date shall be deemed to be “Capital Surplus”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Thereafter, all Available Cash shall be distributed as if it were Operating Surplus. All distributions required to be made under this Agreement shall be made subject to Section 17-607 of the Delaware Act. For the avoidance of doubt, the Series A Preferred Units shall not be entitled to distributions made pursuant to this Section 6.3(a).</w:t>
      </w:r>
    </w:p>
    <w:p>
      <w:pPr>
        <w:spacing w:after="0" w:line="178" w:lineRule="exact"/>
        <w:rPr>
          <w:sz w:val="20"/>
          <w:szCs w:val="20"/>
          <w:color w:val="auto"/>
        </w:rPr>
      </w:pPr>
    </w:p>
    <w:p>
      <w:pPr>
        <w:jc w:val="both"/>
        <w:ind w:right="280" w:firstLine="1305"/>
        <w:spacing w:after="0" w:line="264" w:lineRule="auto"/>
        <w:tabs>
          <w:tab w:leader="none" w:pos="19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Notwithstanding Section 6.3(a),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81" w:lineRule="exact"/>
        <w:rPr>
          <w:rFonts w:ascii="Arial" w:cs="Arial" w:eastAsia="Arial" w:hAnsi="Arial"/>
          <w:sz w:val="18"/>
          <w:szCs w:val="18"/>
          <w:color w:val="auto"/>
        </w:rPr>
      </w:pPr>
    </w:p>
    <w:p>
      <w:pPr>
        <w:ind w:right="180" w:firstLine="1305"/>
        <w:spacing w:after="0" w:line="259" w:lineRule="auto"/>
        <w:tabs>
          <w:tab w:leader="none" w:pos="19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General Partner shall have the discretion to treat as a distribution of Available Cash to all or less than all of the Partners or Assignees (i) taxes paid by any member of the Partnership Group on behalf of such Partners or Assignees, (ii) amounts withheld by any member of the Partnership Group for taxes with respect to such Partners or Assignees and (iii) amounts seized by any taxing authority from any member of the Partnership Group with respect to taxes owed by such Partners or Assignees.</w:t>
      </w:r>
    </w:p>
    <w:p>
      <w:pPr>
        <w:spacing w:after="0" w:line="186"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OPERATION OF BUSINESS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Management</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5" w:lineRule="auto"/>
        <w:tabs>
          <w:tab w:leader="none" w:pos="194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100" w:firstLine="653"/>
        <w:spacing w:after="0" w:line="264" w:lineRule="auto"/>
        <w:tabs>
          <w:tab w:leader="none" w:pos="26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81" w:lineRule="exact"/>
        <w:rPr>
          <w:rFonts w:ascii="Arial" w:cs="Arial" w:eastAsia="Arial" w:hAnsi="Arial"/>
          <w:sz w:val="18"/>
          <w:szCs w:val="18"/>
          <w:color w:val="auto"/>
        </w:rPr>
      </w:pPr>
    </w:p>
    <w:p>
      <w:pPr>
        <w:ind w:left="1300" w:right="20" w:firstLine="653"/>
        <w:spacing w:after="0" w:line="277" w:lineRule="auto"/>
        <w:tabs>
          <w:tab w:leader="none" w:pos="26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170" w:lineRule="exact"/>
        <w:rPr>
          <w:rFonts w:ascii="Arial" w:cs="Arial" w:eastAsia="Arial" w:hAnsi="Arial"/>
          <w:sz w:val="18"/>
          <w:szCs w:val="18"/>
          <w:color w:val="auto"/>
        </w:rPr>
      </w:pPr>
    </w:p>
    <w:p>
      <w:pPr>
        <w:ind w:left="1300" w:right="20" w:firstLine="653"/>
        <w:spacing w:after="0" w:line="264" w:lineRule="auto"/>
        <w:tabs>
          <w:tab w:leader="none" w:pos="26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81" w:lineRule="exact"/>
        <w:rPr>
          <w:rFonts w:ascii="Arial" w:cs="Arial" w:eastAsia="Arial" w:hAnsi="Arial"/>
          <w:sz w:val="18"/>
          <w:szCs w:val="18"/>
          <w:color w:val="auto"/>
        </w:rPr>
      </w:pPr>
    </w:p>
    <w:p>
      <w:pPr>
        <w:ind w:left="1300" w:right="20" w:firstLine="653"/>
        <w:spacing w:after="0" w:line="259" w:lineRule="auto"/>
        <w:tabs>
          <w:tab w:leader="none" w:pos="261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w:t>
      </w:r>
    </w:p>
    <w:p>
      <w:pPr>
        <w:spacing w:after="0" w:line="186" w:lineRule="exact"/>
        <w:rPr>
          <w:rFonts w:ascii="Arial" w:cs="Arial" w:eastAsia="Arial" w:hAnsi="Arial"/>
          <w:sz w:val="18"/>
          <w:szCs w:val="18"/>
          <w:color w:val="auto"/>
        </w:rPr>
      </w:pPr>
    </w:p>
    <w:p>
      <w:pPr>
        <w:ind w:left="1300" w:firstLine="653"/>
        <w:spacing w:after="0" w:line="279" w:lineRule="auto"/>
        <w:tabs>
          <w:tab w:leader="none" w:pos="260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ectPr>
          <w:pgSz w:w="11900" w:h="16874" w:orient="portrait"/>
          <w:cols w:equalWidth="0" w:num="1">
            <w:col w:w="11420"/>
          </w:cols>
          <w:pgMar w:left="240" w:top="125" w:right="239" w:bottom="0" w:gutter="0" w:footer="0" w:header="0"/>
        </w:sectPr>
      </w:pPr>
    </w:p>
    <w:bookmarkStart w:id="62" w:name="page63"/>
    <w:bookmarkEnd w:id="62"/>
    <w:p>
      <w:pPr>
        <w:spacing w:after="0" w:line="114" w:lineRule="exact"/>
        <w:rPr>
          <w:sz w:val="20"/>
          <w:szCs w:val="20"/>
          <w:color w:val="auto"/>
        </w:rPr>
      </w:pPr>
    </w:p>
    <w:p>
      <w:pPr>
        <w:ind w:left="1300" w:right="580" w:firstLine="653"/>
        <w:spacing w:after="0" w:line="264" w:lineRule="auto"/>
        <w:tabs>
          <w:tab w:leader="none" w:pos="26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maintenance of such insurance for the benefit of the Partnership Group and the Partners as it deems necessary 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0" w:lineRule="exact"/>
        <w:rPr>
          <w:rFonts w:ascii="Arial" w:cs="Arial" w:eastAsia="Arial" w:hAnsi="Arial"/>
          <w:sz w:val="16"/>
          <w:szCs w:val="16"/>
          <w:color w:val="auto"/>
        </w:rPr>
      </w:pPr>
    </w:p>
    <w:p>
      <w:pPr>
        <w:ind w:left="1300" w:right="140" w:firstLine="653"/>
        <w:spacing w:after="0" w:line="286" w:lineRule="auto"/>
        <w:tabs>
          <w:tab w:leader="none" w:pos="261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firstLine="653"/>
        <w:spacing w:after="0" w:line="264" w:lineRule="auto"/>
        <w:tabs>
          <w:tab w:leader="none" w:pos="2604"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225" w:lineRule="exact"/>
        <w:rPr>
          <w:rFonts w:ascii="Arial" w:cs="Arial" w:eastAsia="Arial" w:hAnsi="Arial"/>
          <w:sz w:val="18"/>
          <w:szCs w:val="18"/>
          <w:color w:val="auto"/>
        </w:rPr>
      </w:pPr>
    </w:p>
    <w:p>
      <w:pPr>
        <w:ind w:left="1300" w:right="260" w:firstLine="653"/>
        <w:spacing w:after="0" w:line="264" w:lineRule="auto"/>
        <w:tabs>
          <w:tab w:leader="none" w:pos="262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entering into of listing agreements with any National Securities Exchange and the delisting of some or all of the Limited Partner Interests from, or requesting that trading be suspended on, any such exchange (subject to any prior approval that may be required under Section 4.8);</w:t>
      </w:r>
    </w:p>
    <w:p>
      <w:pPr>
        <w:spacing w:after="0" w:line="181" w:lineRule="exact"/>
        <w:rPr>
          <w:rFonts w:ascii="Arial" w:cs="Arial" w:eastAsia="Arial" w:hAnsi="Arial"/>
          <w:sz w:val="18"/>
          <w:szCs w:val="18"/>
          <w:color w:val="auto"/>
        </w:rPr>
      </w:pPr>
    </w:p>
    <w:p>
      <w:pPr>
        <w:ind w:left="1300" w:right="440" w:firstLine="653"/>
        <w:spacing w:after="0" w:line="342" w:lineRule="auto"/>
        <w:tabs>
          <w:tab w:leader="none" w:pos="2632" w:val="left"/>
        </w:tabs>
        <w:numPr>
          <w:ilvl w:val="2"/>
          <w:numId w:val="158"/>
        </w:numPr>
        <w:rPr>
          <w:rFonts w:ascii="Arial" w:cs="Arial" w:eastAsia="Arial" w:hAnsi="Arial"/>
          <w:sz w:val="16"/>
          <w:szCs w:val="16"/>
          <w:color w:val="auto"/>
        </w:rPr>
      </w:pPr>
      <w:r>
        <w:rPr>
          <w:rFonts w:ascii="Arial" w:cs="Arial" w:eastAsia="Arial" w:hAnsi="Arial"/>
          <w:sz w:val="16"/>
          <w:szCs w:val="16"/>
          <w:color w:val="auto"/>
        </w:rPr>
        <w:t>unless restricted or prohibited by Section 5.6(d), the purchase, sale or other acquisition or disposition of Partnership Securities, or the issuance of additional options, rights, warrants and appreciation rights relating to Partnership Securities; and</w:t>
      </w:r>
    </w:p>
    <w:p>
      <w:pPr>
        <w:spacing w:after="0" w:line="123" w:lineRule="exact"/>
        <w:rPr>
          <w:rFonts w:ascii="Arial" w:cs="Arial" w:eastAsia="Arial" w:hAnsi="Arial"/>
          <w:sz w:val="16"/>
          <w:szCs w:val="16"/>
          <w:color w:val="auto"/>
        </w:rPr>
      </w:pPr>
    </w:p>
    <w:p>
      <w:pPr>
        <w:ind w:left="1300" w:right="520" w:firstLine="653"/>
        <w:spacing w:after="0" w:line="264" w:lineRule="auto"/>
        <w:tabs>
          <w:tab w:leader="none" w:pos="2609"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undertaking of any action in connection with the Partnership’s ownership or operation of any Group Member, including exercising, on behalf and for the benefit of the Partnership, the Partnership’s rights as the sole stockholder of the Operating General Partner.</w:t>
      </w:r>
    </w:p>
    <w:p>
      <w:pPr>
        <w:spacing w:after="0" w:line="181" w:lineRule="exact"/>
        <w:rPr>
          <w:rFonts w:ascii="Arial" w:cs="Arial" w:eastAsia="Arial" w:hAnsi="Arial"/>
          <w:sz w:val="18"/>
          <w:szCs w:val="18"/>
          <w:color w:val="auto"/>
        </w:rPr>
      </w:pPr>
    </w:p>
    <w:p>
      <w:pPr>
        <w:ind w:right="120" w:firstLine="1305"/>
        <w:spacing w:after="0" w:line="291" w:lineRule="auto"/>
        <w:tabs>
          <w:tab w:leader="none" w:pos="195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Operating Partnership Agreements, the Delaware Act or any applicable law, rule or regulation, each of the Partners and the Assignees and each other Person who may acquire an interest in Partnership Securities hereby</w:t>
      </w:r>
    </w:p>
    <w:p>
      <w:pPr>
        <w:ind w:firstLine="8"/>
        <w:spacing w:after="0" w:line="286" w:lineRule="auto"/>
        <w:tabs>
          <w:tab w:leader="none" w:pos="21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approves, ratifies and confirms the execution, delivery and performance by the parties thereto of the Operating Partnership Agreements, the Underwriting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General Partner has caused the Certificate of Limited Partnership to be filed with the Secretary of State of the State of Delaware as required by the Delaware Act and shall use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i w:val="1"/>
          <w:iCs w:val="1"/>
          <w:color w:val="auto"/>
        </w:rPr>
        <w:t>Restrictions on General Partner’s Authority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93" w:lineRule="exact"/>
        <w:rPr>
          <w:rFonts w:ascii="Arial" w:cs="Arial" w:eastAsia="Arial" w:hAnsi="Arial"/>
          <w:sz w:val="18"/>
          <w:szCs w:val="18"/>
          <w:color w:val="auto"/>
        </w:rPr>
      </w:pPr>
    </w:p>
    <w:p>
      <w:pPr>
        <w:ind w:right="40" w:firstLine="1305"/>
        <w:spacing w:after="0" w:line="312" w:lineRule="auto"/>
        <w:tabs>
          <w:tab w:leader="none" w:pos="19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Operating Partnerships, taken as a</w:t>
      </w:r>
    </w:p>
    <w:p>
      <w:pPr>
        <w:sectPr>
          <w:pgSz w:w="11900" w:h="16952" w:orient="portrait"/>
          <w:cols w:equalWidth="0" w:num="1">
            <w:col w:w="11400"/>
          </w:cols>
          <w:pgMar w:left="240" w:top="341" w:right="259" w:bottom="0" w:gutter="0" w:footer="0" w:header="0"/>
        </w:sectPr>
      </w:pPr>
    </w:p>
    <w:bookmarkStart w:id="63" w:name="page64"/>
    <w:bookmarkEnd w:id="63"/>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Agreements or, except as expressly permitted by Section 7.9(d), take any action permitted to be taken by a partner of an Operating Partnership, in either case, that would have a material adverse effect on the Partnership as a partner of an Operating Partnership or (ii) except as permitted under Sections 4.6, 11.1 and 11.2, elect or cause the Partnership to elect a successor general partner.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Reimbursement of the General Partner</w:t>
      </w:r>
      <w:r>
        <w:rPr>
          <w:rFonts w:ascii="Arial" w:cs="Arial" w:eastAsia="Arial" w:hAnsi="Arial"/>
          <w:sz w:val="16"/>
          <w:szCs w:val="16"/>
          <w:color w:val="auto"/>
        </w:rPr>
        <w:t>.</w:t>
      </w:r>
    </w:p>
    <w:p>
      <w:pPr>
        <w:spacing w:after="0" w:line="225" w:lineRule="exact"/>
        <w:rPr>
          <w:sz w:val="20"/>
          <w:szCs w:val="20"/>
          <w:color w:val="auto"/>
        </w:rPr>
      </w:pPr>
    </w:p>
    <w:p>
      <w:pPr>
        <w:ind w:right="220" w:firstLine="1305"/>
        <w:spacing w:after="0" w:line="277" w:lineRule="auto"/>
        <w:tabs>
          <w:tab w:leader="none" w:pos="19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provided in this Section 7.4 and elsewhere in this Agreement or in the Operating Partnership Agreements, the General Partner shall not be compensated for its services as general partner or managing member of any Group Member.</w:t>
      </w:r>
    </w:p>
    <w:p>
      <w:pPr>
        <w:spacing w:after="0" w:line="170" w:lineRule="exact"/>
        <w:rPr>
          <w:rFonts w:ascii="Arial" w:cs="Arial" w:eastAsia="Arial" w:hAnsi="Arial"/>
          <w:sz w:val="18"/>
          <w:szCs w:val="18"/>
          <w:color w:val="auto"/>
        </w:rPr>
      </w:pPr>
    </w:p>
    <w:p>
      <w:pPr>
        <w:ind w:right="60" w:firstLine="1305"/>
        <w:spacing w:after="0" w:line="270" w:lineRule="auto"/>
        <w:tabs>
          <w:tab w:leader="none" w:pos="195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payments made for the benefit of the Partnership to or on behalf of the Operating General Partner and including salary, bonus, incentive compensation and other amounts paid to any Person including Affiliates of the General Partner to perform services for the benefit of the Partnership, any Group Member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81" w:lineRule="exact"/>
        <w:rPr>
          <w:rFonts w:ascii="Arial" w:cs="Arial" w:eastAsia="Arial" w:hAnsi="Arial"/>
          <w:sz w:val="17"/>
          <w:szCs w:val="17"/>
          <w:color w:val="auto"/>
        </w:rPr>
      </w:pPr>
    </w:p>
    <w:p>
      <w:pPr>
        <w:ind w:right="40" w:firstLine="1305"/>
        <w:spacing w:after="0" w:line="268" w:lineRule="auto"/>
        <w:tabs>
          <w:tab w:leader="none" w:pos="19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Subject to Section 5.6(d),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i w:val="1"/>
          <w:iCs w:val="1"/>
          <w:color w:val="auto"/>
        </w:rPr>
        <w:t>Outside Activities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8" w:lineRule="auto"/>
        <w:tabs>
          <w:tab w:leader="none" w:pos="194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After the Closing Date, the General Partner, for so long as it is the General Partner of the Partnership (i) agrees that its sole business will be to act as the general partner of the Partnership and, as applicable, any other partnership or limited liability company of which the Partnership is, directly or indirectly, a partner and to undertake activities that are ancillary or related thereto (including being a limited partner in the Partnership) and</w:t>
      </w:r>
    </w:p>
    <w:p>
      <w:pPr>
        <w:ind w:right="80" w:firstLine="8"/>
        <w:spacing w:after="0" w:line="255" w:lineRule="auto"/>
        <w:tabs>
          <w:tab w:leader="none" w:pos="2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shall not engage in any business or activity or incur any debts or liabilities except in connection with or incidental to (A) its performance as general partner of one or more Group Members or as described in or contemplated by the Registration Statement or (B) the acquiring, owning or disposing of debt or equity securities in any Group Member.</w:t>
      </w:r>
    </w:p>
    <w:p>
      <w:pPr>
        <w:spacing w:after="0" w:line="190" w:lineRule="exact"/>
        <w:rPr>
          <w:rFonts w:ascii="Arial" w:cs="Arial" w:eastAsia="Arial" w:hAnsi="Arial"/>
          <w:sz w:val="18"/>
          <w:szCs w:val="18"/>
          <w:color w:val="auto"/>
        </w:rPr>
      </w:pPr>
    </w:p>
    <w:p>
      <w:pPr>
        <w:ind w:right="60" w:firstLine="1305"/>
        <w:spacing w:after="0" w:line="272" w:lineRule="auto"/>
        <w:tabs>
          <w:tab w:leader="none" w:pos="1952" w:val="left"/>
        </w:tabs>
        <w:numPr>
          <w:ilvl w:val="1"/>
          <w:numId w:val="164"/>
        </w:numPr>
        <w:rPr>
          <w:rFonts w:ascii="Arial" w:cs="Arial" w:eastAsia="Arial" w:hAnsi="Arial"/>
          <w:sz w:val="17"/>
          <w:szCs w:val="17"/>
          <w:color w:val="auto"/>
        </w:rPr>
      </w:pPr>
      <w:r>
        <w:rPr>
          <w:rFonts w:ascii="Arial" w:cs="Arial" w:eastAsia="Arial" w:hAnsi="Arial"/>
          <w:sz w:val="17"/>
          <w:szCs w:val="17"/>
          <w:color w:val="auto"/>
        </w:rPr>
        <w:t>Except as specifically restricted by Section 7.5(a),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w:t>
      </w:r>
    </w:p>
    <w:p>
      <w:pPr>
        <w:spacing w:after="0" w:line="177" w:lineRule="exact"/>
        <w:rPr>
          <w:rFonts w:ascii="Arial" w:cs="Arial" w:eastAsia="Arial" w:hAnsi="Arial"/>
          <w:sz w:val="17"/>
          <w:szCs w:val="17"/>
          <w:color w:val="auto"/>
        </w:rPr>
      </w:pPr>
    </w:p>
    <w:p>
      <w:pPr>
        <w:ind w:firstLine="1305"/>
        <w:spacing w:after="0" w:line="255" w:lineRule="auto"/>
        <w:tabs>
          <w:tab w:leader="none" w:pos="195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Subject to the terms of Section 7.5(a) and Section 7.5(b),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the General Partner and the Indemnities shall have no obligation to present business opportunities to the Partnership.</w:t>
      </w:r>
    </w:p>
    <w:p>
      <w:pPr>
        <w:spacing w:after="0" w:line="193" w:lineRule="exact"/>
        <w:rPr>
          <w:rFonts w:ascii="Arial" w:cs="Arial" w:eastAsia="Arial" w:hAnsi="Arial"/>
          <w:sz w:val="18"/>
          <w:szCs w:val="18"/>
          <w:color w:val="auto"/>
        </w:rPr>
      </w:pPr>
    </w:p>
    <w:p>
      <w:pPr>
        <w:ind w:right="80" w:firstLine="1305"/>
        <w:spacing w:after="0" w:line="264" w:lineRule="auto"/>
        <w:tabs>
          <w:tab w:leader="none" w:pos="195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81" w:lineRule="exact"/>
        <w:rPr>
          <w:rFonts w:ascii="Arial" w:cs="Arial" w:eastAsia="Arial" w:hAnsi="Arial"/>
          <w:sz w:val="18"/>
          <w:szCs w:val="18"/>
          <w:color w:val="auto"/>
        </w:rPr>
      </w:pPr>
    </w:p>
    <w:p>
      <w:pPr>
        <w:ind w:right="420" w:firstLine="1305"/>
        <w:spacing w:after="0" w:line="277" w:lineRule="auto"/>
        <w:tabs>
          <w:tab w:leader="none" w:pos="195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term “Affiliates” when used in Section 7.5(a) and Section 7.5(d) with respect to the General Partner shall not include any Group Member or any Subsidiary of the Group Member.</w:t>
      </w:r>
    </w:p>
    <w:p>
      <w:pPr>
        <w:sectPr>
          <w:pgSz w:w="11900" w:h="16929" w:orient="portrait"/>
          <w:cols w:equalWidth="0" w:num="1">
            <w:col w:w="11420"/>
          </w:cols>
          <w:pgMar w:left="240" w:top="125" w:right="239" w:bottom="0" w:gutter="0" w:footer="0" w:header="0"/>
        </w:sectPr>
      </w:pPr>
    </w:p>
    <w:bookmarkStart w:id="64" w:name="page65"/>
    <w:bookmarkEnd w:id="64"/>
    <w:p>
      <w:pPr>
        <w:ind w:right="40" w:firstLine="1305"/>
        <w:spacing w:after="0" w:line="264" w:lineRule="auto"/>
        <w:tabs>
          <w:tab w:leader="none" w:pos="19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24" w:lineRule="exact"/>
        <w:rPr>
          <w:sz w:val="20"/>
          <w:szCs w:val="20"/>
          <w:color w:val="auto"/>
        </w:rPr>
      </w:pPr>
    </w:p>
    <w:p>
      <w:pPr>
        <w:ind w:left="1960" w:right="160" w:hanging="1296"/>
        <w:spacing w:after="0" w:line="277" w:lineRule="auto"/>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8"/>
          <w:szCs w:val="18"/>
          <w:i w:val="1"/>
          <w:iCs w:val="1"/>
          <w:color w:val="auto"/>
        </w:rPr>
        <w:t>Loans from the General Partner; Loans or Contributions from the Partnership; Contracts with Affiliates; Certain Restrictions on the General Partner</w:t>
      </w:r>
      <w:r>
        <w:rPr>
          <w:rFonts w:ascii="Arial" w:cs="Arial" w:eastAsia="Arial" w:hAnsi="Arial"/>
          <w:sz w:val="18"/>
          <w:szCs w:val="18"/>
          <w:color w:val="auto"/>
        </w:rPr>
        <w:t>.</w:t>
      </w:r>
    </w:p>
    <w:p>
      <w:pPr>
        <w:spacing w:after="0" w:line="170" w:lineRule="exact"/>
        <w:rPr>
          <w:sz w:val="20"/>
          <w:szCs w:val="20"/>
          <w:color w:val="auto"/>
        </w:rPr>
      </w:pPr>
    </w:p>
    <w:p>
      <w:pPr>
        <w:ind w:right="100" w:firstLine="1305"/>
        <w:spacing w:after="0" w:line="290" w:lineRule="auto"/>
        <w:tabs>
          <w:tab w:leader="none" w:pos="194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No Group Member may lend funds to the General Partner or any of its Affiliates (other than another Group Member).</w:t>
      </w:r>
    </w:p>
    <w:p>
      <w:pPr>
        <w:spacing w:after="0" w:line="166" w:lineRule="exact"/>
        <w:rPr>
          <w:rFonts w:ascii="Arial" w:cs="Arial" w:eastAsia="Arial" w:hAnsi="Arial"/>
          <w:sz w:val="16"/>
          <w:szCs w:val="16"/>
          <w:color w:val="auto"/>
        </w:rPr>
      </w:pPr>
    </w:p>
    <w:p>
      <w:pPr>
        <w:ind w:right="20" w:firstLine="1305"/>
        <w:spacing w:after="0" w:line="257"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8" w:lineRule="exact"/>
        <w:rPr>
          <w:rFonts w:ascii="Arial" w:cs="Arial" w:eastAsia="Arial" w:hAnsi="Arial"/>
          <w:sz w:val="18"/>
          <w:szCs w:val="18"/>
          <w:color w:val="auto"/>
        </w:rPr>
      </w:pPr>
    </w:p>
    <w:p>
      <w:pPr>
        <w:ind w:firstLine="1305"/>
        <w:spacing w:after="0" w:line="291" w:lineRule="auto"/>
        <w:tabs>
          <w:tab w:leader="none" w:pos="19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67" w:lineRule="exact"/>
        <w:rPr>
          <w:rFonts w:ascii="Arial" w:cs="Arial" w:eastAsia="Arial" w:hAnsi="Arial"/>
          <w:sz w:val="16"/>
          <w:szCs w:val="16"/>
          <w:color w:val="auto"/>
        </w:rPr>
      </w:pPr>
    </w:p>
    <w:p>
      <w:pPr>
        <w:ind w:right="180" w:firstLine="1305"/>
        <w:spacing w:after="0" w:line="277"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Partnership Group may transfer assets to joint ventures, other partnerships, corporations, limited liability companies or other business entities in which it is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thereby becomes a participant upon such terms and subject to such conditions as are consistent with this Agreement and applicable law.</w:t>
      </w:r>
    </w:p>
    <w:p>
      <w:pPr>
        <w:spacing w:after="0" w:line="225" w:lineRule="exact"/>
        <w:rPr>
          <w:sz w:val="20"/>
          <w:szCs w:val="20"/>
          <w:color w:val="auto"/>
        </w:rPr>
      </w:pPr>
    </w:p>
    <w:p>
      <w:pPr>
        <w:ind w:right="80" w:firstLine="1305"/>
        <w:spacing w:after="0" w:line="269" w:lineRule="auto"/>
        <w:tabs>
          <w:tab w:leader="none" w:pos="19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the Contribution and Conveyance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w:t>
      </w:r>
    </w:p>
    <w:p>
      <w:pPr>
        <w:spacing w:after="0" w:line="182" w:lineRule="exact"/>
        <w:rPr>
          <w:rFonts w:ascii="Arial" w:cs="Arial" w:eastAsia="Arial" w:hAnsi="Arial"/>
          <w:sz w:val="17"/>
          <w:szCs w:val="17"/>
          <w:color w:val="auto"/>
        </w:rPr>
      </w:pPr>
    </w:p>
    <w:p>
      <w:pPr>
        <w:ind w:right="120" w:firstLine="1305"/>
        <w:spacing w:after="0" w:line="264" w:lineRule="auto"/>
        <w:tabs>
          <w:tab w:leader="none" w:pos="19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81" w:lineRule="exact"/>
        <w:rPr>
          <w:rFonts w:ascii="Arial" w:cs="Arial" w:eastAsia="Arial" w:hAnsi="Arial"/>
          <w:sz w:val="18"/>
          <w:szCs w:val="18"/>
          <w:color w:val="auto"/>
        </w:rPr>
      </w:pPr>
    </w:p>
    <w:p>
      <w:pPr>
        <w:ind w:right="60" w:firstLine="1305"/>
        <w:spacing w:after="0" w:line="277" w:lineRule="auto"/>
        <w:tabs>
          <w:tab w:leader="none" w:pos="196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1" w:lineRule="auto"/>
        <w:tabs>
          <w:tab w:leader="none" w:pos="194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w:t>
      </w:r>
    </w:p>
    <w:p>
      <w:pPr>
        <w:sectPr>
          <w:pgSz w:w="11900" w:h="16838" w:orient="portrait"/>
          <w:cols w:equalWidth="0" w:num="1">
            <w:col w:w="11420"/>
          </w:cols>
          <w:pgMar w:left="240" w:top="341" w:right="239" w:bottom="0" w:gutter="0" w:footer="0" w:header="0"/>
        </w:sectPr>
      </w:pPr>
    </w:p>
    <w:bookmarkStart w:id="65" w:name="page66"/>
    <w:bookmarkEnd w:id="65"/>
    <w:p>
      <w:pPr>
        <w:spacing w:after="0" w:line="1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the General Partner with respect to its obligations incurred pursuant to the Underwriting Agreement or the Contribution and Conveyance Agreement (other than obligations incurred by the General Partner on behalf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Partnership or any Operating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8" w:lineRule="exact"/>
        <w:rPr>
          <w:sz w:val="20"/>
          <w:szCs w:val="20"/>
          <w:color w:val="auto"/>
        </w:rPr>
      </w:pPr>
    </w:p>
    <w:p>
      <w:pPr>
        <w:ind w:right="60" w:firstLine="1305"/>
        <w:spacing w:after="0" w:line="302" w:lineRule="auto"/>
        <w:tabs>
          <w:tab w:leader="none" w:pos="19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54" w:lineRule="exact"/>
        <w:rPr>
          <w:rFonts w:ascii="Arial" w:cs="Arial" w:eastAsia="Arial" w:hAnsi="Arial"/>
          <w:sz w:val="16"/>
          <w:szCs w:val="16"/>
          <w:color w:val="auto"/>
        </w:rPr>
      </w:pPr>
    </w:p>
    <w:p>
      <w:pPr>
        <w:ind w:firstLine="1305"/>
        <w:spacing w:after="0" w:line="257" w:lineRule="auto"/>
        <w:tabs>
          <w:tab w:leader="none" w:pos="19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54" w:lineRule="exact"/>
        <w:rPr>
          <w:rFonts w:ascii="Arial" w:cs="Arial" w:eastAsia="Arial" w:hAnsi="Arial"/>
          <w:sz w:val="16"/>
          <w:szCs w:val="16"/>
          <w:color w:val="auto"/>
        </w:rPr>
      </w:pPr>
    </w:p>
    <w:p>
      <w:pPr>
        <w:ind w:right="20" w:firstLine="1305"/>
        <w:spacing w:after="0" w:line="273" w:lineRule="auto"/>
        <w:tabs>
          <w:tab w:leader="none" w:pos="19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no event may an Indemnitee subject the Limited Partners to personal liability by reason of the indemnification provisions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in this Agreement.</w:t>
      </w:r>
    </w:p>
    <w:p>
      <w:pPr>
        <w:spacing w:after="0" w:line="210" w:lineRule="exact"/>
        <w:rPr>
          <w:rFonts w:ascii="Arial" w:cs="Arial" w:eastAsia="Arial" w:hAnsi="Arial"/>
          <w:sz w:val="16"/>
          <w:szCs w:val="16"/>
          <w:color w:val="auto"/>
        </w:rPr>
      </w:pPr>
    </w:p>
    <w:p>
      <w:pPr>
        <w:ind w:right="520" w:firstLine="1305"/>
        <w:spacing w:after="0" w:line="277" w:lineRule="auto"/>
        <w:tabs>
          <w:tab w:leader="none" w:pos="19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Indemnitee shall not be denied indemnification in whole or in part under this Section 7.7 because the Indemnitee had an interest in the transaction with respect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which the indemnification applies if the transaction was otherwise permitted by the terms of this Agreement.</w:t>
      </w:r>
    </w:p>
    <w:p>
      <w:pPr>
        <w:spacing w:after="0" w:line="225" w:lineRule="exact"/>
        <w:rPr>
          <w:sz w:val="20"/>
          <w:szCs w:val="20"/>
          <w:color w:val="auto"/>
        </w:rPr>
      </w:pPr>
    </w:p>
    <w:p>
      <w:pPr>
        <w:ind w:right="340" w:firstLine="1305"/>
        <w:spacing w:after="0" w:line="277" w:lineRule="auto"/>
        <w:tabs>
          <w:tab w:leader="none" w:pos="19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right="80" w:firstLine="1305"/>
        <w:spacing w:after="0" w:line="257" w:lineRule="auto"/>
        <w:tabs>
          <w:tab w:leader="none" w:pos="196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i w:val="1"/>
          <w:iCs w:val="1"/>
          <w:color w:val="auto"/>
        </w:rPr>
        <w:t>Liability of lndemnitees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264" w:lineRule="auto"/>
        <w:tabs>
          <w:tab w:leader="none" w:pos="194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pacing w:after="0" w:line="181" w:lineRule="exact"/>
        <w:rPr>
          <w:rFonts w:ascii="Arial" w:cs="Arial" w:eastAsia="Arial" w:hAnsi="Arial"/>
          <w:sz w:val="18"/>
          <w:szCs w:val="18"/>
          <w:color w:val="auto"/>
        </w:rPr>
      </w:pPr>
    </w:p>
    <w:p>
      <w:pPr>
        <w:ind w:right="220" w:firstLine="1305"/>
        <w:spacing w:after="0" w:line="312" w:lineRule="auto"/>
        <w:tabs>
          <w:tab w:leader="none" w:pos="19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46" w:lineRule="exact"/>
        <w:rPr>
          <w:rFonts w:ascii="Arial" w:cs="Arial" w:eastAsia="Arial" w:hAnsi="Arial"/>
          <w:sz w:val="16"/>
          <w:szCs w:val="16"/>
          <w:color w:val="auto"/>
        </w:rPr>
      </w:pPr>
    </w:p>
    <w:p>
      <w:pPr>
        <w:ind w:right="140" w:firstLine="1305"/>
        <w:spacing w:after="0" w:line="257" w:lineRule="auto"/>
        <w:tabs>
          <w:tab w:leader="none" w:pos="19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88" w:lineRule="exact"/>
        <w:rPr>
          <w:rFonts w:ascii="Arial" w:cs="Arial" w:eastAsia="Arial" w:hAnsi="Arial"/>
          <w:sz w:val="18"/>
          <w:szCs w:val="18"/>
          <w:color w:val="auto"/>
        </w:rPr>
      </w:pPr>
    </w:p>
    <w:p>
      <w:pPr>
        <w:ind w:right="20" w:firstLine="1305"/>
        <w:spacing w:after="0" w:line="312" w:lineRule="auto"/>
        <w:tabs>
          <w:tab w:leader="none" w:pos="19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and the Operating General Partner’s directors, officers and employees under this Section 7.8 as in effect immediately prior to such amendment, modification or repeal</w:t>
      </w:r>
    </w:p>
    <w:p>
      <w:pPr>
        <w:sectPr>
          <w:pgSz w:w="11900" w:h="16952" w:orient="portrait"/>
          <w:cols w:equalWidth="0" w:num="1">
            <w:col w:w="11400"/>
          </w:cols>
          <w:pgMar w:left="240" w:top="125" w:right="259" w:bottom="0" w:gutter="0" w:footer="0" w:header="0"/>
        </w:sectPr>
      </w:pPr>
    </w:p>
    <w:bookmarkStart w:id="66" w:name="page67"/>
    <w:bookmarkEnd w:id="66"/>
    <w:p>
      <w:pPr>
        <w:spacing w:after="0" w:line="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claims arising from or relating to matters occurring, in whole or in part, prior to such amendment, modification or repeal, regardless of when such claims may arise or be asserted.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i w:val="1"/>
          <w:iCs w:val="1"/>
          <w:color w:val="auto"/>
        </w:rPr>
        <w:t>Resolution of Conflicts of Interest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83" w:lineRule="auto"/>
        <w:tabs>
          <w:tab w:leader="none" w:pos="194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w:t>
      </w:r>
    </w:p>
    <w:p>
      <w:pPr>
        <w:spacing w:after="0" w:line="6" w:lineRule="exact"/>
        <w:rPr>
          <w:rFonts w:ascii="Arial" w:cs="Arial" w:eastAsia="Arial" w:hAnsi="Arial"/>
          <w:sz w:val="16"/>
          <w:szCs w:val="16"/>
          <w:color w:val="auto"/>
        </w:rPr>
      </w:pPr>
    </w:p>
    <w:p>
      <w:pPr>
        <w:ind w:right="60" w:firstLine="8"/>
        <w:spacing w:after="0" w:line="267" w:lineRule="auto"/>
        <w:tabs>
          <w:tab w:leader="none" w:pos="26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83" w:lineRule="exact"/>
        <w:rPr>
          <w:rFonts w:ascii="Arial" w:cs="Arial" w:eastAsia="Arial" w:hAnsi="Arial"/>
          <w:sz w:val="17"/>
          <w:szCs w:val="17"/>
          <w:color w:val="auto"/>
        </w:rPr>
      </w:pPr>
    </w:p>
    <w:p>
      <w:pPr>
        <w:ind w:right="100" w:firstLine="1305"/>
        <w:spacing w:after="0" w:line="255" w:lineRule="auto"/>
        <w:tabs>
          <w:tab w:leader="none" w:pos="195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w:t>
      </w:r>
    </w:p>
    <w:p>
      <w:pPr>
        <w:spacing w:after="0" w:line="178" w:lineRule="exact"/>
        <w:rPr>
          <w:sz w:val="20"/>
          <w:szCs w:val="20"/>
          <w:color w:val="auto"/>
        </w:rPr>
      </w:pPr>
    </w:p>
    <w:p>
      <w:pPr>
        <w:ind w:right="60" w:firstLine="1305"/>
        <w:spacing w:after="0" w:line="264" w:lineRule="auto"/>
        <w:tabs>
          <w:tab w:leader="none" w:pos="19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81" w:lineRule="exact"/>
        <w:rPr>
          <w:rFonts w:ascii="Arial" w:cs="Arial" w:eastAsia="Arial" w:hAnsi="Arial"/>
          <w:sz w:val="18"/>
          <w:szCs w:val="18"/>
          <w:color w:val="auto"/>
        </w:rPr>
      </w:pPr>
    </w:p>
    <w:p>
      <w:pPr>
        <w:jc w:val="both"/>
        <w:ind w:right="120" w:firstLine="1305"/>
        <w:spacing w:after="0" w:line="264" w:lineRule="auto"/>
        <w:tabs>
          <w:tab w:leader="none" w:pos="19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Unitholders hereby authorize the General Partner, on behalf of the Partnership as a partner of a Group Member, to approve of actions by the general partner of such Group Member (including the Operating General Partner) similar to those actions permitted to be taken by the General Partner pursuant to this Section 7.9.</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Other Matters Concerning the General Partner</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86" w:lineRule="exact"/>
        <w:rPr>
          <w:rFonts w:ascii="Arial" w:cs="Arial" w:eastAsia="Arial" w:hAnsi="Arial"/>
          <w:sz w:val="18"/>
          <w:szCs w:val="18"/>
          <w:color w:val="auto"/>
        </w:rPr>
      </w:pPr>
    </w:p>
    <w:p>
      <w:pPr>
        <w:ind w:right="360" w:firstLine="1305"/>
        <w:spacing w:after="0" w:line="277" w:lineRule="auto"/>
        <w:tabs>
          <w:tab w:leader="none" w:pos="19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70" w:lineRule="exact"/>
        <w:rPr>
          <w:rFonts w:ascii="Arial" w:cs="Arial" w:eastAsia="Arial" w:hAnsi="Arial"/>
          <w:sz w:val="18"/>
          <w:szCs w:val="18"/>
          <w:color w:val="auto"/>
        </w:rPr>
      </w:pPr>
    </w:p>
    <w:p>
      <w:pPr>
        <w:ind w:firstLine="1305"/>
        <w:spacing w:after="0" w:line="279" w:lineRule="auto"/>
        <w:tabs>
          <w:tab w:leader="none" w:pos="195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ectPr>
          <w:pgSz w:w="11900" w:h="16928" w:orient="portrait"/>
          <w:cols w:equalWidth="0" w:num="1">
            <w:col w:w="11420"/>
          </w:cols>
          <w:pgMar w:left="240" w:top="125" w:right="239" w:bottom="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Purchase or Sale of Partnership Securities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General Partner may cause the Partnership to purchase or otherwise acquire Partnership Securities.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i w:val="1"/>
          <w:iCs w:val="1"/>
          <w:color w:val="auto"/>
        </w:rPr>
        <w:t>Registration Rights of the General Partner and its Affiliates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5" w:lineRule="auto"/>
        <w:tabs>
          <w:tab w:leader="none" w:pos="194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Arial" w:cs="Arial" w:eastAsia="Arial" w:hAnsi="Arial"/>
          <w:sz w:val="16"/>
          <w:szCs w:val="16"/>
          <w:i w:val="1"/>
          <w:iCs w:val="1"/>
          <w:color w:val="auto"/>
        </w:rPr>
        <w:t>Holder</w:t>
      </w:r>
      <w:r>
        <w:rPr>
          <w:rFonts w:ascii="Arial" w:cs="Arial" w:eastAsia="Arial" w:hAnsi="Arial"/>
          <w:sz w:val="16"/>
          <w:szCs w:val="16"/>
          <w:color w:val="auto"/>
        </w:rPr>
        <w:t>”)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 the underwriting discounts and commissions) shall be paid by the Partnership, without reimbursement by the Holder.</w:t>
      </w:r>
    </w:p>
    <w:p>
      <w:pPr>
        <w:spacing w:after="0" w:line="168" w:lineRule="exact"/>
        <w:rPr>
          <w:rFonts w:ascii="Arial" w:cs="Arial" w:eastAsia="Arial" w:hAnsi="Arial"/>
          <w:sz w:val="16"/>
          <w:szCs w:val="16"/>
          <w:color w:val="auto"/>
        </w:rPr>
      </w:pPr>
    </w:p>
    <w:p>
      <w:pPr>
        <w:ind w:right="620" w:firstLine="1305"/>
        <w:spacing w:after="0" w:line="277" w:lineRule="auto"/>
        <w:tabs>
          <w:tab w:leader="none" w:pos="19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Partnership shall at any time propose to file a registration statement under the Securities Act for an offering of equity securities of the Partnership for cash (other than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 Section 7.12(c), all costs and expenses of any such registration and offering (other than the underwriting discounts and commissions) shall be paid by the Partnership, without reimbursement by the Holder.</w:t>
      </w:r>
    </w:p>
    <w:p>
      <w:pPr>
        <w:spacing w:after="0" w:line="192" w:lineRule="exact"/>
        <w:rPr>
          <w:sz w:val="20"/>
          <w:szCs w:val="20"/>
          <w:color w:val="auto"/>
        </w:rPr>
      </w:pPr>
    </w:p>
    <w:p>
      <w:pPr>
        <w:ind w:right="520" w:firstLine="1305"/>
        <w:spacing w:after="0" w:line="284" w:lineRule="auto"/>
        <w:tabs>
          <w:tab w:leader="none" w:pos="195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6"/>
          <w:szCs w:val="16"/>
          <w:i w:val="1"/>
          <w:iCs w:val="1"/>
          <w:color w:val="auto"/>
        </w:rPr>
        <w:t>Indemnified Persons</w:t>
      </w:r>
      <w:r>
        <w:rPr>
          <w:rFonts w:ascii="Arial" w:cs="Arial" w:eastAsia="Arial" w:hAnsi="Arial"/>
          <w:sz w:val="16"/>
          <w:szCs w:val="16"/>
          <w:color w:val="auto"/>
        </w:rPr>
        <w:t>”)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w:t>
      </w:r>
    </w:p>
    <w:p>
      <w:pPr>
        <w:spacing w:after="0" w:line="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Section 7.12(c) as a “</w:t>
      </w:r>
      <w:r>
        <w:rPr>
          <w:rFonts w:ascii="Arial" w:cs="Arial" w:eastAsia="Arial" w:hAnsi="Arial"/>
          <w:sz w:val="16"/>
          <w:szCs w:val="16"/>
          <w:i w:val="1"/>
          <w:iCs w:val="1"/>
          <w:color w:val="auto"/>
        </w:rPr>
        <w:t>claim</w:t>
      </w:r>
      <w:r>
        <w:rPr>
          <w:rFonts w:ascii="Arial" w:cs="Arial" w:eastAsia="Arial" w:hAnsi="Arial"/>
          <w:sz w:val="16"/>
          <w:szCs w:val="16"/>
          <w:color w:val="auto"/>
        </w:rPr>
        <w:t>” and in the plural as “</w:t>
      </w:r>
      <w:r>
        <w:rPr>
          <w:rFonts w:ascii="Arial" w:cs="Arial" w:eastAsia="Arial" w:hAnsi="Arial"/>
          <w:sz w:val="16"/>
          <w:szCs w:val="16"/>
          <w:i w:val="1"/>
          <w:iCs w:val="1"/>
          <w:color w:val="auto"/>
        </w:rPr>
        <w:t>claims</w:t>
      </w:r>
      <w:r>
        <w:rPr>
          <w:rFonts w:ascii="Arial" w:cs="Arial" w:eastAsia="Arial" w:hAnsi="Arial"/>
          <w:sz w:val="16"/>
          <w:szCs w:val="16"/>
          <w:color w:val="auto"/>
        </w:rPr>
        <w:t>”)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166" w:lineRule="exact"/>
        <w:rPr>
          <w:rFonts w:ascii="Arial" w:cs="Arial" w:eastAsia="Arial" w:hAnsi="Arial"/>
          <w:sz w:val="16"/>
          <w:szCs w:val="16"/>
          <w:color w:val="auto"/>
        </w:rPr>
      </w:pPr>
    </w:p>
    <w:p>
      <w:pPr>
        <w:ind w:right="220" w:firstLine="1305"/>
        <w:spacing w:after="0" w:line="257" w:lineRule="auto"/>
        <w:tabs>
          <w:tab w:leader="none" w:pos="1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8" w:name="page69"/>
    <w:bookmarkEnd w:id="68"/>
    <w:p>
      <w:pPr>
        <w:ind w:right="1480"/>
        <w:spacing w:after="0" w:line="277" w:lineRule="auto"/>
        <w:rPr>
          <w:sz w:val="20"/>
          <w:szCs w:val="20"/>
          <w:color w:val="auto"/>
        </w:rPr>
      </w:pPr>
      <w:r>
        <w:rPr>
          <w:rFonts w:ascii="Arial" w:cs="Arial" w:eastAsia="Arial" w:hAnsi="Arial"/>
          <w:sz w:val="18"/>
          <w:szCs w:val="18"/>
          <w:color w:val="auto"/>
        </w:rPr>
        <w:t>statements covering the same Partnership Securities for which registration was demanded during such two-year period. The provisions of Section 7.12(c) shall continue in effect thereafter.</w:t>
      </w:r>
    </w:p>
    <w:p>
      <w:pPr>
        <w:spacing w:after="0" w:line="170" w:lineRule="exact"/>
        <w:rPr>
          <w:sz w:val="20"/>
          <w:szCs w:val="20"/>
          <w:color w:val="auto"/>
        </w:rPr>
      </w:pPr>
    </w:p>
    <w:p>
      <w:pPr>
        <w:ind w:right="40" w:firstLine="1305"/>
        <w:spacing w:after="0" w:line="257" w:lineRule="auto"/>
        <w:tabs>
          <w:tab w:leader="none" w:pos="19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i w:val="1"/>
          <w:iCs w:val="1"/>
          <w:color w:val="auto"/>
        </w:rPr>
        <w:t>Reliance by Third Parties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BOOKS, RECORDS, ACCOUNTING AND REPORTS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i w:val="1"/>
          <w:iCs w:val="1"/>
          <w:color w:val="auto"/>
        </w:rPr>
        <w:t>Records and Accounting</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Fiscal Year</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Partnership shall be a fiscal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88" w:lineRule="exact"/>
        <w:rPr>
          <w:rFonts w:ascii="Arial" w:cs="Arial" w:eastAsia="Arial" w:hAnsi="Arial"/>
          <w:sz w:val="18"/>
          <w:szCs w:val="18"/>
          <w:color w:val="auto"/>
        </w:rPr>
      </w:pPr>
    </w:p>
    <w:p>
      <w:pPr>
        <w:ind w:right="80" w:firstLine="1305"/>
        <w:spacing w:after="0" w:line="302" w:lineRule="auto"/>
        <w:tabs>
          <w:tab w:leader="none" w:pos="195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Tax Returns and Information</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5"/>
          <w:szCs w:val="15"/>
          <w:i w:val="1"/>
          <w:iCs w:val="1"/>
          <w:color w:val="auto"/>
        </w:rPr>
        <w:t>Tax Elections</w:t>
      </w:r>
      <w:r>
        <w:rPr>
          <w:rFonts w:ascii="Arial" w:cs="Arial" w:eastAsia="Arial" w:hAnsi="Arial"/>
          <w:sz w:val="15"/>
          <w:szCs w:val="15"/>
          <w:color w:val="auto"/>
        </w:rPr>
        <w:t>.</w:t>
      </w:r>
    </w:p>
    <w:p>
      <w:pPr>
        <w:sectPr>
          <w:pgSz w:w="11900" w:h="16838" w:orient="portrait"/>
          <w:cols w:equalWidth="0" w:num="1">
            <w:col w:w="11420"/>
          </w:cols>
          <w:pgMar w:left="240" w:top="584" w:right="239" w:bottom="0" w:gutter="0" w:footer="0" w:header="0"/>
        </w:sectPr>
      </w:pPr>
    </w:p>
    <w:bookmarkStart w:id="69" w:name="page70"/>
    <w:bookmarkEnd w:id="69"/>
    <w:p>
      <w:pPr>
        <w:spacing w:after="0" w:line="92" w:lineRule="exact"/>
        <w:rPr>
          <w:sz w:val="20"/>
          <w:szCs w:val="20"/>
          <w:color w:val="auto"/>
        </w:rPr>
      </w:pPr>
    </w:p>
    <w:p>
      <w:pPr>
        <w:ind w:right="80" w:firstLine="1305"/>
        <w:spacing w:after="0" w:line="279" w:lineRule="auto"/>
        <w:tabs>
          <w:tab w:leader="none" w:pos="194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w:t>
      </w:r>
    </w:p>
    <w:p>
      <w:pPr>
        <w:spacing w:after="0" w:line="181" w:lineRule="exact"/>
        <w:rPr>
          <w:sz w:val="20"/>
          <w:szCs w:val="20"/>
          <w:color w:val="auto"/>
        </w:rPr>
      </w:pPr>
    </w:p>
    <w:p>
      <w:pPr>
        <w:ind w:right="40" w:firstLine="1305"/>
        <w:spacing w:after="0" w:line="277" w:lineRule="auto"/>
        <w:tabs>
          <w:tab w:leader="none" w:pos="19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Partnership shall elect to deduct expenses incurred in organizing the Partnership ratably over a sixty-month period as provided in Section 709 of the Code.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Except as otherwise provided herein, the General Partner shall determine whether the Partnership should make any other elections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by the Code.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5"/>
          <w:szCs w:val="15"/>
          <w:i w:val="1"/>
          <w:iCs w:val="1"/>
          <w:color w:val="auto"/>
        </w:rPr>
        <w:t>Tax Controversies</w:t>
      </w:r>
      <w:r>
        <w:rPr>
          <w:rFonts w:ascii="Arial" w:cs="Arial" w:eastAsia="Arial" w:hAnsi="Arial"/>
          <w:sz w:val="15"/>
          <w:szCs w:val="15"/>
          <w:color w:val="auto"/>
        </w:rPr>
        <w:t>.</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Subject to the provisions hereof, the General Partner is designated as the Tax Matters Partner (as defined in Section 6231(a)(7) of the Code as in effect prior to the enactment of the Bipartisan Budget Act of 2015) and the “partnership representative” (as defined in Section 6223 of the Code following the enactment of the Bipartisan Budget Act of 2015)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In its capacity as “partnership representative,” the General Partner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Each Partner agrees to cooperate with the General Partner and to do or refrain from doing any or all things reasonably required by the General Partner to conduct such proceedings. Each Partner agrees that notice of or updates regarding tax controversies shall be deemed conclusively to have been given or made by the General Partner if the Partnership has either (a) filed the information for which notice is required with the Commission via its Electronic Data Gathering, Analysis and Retrieval system and such information is publicly available on such system or (b) made the information for which notice is required available on any publicly available website maintained by the Partnership, whether or not such Partner remains a Partner in the Partnership at the time such information is made publicly available. The General Partner may amend the provisions of this Agreement as determined appropriate in order to minimize the potential U.S. federal and state or local income tax consequences to current and former Limited Partners, and for the proper administration of the Partnership, upon any amendment to the provisions of Subchapter C of Chapter 63 of Subtitle A of the Code, as enacted by the Bipartisan Budget Act of 2015, or the promulgation of regulations or publication of other administrative guidance thereunder.</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i w:val="1"/>
          <w:iCs w:val="1"/>
          <w:color w:val="auto"/>
        </w:rPr>
        <w:t>Withholding</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local or foreign law including, without limitation, pursuant to Sections 1441, 1442, 1445 and 1446 of the Code. To the extent that the Partnership or any member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Partnership Group is required or elects to withhold or pay over to any taxing authority, or any taxing authority seizes, any amount resulting from the allocation or distribution of income to any member of the Partnership Group, Partner or Assignee, the amount withheld, paid over or seized may at the discretion of the General Partner be treated by the Partnership as a distribution of cash pursuant to Section 6.3 to the Partner or Assignee to whom such withholding, payment or seizure is attributed.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ADMISSION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Admission of Substituted Limited Partner</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ectPr>
          <w:pgSz w:w="11900" w:h="16931" w:orient="portrait"/>
          <w:cols w:equalWidth="0" w:num="1">
            <w:col w:w="11420"/>
          </w:cols>
          <w:pgMar w:left="240" w:top="125" w:right="239" w:bottom="0" w:gutter="0" w:footer="0" w:header="0"/>
        </w:sectPr>
      </w:pPr>
    </w:p>
    <w:bookmarkStart w:id="70" w:name="page71"/>
    <w:bookmarkEnd w:id="70"/>
    <w:p>
      <w:pPr>
        <w:spacing w:after="0" w:line="13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Admission of Successor General Partner</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Partner Interest pursuant to Section 4.6, provided, however,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Admission of Additional Limited Partners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88" w:lineRule="exact"/>
        <w:rPr>
          <w:rFonts w:ascii="Arial" w:cs="Arial" w:eastAsia="Arial" w:hAnsi="Arial"/>
          <w:sz w:val="18"/>
          <w:szCs w:val="18"/>
          <w:color w:val="auto"/>
        </w:rPr>
      </w:pPr>
    </w:p>
    <w:p>
      <w:pPr>
        <w:ind w:right="220" w:firstLine="1305"/>
        <w:spacing w:after="0" w:line="259" w:lineRule="auto"/>
        <w:tabs>
          <w:tab w:leader="none" w:pos="19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i w:val="1"/>
          <w:iCs w:val="1"/>
          <w:color w:val="auto"/>
        </w:rPr>
        <w:t>Amendment of Agreement and 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WITHDRAWAL OR REMOVAL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Withdrawal of the General Partner</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77" w:lineRule="auto"/>
        <w:tabs>
          <w:tab w:leader="none" w:pos="194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w:t>
      </w:r>
      <w:r>
        <w:rPr>
          <w:rFonts w:ascii="Arial" w:cs="Arial" w:eastAsia="Arial" w:hAnsi="Arial"/>
          <w:sz w:val="18"/>
          <w:szCs w:val="18"/>
          <w:i w:val="1"/>
          <w:iCs w:val="1"/>
          <w:color w:val="auto"/>
        </w:rPr>
        <w:t>Event of Withdrawal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General Partner transfers all of its rights as General Partner pursuant to Section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11.2;</w:t>
      </w:r>
    </w:p>
    <w:p>
      <w:pPr>
        <w:spacing w:after="0" w:line="225" w:lineRule="exact"/>
        <w:rPr>
          <w:rFonts w:ascii="Arial" w:cs="Arial" w:eastAsia="Arial" w:hAnsi="Arial"/>
          <w:sz w:val="18"/>
          <w:szCs w:val="18"/>
          <w:color w:val="auto"/>
        </w:rPr>
      </w:pPr>
    </w:p>
    <w:p>
      <w:pPr>
        <w:ind w:left="1300" w:right="60" w:firstLine="653"/>
        <w:spacing w:after="0" w:line="255" w:lineRule="auto"/>
        <w:tabs>
          <w:tab w:leader="none" w:pos="261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93" w:lineRule="exact"/>
        <w:rPr>
          <w:rFonts w:ascii="Arial" w:cs="Arial" w:eastAsia="Arial" w:hAnsi="Arial"/>
          <w:sz w:val="18"/>
          <w:szCs w:val="18"/>
          <w:color w:val="auto"/>
        </w:rPr>
      </w:pPr>
    </w:p>
    <w:p>
      <w:pPr>
        <w:ind w:left="1300" w:right="320" w:firstLine="653"/>
        <w:spacing w:after="0" w:line="308" w:lineRule="auto"/>
        <w:tabs>
          <w:tab w:leader="none" w:pos="260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46" w:lineRule="exact"/>
        <w:rPr>
          <w:rFonts w:ascii="Arial" w:cs="Arial" w:eastAsia="Arial" w:hAnsi="Arial"/>
          <w:sz w:val="17"/>
          <w:szCs w:val="17"/>
          <w:color w:val="auto"/>
        </w:rPr>
      </w:pPr>
    </w:p>
    <w:p>
      <w:pPr>
        <w:ind w:left="1300" w:right="220" w:firstLine="653"/>
        <w:spacing w:after="0" w:line="273" w:lineRule="auto"/>
        <w:tabs>
          <w:tab w:leader="none" w:pos="261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right="220" w:firstLine="1305"/>
        <w:spacing w:after="0" w:line="342" w:lineRule="auto"/>
        <w:tabs>
          <w:tab w:leader="none" w:pos="19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w:t>
      </w:r>
    </w:p>
    <w:p>
      <w:pPr>
        <w:sectPr>
          <w:pgSz w:w="11900" w:h="16975" w:orient="portrait"/>
          <w:cols w:equalWidth="0" w:num="1">
            <w:col w:w="11420"/>
          </w:cols>
          <w:pgMar w:left="240" w:top="341" w:right="239" w:bottom="0" w:gutter="0" w:footer="0" w:header="0"/>
        </w:sectPr>
      </w:pPr>
    </w:p>
    <w:bookmarkStart w:id="71" w:name="page72"/>
    <w:bookmarkEnd w:id="71"/>
    <w:p>
      <w:pPr>
        <w:spacing w:after="0" w:line="13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Unitholders, such withdrawal to take effect on the date specified in such notice; (ii) at any time that the General Partner ceases to be the General Partner pursuant to Section 11.1(a)(ii) or is removed pursuant to Section 11.2; or (iii)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as the case may be, of the other Group Members of which the General Partner is a general partner or a managing member. If, prior to the effective date of the General Partner’s withdrawal, a successor is not selected by the Unitholders as provided herein or the Partnership does not receive an Opinion of Counsel (“</w:t>
      </w:r>
      <w:r>
        <w:rPr>
          <w:rFonts w:ascii="Arial" w:cs="Arial" w:eastAsia="Arial" w:hAnsi="Arial"/>
          <w:sz w:val="17"/>
          <w:szCs w:val="17"/>
          <w:i w:val="1"/>
          <w:iCs w:val="1"/>
          <w:color w:val="auto"/>
        </w:rPr>
        <w:t>Withdrawal Opinion of Counsel</w:t>
      </w:r>
      <w:r>
        <w:rPr>
          <w:rFonts w:ascii="Arial" w:cs="Arial" w:eastAsia="Arial" w:hAnsi="Arial"/>
          <w:sz w:val="17"/>
          <w:szCs w:val="17"/>
          <w:color w:val="auto"/>
        </w:rPr>
        <w:t>”), the Partnership shall be dissolved in accordance with Section 12.1. Any successor General Partner elected in accordance with the terms of this Section 11.1 shall be subject to the provisions of Section 10.3.</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i w:val="1"/>
          <w:iCs w:val="1"/>
          <w:color w:val="auto"/>
        </w:rPr>
        <w:t>Removal of the General Partner</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 xml:space="preserve">The General Partner may be removed if such removal is approved by the Unitholders holding at least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i w:val="1"/>
          <w:iCs w:val="1"/>
          <w:color w:val="auto"/>
        </w:rPr>
        <w:t>Interest of Departing Partner and Successor General Partner</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9" w:lineRule="auto"/>
        <w:tabs>
          <w:tab w:leader="none" w:pos="194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require its successor to purchase its General Partner Interest and its general partner interest (or equivalent interest) in the other Group Members, if any (collectively, the “</w:t>
      </w:r>
      <w:r>
        <w:rPr>
          <w:rFonts w:ascii="Arial" w:cs="Arial" w:eastAsia="Arial" w:hAnsi="Arial"/>
          <w:sz w:val="16"/>
          <w:szCs w:val="16"/>
          <w:i w:val="1"/>
          <w:iCs w:val="1"/>
          <w:color w:val="auto"/>
        </w:rPr>
        <w:t>Combined Interest</w:t>
      </w:r>
      <w:r>
        <w:rPr>
          <w:rFonts w:ascii="Arial" w:cs="Arial" w:eastAsia="Arial" w:hAnsi="Arial"/>
          <w:sz w:val="16"/>
          <w:szCs w:val="16"/>
          <w:color w:val="auto"/>
        </w:rPr>
        <w:t>”),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such successor shall purchase the Combined Interest for such fair market value of such Combined Interest. In either event, the Departing Partner shall be entitled to receive all reimbursements due such Departing Partner pursuant to Section 7.4, including any employee-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related liabilities (including severance liabilities), incurred in connection with the termination of any employees employed by the General Partner for the benefit of the Partnership or the other Group Members.</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 any National Securities Exchange on which Units are then listed, the value of the Partnership’s assets, the rights and obligations of the Departing Partner and other factors it may deem relevant.</w:t>
      </w:r>
    </w:p>
    <w:p>
      <w:pPr>
        <w:spacing w:after="0" w:line="169" w:lineRule="exact"/>
        <w:rPr>
          <w:sz w:val="20"/>
          <w:szCs w:val="20"/>
          <w:color w:val="auto"/>
        </w:rPr>
      </w:pPr>
    </w:p>
    <w:p>
      <w:pPr>
        <w:ind w:firstLine="1305"/>
        <w:spacing w:after="0" w:line="272" w:lineRule="auto"/>
        <w:tabs>
          <w:tab w:leader="none" w:pos="195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i w:val="1"/>
          <w:iCs w:val="1"/>
          <w:color w:val="auto"/>
        </w:rPr>
        <w:t>Withdrawal of Limited Partners</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w:t>
      </w:r>
    </w:p>
    <w:p>
      <w:pPr>
        <w:sectPr>
          <w:pgSz w:w="11900" w:h="16975" w:orient="portrait"/>
          <w:cols w:equalWidth="0" w:num="1">
            <w:col w:w="11420"/>
          </w:cols>
          <w:pgMar w:left="240" w:top="125" w:right="239" w:bottom="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with respect to the Limited Partner Interest so transferred.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i w:val="1"/>
          <w:iCs w:val="1"/>
          <w:color w:val="auto"/>
        </w:rPr>
        <w:t>Dissolution</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71" w:lineRule="exact"/>
        <w:rPr>
          <w:sz w:val="20"/>
          <w:szCs w:val="20"/>
          <w:color w:val="auto"/>
        </w:rPr>
      </w:pPr>
    </w:p>
    <w:p>
      <w:pPr>
        <w:ind w:left="1940" w:hanging="635"/>
        <w:spacing w:after="0"/>
        <w:tabs>
          <w:tab w:leader="none" w:pos="19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expiration of its term as provided in Section 2.7;</w:t>
      </w:r>
    </w:p>
    <w:p>
      <w:pPr>
        <w:spacing w:after="0" w:line="225" w:lineRule="exact"/>
        <w:rPr>
          <w:rFonts w:ascii="Arial" w:cs="Arial" w:eastAsia="Arial" w:hAnsi="Arial"/>
          <w:sz w:val="18"/>
          <w:szCs w:val="18"/>
          <w:color w:val="auto"/>
        </w:rPr>
      </w:pPr>
    </w:p>
    <w:p>
      <w:pPr>
        <w:ind w:right="60" w:firstLine="1305"/>
        <w:spacing w:after="0" w:line="291" w:lineRule="auto"/>
        <w:tabs>
          <w:tab w:leader="none" w:pos="19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w:t>
      </w:r>
    </w:p>
    <w:p>
      <w:pPr>
        <w:spacing w:after="0"/>
        <w:rPr>
          <w:rFonts w:ascii="Arial" w:cs="Arial" w:eastAsia="Arial" w:hAnsi="Arial"/>
          <w:sz w:val="16"/>
          <w:szCs w:val="16"/>
          <w:color w:val="auto"/>
        </w:rPr>
      </w:pPr>
      <w:r>
        <w:rPr>
          <w:rFonts w:ascii="Arial" w:cs="Arial" w:eastAsia="Arial" w:hAnsi="Arial"/>
          <w:sz w:val="18"/>
          <w:szCs w:val="18"/>
          <w:color w:val="auto"/>
        </w:rPr>
        <w:t>Section 10.3;</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Unit Majority;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the provisions of the Delaware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and properties of the Partnership Group.</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i w:val="1"/>
          <w:iCs w:val="1"/>
          <w:color w:val="auto"/>
        </w:rPr>
        <w:t>Continuation of the Business of the Partnership After Dissolution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67" w:lineRule="exact"/>
        <w:rPr>
          <w:sz w:val="20"/>
          <w:szCs w:val="20"/>
          <w:color w:val="auto"/>
        </w:rPr>
      </w:pPr>
    </w:p>
    <w:p>
      <w:pPr>
        <w:ind w:left="1300" w:right="300" w:firstLine="653"/>
        <w:spacing w:after="0" w:line="277" w:lineRule="auto"/>
        <w:tabs>
          <w:tab w:leader="none" w:pos="261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reconstituted Partnership shall continue until the end of the term set forth in Section 2.7 unless earlier dissolved in accordance with this Article XII;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firstLine="653"/>
        <w:spacing w:after="0" w:line="277" w:lineRule="auto"/>
        <w:tabs>
          <w:tab w:leader="none" w:pos="262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treated in the manner provided in Section 11.3; and</w:t>
      </w:r>
    </w:p>
    <w:p>
      <w:pPr>
        <w:spacing w:after="0" w:line="170" w:lineRule="exact"/>
        <w:rPr>
          <w:rFonts w:ascii="Arial" w:cs="Arial" w:eastAsia="Arial" w:hAnsi="Arial"/>
          <w:sz w:val="18"/>
          <w:szCs w:val="18"/>
          <w:color w:val="auto"/>
        </w:rPr>
      </w:pPr>
    </w:p>
    <w:p>
      <w:pPr>
        <w:ind w:left="1300" w:right="40" w:firstLine="653"/>
        <w:spacing w:after="0" w:line="271" w:lineRule="auto"/>
        <w:tabs>
          <w:tab w:leader="none" w:pos="263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7"/>
          <w:szCs w:val="17"/>
          <w:i w:val="1"/>
          <w:iCs w:val="1"/>
          <w:color w:val="auto"/>
        </w:rPr>
        <w:t>Liquidator</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 Unit Majority. The Liquidator (if other than the General Partner) shall agree not to resign at any time without 15 days’ prior notice and may be removed at any time, with or without cause, by notice of removal approved by holders of a Unit Majority. Upon dissolution, removal or resignation of the Liquidator, a successor and substitute Liquidator (who shall have and succeed to all rights, powers and duties of the original Liquidator) shall within 30 days thereafter be approved by holders of a Unit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w:t>
      </w:r>
    </w:p>
    <w:p>
      <w:pPr>
        <w:spacing w:after="0" w:line="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9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7"/>
          <w:szCs w:val="17"/>
          <w:i w:val="1"/>
          <w:iCs w:val="1"/>
          <w:color w:val="auto"/>
        </w:rPr>
        <w:t>Liquidation</w:t>
      </w:r>
      <w:r>
        <w:rPr>
          <w:rFonts w:ascii="Arial" w:cs="Arial" w:eastAsia="Arial" w:hAnsi="Arial"/>
          <w:sz w:val="17"/>
          <w:szCs w:val="17"/>
          <w:color w:val="auto"/>
        </w:rPr>
        <w:t>.</w:t>
      </w:r>
    </w:p>
    <w:p>
      <w:pPr>
        <w:sectPr>
          <w:pgSz w:w="11900" w:h="16838" w:orient="portrait"/>
          <w:cols w:equalWidth="0" w:num="1">
            <w:col w:w="11400"/>
          </w:cols>
          <w:pgMar w:left="240" w:top="125" w:right="259" w:bottom="32" w:gutter="0" w:footer="0" w:header="0"/>
        </w:sectPr>
      </w:pPr>
    </w:p>
    <w:bookmarkStart w:id="73" w:name="page74"/>
    <w:bookmarkEnd w:id="73"/>
    <w:p>
      <w:pPr>
        <w:ind w:right="20" w:firstLine="648"/>
        <w:spacing w:after="0" w:line="277" w:lineRule="auto"/>
        <w:rPr>
          <w:sz w:val="20"/>
          <w:szCs w:val="20"/>
          <w:color w:val="auto"/>
        </w:rPr>
      </w:pPr>
      <w:r>
        <w:rPr>
          <w:rFonts w:ascii="Arial" w:cs="Arial" w:eastAsia="Arial" w:hAnsi="Arial"/>
          <w:sz w:val="18"/>
          <w:szCs w:val="18"/>
          <w:color w:val="auto"/>
        </w:rPr>
        <w:t>The Liquidator shall proceed to dispose of the assets of the Partnership, discharge its liabilities, and otherwise wind up its affairs in such manner and over such period as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Liquidator determines to be in the best interest of the Partners, subject to Section 17-804 of the Delaware Act and the following:</w:t>
      </w:r>
    </w:p>
    <w:p>
      <w:pPr>
        <w:spacing w:after="0" w:line="225" w:lineRule="exact"/>
        <w:rPr>
          <w:sz w:val="20"/>
          <w:szCs w:val="20"/>
          <w:color w:val="auto"/>
        </w:rPr>
      </w:pPr>
    </w:p>
    <w:p>
      <w:pPr>
        <w:ind w:firstLine="1305"/>
        <w:spacing w:after="0" w:line="285" w:lineRule="auto"/>
        <w:tabs>
          <w:tab w:leader="none" w:pos="1942"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Disposition of Assets</w:t>
      </w:r>
      <w:r>
        <w:rPr>
          <w:rFonts w:ascii="Arial" w:cs="Arial" w:eastAsia="Arial" w:hAnsi="Arial"/>
          <w:sz w:val="16"/>
          <w:szCs w:val="16"/>
          <w:color w:val="auto"/>
        </w:rPr>
        <w:t>. The assets may be disposed of by public or private sale or by distribution in kind to one or more Partners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w:t>
      </w:r>
    </w:p>
    <w:p>
      <w:pPr>
        <w:spacing w:after="0" w:line="2"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The Liquidator may, in its absolute discretion, distribute the Partnership’s assets, in whole or in part, in kind if it determines that a sale would be impractical or would cause undue loss to the Partners.</w:t>
      </w:r>
    </w:p>
    <w:p>
      <w:pPr>
        <w:spacing w:after="0" w:line="183" w:lineRule="exact"/>
        <w:rPr>
          <w:rFonts w:ascii="Arial" w:cs="Arial" w:eastAsia="Arial" w:hAnsi="Arial"/>
          <w:sz w:val="16"/>
          <w:szCs w:val="16"/>
          <w:color w:val="auto"/>
        </w:rPr>
      </w:pPr>
    </w:p>
    <w:p>
      <w:pPr>
        <w:ind w:right="360" w:firstLine="1305"/>
        <w:spacing w:after="0" w:line="279" w:lineRule="auto"/>
        <w:tabs>
          <w:tab w:leader="none" w:pos="1952"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t>Discharge of Liabilities</w:t>
      </w:r>
      <w:r>
        <w:rPr>
          <w:rFonts w:ascii="Arial" w:cs="Arial" w:eastAsia="Arial" w:hAnsi="Arial"/>
          <w:sz w:val="17"/>
          <w:szCs w:val="17"/>
          <w:color w:val="auto"/>
        </w:rPr>
        <w:t>. Liabilities of the Partnership include amounts owed to Partners otherwise than in respect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Liquidation Distributions</w:t>
      </w:r>
      <w:r>
        <w:rPr>
          <w:rFonts w:ascii="Arial" w:cs="Arial" w:eastAsia="Arial" w:hAnsi="Arial"/>
          <w:sz w:val="18"/>
          <w:szCs w:val="18"/>
          <w:color w:val="auto"/>
        </w:rPr>
        <w:t>. All property and all cash in excess of that required to discharge liabilities as provided in</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Section 12.4(b) and that required to satisfy the Capital Accounts relating to the Series A Preferred Units as provided for under Section 5.14(b)(xiii)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19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i w:val="1"/>
          <w:iCs w:val="1"/>
          <w:color w:val="auto"/>
        </w:rPr>
        <w:t>Cancellation of 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i w:val="1"/>
          <w:iCs w:val="1"/>
          <w:color w:val="auto"/>
        </w:rPr>
        <w:t>Return of Contributions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7"/>
          <w:szCs w:val="17"/>
          <w:i w:val="1"/>
          <w:iCs w:val="1"/>
          <w:color w:val="auto"/>
        </w:rPr>
        <w:t>Waiver of Partition</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maximum extent permitted by law, each Partner hereby waives any right to partition of the Partnership property.</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6"/>
          <w:szCs w:val="16"/>
          <w:i w:val="1"/>
          <w:iCs w:val="1"/>
          <w:color w:val="auto"/>
        </w:rPr>
        <w:t>Capital Account Restoration.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OF PARTNERSHIP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MEETINGS; RECORD DATE</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6"/>
          <w:szCs w:val="16"/>
          <w:i w:val="1"/>
          <w:iCs w:val="1"/>
          <w:color w:val="auto"/>
        </w:rPr>
        <w:t>Amendment to be Adopted Solely by the General Partner</w:t>
      </w:r>
      <w:r>
        <w:rPr>
          <w:rFonts w:ascii="Arial" w:cs="Arial" w:eastAsia="Arial" w:hAnsi="Arial"/>
          <w:sz w:val="16"/>
          <w:szCs w:val="16"/>
          <w:color w:val="auto"/>
        </w:rPr>
        <w:t>.</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47" w:lineRule="exact"/>
        <w:rPr>
          <w:sz w:val="20"/>
          <w:szCs w:val="20"/>
          <w:color w:val="auto"/>
        </w:rPr>
      </w:pPr>
    </w:p>
    <w:p>
      <w:pPr>
        <w:ind w:right="220" w:firstLine="1305"/>
        <w:spacing w:after="0" w:line="277" w:lineRule="auto"/>
        <w:tabs>
          <w:tab w:leader="none" w:pos="194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admission, substitution, withdrawal or removal of Partners in accordance with this Agreement;</w:t>
      </w:r>
    </w:p>
    <w:p>
      <w:pPr>
        <w:spacing w:after="0" w:line="225" w:lineRule="exact"/>
        <w:rPr>
          <w:rFonts w:ascii="Arial" w:cs="Arial" w:eastAsia="Arial" w:hAnsi="Arial"/>
          <w:sz w:val="18"/>
          <w:szCs w:val="18"/>
          <w:color w:val="auto"/>
        </w:rPr>
      </w:pPr>
    </w:p>
    <w:p>
      <w:pPr>
        <w:ind w:right="40" w:firstLine="1305"/>
        <w:spacing w:after="0" w:line="259" w:lineRule="auto"/>
        <w:tabs>
          <w:tab w:leader="none" w:pos="19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and the Operating Partnerships will not be treated as an association taxable as a corporation or otherwise taxed as an entity for federal income tax purposes;</w:t>
      </w:r>
    </w:p>
    <w:p>
      <w:pPr>
        <w:sectPr>
          <w:pgSz w:w="11900" w:h="16838" w:orient="portrait"/>
          <w:cols w:equalWidth="0" w:num="1">
            <w:col w:w="11380"/>
          </w:cols>
          <w:pgMar w:left="240" w:top="125" w:right="279" w:bottom="0" w:gutter="0" w:footer="0" w:header="0"/>
        </w:sectPr>
      </w:pPr>
    </w:p>
    <w:bookmarkStart w:id="74" w:name="page75"/>
    <w:bookmarkEnd w:id="74"/>
    <w:p>
      <w:pPr>
        <w:ind w:left="1960" w:hanging="655"/>
        <w:spacing w:after="0"/>
        <w:tabs>
          <w:tab w:leader="none" w:pos="196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 change that, in the discretion of the General Partner, (i) does not adversely affect the Limited Partners in any material respect,</w:t>
      </w:r>
    </w:p>
    <w:p>
      <w:pPr>
        <w:spacing w:after="0" w:line="46" w:lineRule="exact"/>
        <w:rPr>
          <w:rFonts w:ascii="Arial" w:cs="Arial" w:eastAsia="Arial" w:hAnsi="Arial"/>
          <w:sz w:val="16"/>
          <w:szCs w:val="16"/>
          <w:color w:val="auto"/>
        </w:rPr>
      </w:pPr>
    </w:p>
    <w:p>
      <w:pPr>
        <w:ind w:right="40" w:firstLine="8"/>
        <w:spacing w:after="0" w:line="269" w:lineRule="auto"/>
        <w:tabs>
          <w:tab w:leader="none" w:pos="26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 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intent expressed in the Registration Statement or the intent of the provisions of this Agreement or is otherwise contemplated by this Agreement;</w:t>
      </w:r>
    </w:p>
    <w:p>
      <w:pPr>
        <w:spacing w:after="0" w:line="237" w:lineRule="exact"/>
        <w:rPr>
          <w:sz w:val="20"/>
          <w:szCs w:val="20"/>
          <w:color w:val="auto"/>
        </w:rPr>
      </w:pPr>
    </w:p>
    <w:p>
      <w:pPr>
        <w:ind w:firstLine="1305"/>
        <w:spacing w:after="0" w:line="264" w:lineRule="auto"/>
        <w:tabs>
          <w:tab w:leader="none" w:pos="19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1" w:lineRule="exact"/>
        <w:rPr>
          <w:rFonts w:ascii="Arial" w:cs="Arial" w:eastAsia="Arial" w:hAnsi="Arial"/>
          <w:sz w:val="18"/>
          <w:szCs w:val="18"/>
          <w:color w:val="auto"/>
        </w:rPr>
      </w:pPr>
    </w:p>
    <w:p>
      <w:pPr>
        <w:ind w:right="80" w:firstLine="1305"/>
        <w:spacing w:after="0" w:line="302" w:lineRule="auto"/>
        <w:tabs>
          <w:tab w:leader="none" w:pos="194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54" w:lineRule="exact"/>
        <w:rPr>
          <w:rFonts w:ascii="Arial" w:cs="Arial" w:eastAsia="Arial" w:hAnsi="Arial"/>
          <w:sz w:val="16"/>
          <w:szCs w:val="16"/>
          <w:color w:val="auto"/>
        </w:rPr>
      </w:pPr>
    </w:p>
    <w:p>
      <w:pPr>
        <w:ind w:right="360" w:firstLine="1305"/>
        <w:spacing w:after="0" w:line="277" w:lineRule="auto"/>
        <w:tabs>
          <w:tab w:leader="none" w:pos="19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terms of Section 5.6(d), an amendment that, in the discretion of the General Partner, is necessary or advisable in connection with the authorization of issuance of any class or series of Partnership Securities pursuant to Section 5.6;</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Section 14.3;</w:t>
      </w:r>
    </w:p>
    <w:p>
      <w:pPr>
        <w:spacing w:after="0" w:line="236" w:lineRule="exact"/>
        <w:rPr>
          <w:rFonts w:ascii="Arial" w:cs="Arial" w:eastAsia="Arial" w:hAnsi="Arial"/>
          <w:sz w:val="17"/>
          <w:szCs w:val="17"/>
          <w:color w:val="auto"/>
        </w:rPr>
      </w:pPr>
    </w:p>
    <w:p>
      <w:pPr>
        <w:ind w:right="20" w:firstLine="1305"/>
        <w:spacing w:after="0" w:line="264" w:lineRule="auto"/>
        <w:tabs>
          <w:tab w:leader="none" w:pos="195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merger or conveyance pursuant to Section 14.3(d);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5"/>
          <w:szCs w:val="15"/>
          <w:i w:val="1"/>
          <w:iCs w:val="1"/>
          <w:color w:val="auto"/>
        </w:rPr>
        <w:t>Amendment Procedures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the Unitholders to consider and vote on such proposed amendment. The General Partner shall notify all Record Holders upon final adoption of any such proposed amendments.</w:t>
      </w:r>
    </w:p>
    <w:p>
      <w:pPr>
        <w:spacing w:after="0" w:line="3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5"/>
          <w:szCs w:val="15"/>
          <w:i w:val="1"/>
          <w:iCs w:val="1"/>
          <w:color w:val="auto"/>
        </w:rPr>
        <w:t>Amendment Requirements</w:t>
      </w:r>
      <w:r>
        <w:rPr>
          <w:rFonts w:ascii="Arial" w:cs="Arial" w:eastAsia="Arial" w:hAnsi="Arial"/>
          <w:sz w:val="15"/>
          <w:szCs w:val="15"/>
          <w:color w:val="auto"/>
        </w:rPr>
        <w:t>.</w:t>
      </w:r>
    </w:p>
    <w:p>
      <w:pPr>
        <w:spacing w:after="0" w:line="225" w:lineRule="exact"/>
        <w:rPr>
          <w:sz w:val="20"/>
          <w:szCs w:val="20"/>
          <w:color w:val="auto"/>
        </w:rPr>
      </w:pPr>
    </w:p>
    <w:p>
      <w:pPr>
        <w:ind w:right="340" w:firstLine="1305"/>
        <w:spacing w:after="0" w:line="302" w:lineRule="auto"/>
        <w:tabs>
          <w:tab w:leader="none" w:pos="194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54" w:lineRule="exact"/>
        <w:rPr>
          <w:rFonts w:ascii="Arial" w:cs="Arial" w:eastAsia="Arial" w:hAnsi="Arial"/>
          <w:sz w:val="16"/>
          <w:szCs w:val="16"/>
          <w:color w:val="auto"/>
        </w:rPr>
      </w:pPr>
    </w:p>
    <w:p>
      <w:pPr>
        <w:ind w:right="60" w:firstLine="1305"/>
        <w:spacing w:after="0" w:line="291" w:lineRule="auto"/>
        <w:tabs>
          <w:tab w:leader="none" w:pos="195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w:t>
      </w:r>
    </w:p>
    <w:p>
      <w:pPr>
        <w:ind w:right="580" w:firstLine="8"/>
        <w:spacing w:after="0" w:line="254"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 (iv) change the term of the Partnership or, except as set forth in Section 12.1(c), give any Person the right to dissolve the Partnership.</w:t>
      </w:r>
    </w:p>
    <w:p>
      <w:pPr>
        <w:spacing w:after="0" w:line="189" w:lineRule="exact"/>
        <w:rPr>
          <w:rFonts w:ascii="Arial" w:cs="Arial" w:eastAsia="Arial" w:hAnsi="Arial"/>
          <w:sz w:val="18"/>
          <w:szCs w:val="18"/>
          <w:color w:val="auto"/>
        </w:rPr>
      </w:pPr>
    </w:p>
    <w:p>
      <w:pPr>
        <w:jc w:val="both"/>
        <w:ind w:right="100" w:firstLine="1305"/>
        <w:spacing w:after="0" w:line="259" w:lineRule="auto"/>
        <w:tabs>
          <w:tab w:leader="none" w:pos="195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ectPr>
          <w:pgSz w:w="11900" w:h="16838" w:orient="portrait"/>
          <w:cols w:equalWidth="0" w:num="1">
            <w:col w:w="11400"/>
          </w:cols>
          <w:pgMar w:left="240" w:top="125" w:right="259" w:bottom="0" w:gutter="0" w:footer="0" w:header="0"/>
        </w:sectPr>
      </w:pPr>
    </w:p>
    <w:bookmarkStart w:id="75" w:name="page76"/>
    <w:bookmarkEnd w:id="75"/>
    <w:p>
      <w:pPr>
        <w:ind w:right="140" w:firstLine="1305"/>
        <w:spacing w:after="0" w:line="259" w:lineRule="auto"/>
        <w:tabs>
          <w:tab w:leader="none" w:pos="19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Common Units unless the Partnership obtains an Opinion of Counsel to the effect that such amendment will not affect the limited liability of any Limited Partner under applicable law.</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Except as provided in Section 13.1, this Section 13.3 shall only be amended with the approval of the holders of at least 90%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 Units.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All acts of Limited Partners to be taken pursuant to this Agreement shall be taken in the manner provided in this Article XIII.</w:t>
      </w:r>
    </w:p>
    <w:p>
      <w:pPr>
        <w:spacing w:after="0" w:line="236"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54" w:lineRule="exact"/>
        <w:rPr>
          <w:sz w:val="20"/>
          <w:szCs w:val="20"/>
          <w:color w:val="auto"/>
        </w:rPr>
      </w:pPr>
    </w:p>
    <w:p>
      <w:pPr>
        <w:ind w:right="60" w:firstLine="1305"/>
        <w:spacing w:after="0" w:line="254" w:lineRule="auto"/>
        <w:tabs>
          <w:tab w:leader="none" w:pos="19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Promptly after PAGP partners receive notice that a vote will be required in any election of PAGP Eligible Directors, the General Partner shall call a meeting of the Limited Partners for the purpose of submitting such election to a vote of the Limited Partners (other than Plains AAP with respect to any Common Units owned by it) (the “Eligible Limited Partners”) and provide to such Eligible Limited Partners the information regarding such election that was provided to the PAGP partners. Such meeting shall occur as close in time to the PAGP meeting for the election of PAGP Eligible Directors as reasonably practicable, but in no event later than immediately prior to such PAGP meeting. Promptly after expiration of the deadline for voting at meetings called pursuant to this Section 13.4(c), the Partnership, acting in its capacity as a partner of PAGP, shall vote (or refrain from voting) the PAGP Class C Shares it holds at the meeting for the election of such PAGP Eligible Directors in the same proportion as the Eligible Limited Partners voted (or refrained from voting) their Units on the election.</w:t>
      </w:r>
    </w:p>
    <w:p>
      <w:pPr>
        <w:spacing w:after="0" w:line="192" w:lineRule="exact"/>
        <w:rPr>
          <w:rFonts w:ascii="Arial" w:cs="Arial" w:eastAsia="Arial" w:hAnsi="Arial"/>
          <w:sz w:val="18"/>
          <w:szCs w:val="18"/>
          <w:color w:val="auto"/>
        </w:rPr>
      </w:pPr>
    </w:p>
    <w:p>
      <w:pPr>
        <w:ind w:right="20" w:firstLine="1305"/>
        <w:spacing w:after="0" w:line="272" w:lineRule="auto"/>
        <w:tabs>
          <w:tab w:leader="none" w:pos="195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Any meeting of Limited Partners shall be held at a time and place determined by the General Partner on a date not less than 10 days nor more than 60 days after the time notice of the meeting is given as provided in Section 13.5. If authorized by the General Partner, and subject to such guidelines and procedures as the General Partner may adopt, Limited Partners and proxyholders not physically present at a meeting of the Limited Partners, may by means of remote communication participate in such meeting, and be deemed present in person and vote at such meeting; provided that the Partnership shall implement reasonable measures to verify that each Person deemed present and permitted to vote at the meeting by means of remote communication is a Limited Partner or proxyholder, to provide such Limited Partner or proxyholders a reasonable opportunity to participate in the meeting and to record the votes or other action made by such Limited Partner or proxyholders.</w:t>
      </w:r>
    </w:p>
    <w:p>
      <w:pPr>
        <w:spacing w:after="0" w:line="177" w:lineRule="exact"/>
        <w:rPr>
          <w:rFonts w:ascii="Arial" w:cs="Arial" w:eastAsia="Arial" w:hAnsi="Arial"/>
          <w:sz w:val="17"/>
          <w:szCs w:val="17"/>
          <w:color w:val="auto"/>
        </w:rPr>
      </w:pPr>
    </w:p>
    <w:p>
      <w:pPr>
        <w:ind w:firstLine="1305"/>
        <w:spacing w:after="0" w:line="264" w:lineRule="auto"/>
        <w:tabs>
          <w:tab w:leader="none" w:pos="19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a meeting pursuant to Section 13.4(c) is not held on the date designated therefor, the General Partner shall cause the meeting to be held as soon as is convenient. Subject to Section 13.11, nothing in this Section 13.4 shall prevent the Limited Partners from taking any authorized action by means of a consent in writing or by electronic transmission.</w:t>
      </w:r>
    </w:p>
    <w:p>
      <w:pPr>
        <w:spacing w:after="0" w:line="181" w:lineRule="exact"/>
        <w:rPr>
          <w:rFonts w:ascii="Arial" w:cs="Arial" w:eastAsia="Arial" w:hAnsi="Arial"/>
          <w:sz w:val="18"/>
          <w:szCs w:val="18"/>
          <w:color w:val="auto"/>
        </w:rPr>
      </w:pPr>
    </w:p>
    <w:p>
      <w:pPr>
        <w:ind w:right="20" w:firstLine="1305"/>
        <w:spacing w:after="0" w:line="257" w:lineRule="auto"/>
        <w:tabs>
          <w:tab w:leader="none" w:pos="194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exercise by an Eligible Limited Partner of the right to vote to direct the General Partner to cause the Partnership to vote its PAGP Class C Shares in an election of the PAGP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13.5</w:t>
      </w:r>
      <w:r>
        <w:rPr>
          <w:sz w:val="20"/>
          <w:szCs w:val="20"/>
          <w:color w:val="auto"/>
        </w:rPr>
        <w:tab/>
      </w:r>
      <w:r>
        <w:rPr>
          <w:rFonts w:ascii="Arial" w:cs="Arial" w:eastAsia="Arial" w:hAnsi="Arial"/>
          <w:sz w:val="16"/>
          <w:szCs w:val="16"/>
          <w:i w:val="1"/>
          <w:iCs w:val="1"/>
          <w:color w:val="auto"/>
        </w:rPr>
        <w:t>Notice of a Meeting</w:t>
      </w:r>
      <w:r>
        <w:rPr>
          <w:rFonts w:ascii="Arial" w:cs="Arial" w:eastAsia="Arial" w:hAnsi="Arial"/>
          <w:sz w:val="16"/>
          <w:szCs w:val="16"/>
          <w:color w:val="auto"/>
        </w:rPr>
        <w: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13.6</w:t>
      </w:r>
      <w:r>
        <w:rPr>
          <w:sz w:val="20"/>
          <w:szCs w:val="20"/>
          <w:color w:val="auto"/>
        </w:rPr>
        <w:tab/>
      </w:r>
      <w:r>
        <w:rPr>
          <w:rFonts w:ascii="Arial" w:cs="Arial" w:eastAsia="Arial" w:hAnsi="Arial"/>
          <w:sz w:val="16"/>
          <w:szCs w:val="16"/>
          <w:i w:val="1"/>
          <w:iCs w:val="1"/>
          <w:color w:val="auto"/>
        </w:rPr>
        <w:t>Record Date</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8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13.7</w:t>
      </w:r>
      <w:r>
        <w:rPr>
          <w:sz w:val="20"/>
          <w:szCs w:val="20"/>
          <w:color w:val="auto"/>
        </w:rPr>
        <w:tab/>
      </w:r>
      <w:r>
        <w:rPr>
          <w:rFonts w:ascii="Arial" w:cs="Arial" w:eastAsia="Arial" w:hAnsi="Arial"/>
          <w:sz w:val="16"/>
          <w:szCs w:val="16"/>
          <w:i w:val="1"/>
          <w:iCs w:val="1"/>
          <w:color w:val="auto"/>
        </w:rPr>
        <w:t>Adjournment</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76" w:name="page77"/>
    <w:bookmarkEnd w:id="76"/>
    <w:p>
      <w:pPr>
        <w:jc w:val="both"/>
        <w:ind w:right="80" w:firstLine="648"/>
        <w:spacing w:after="0" w:line="302" w:lineRule="auto"/>
        <w:rPr>
          <w:sz w:val="20"/>
          <w:szCs w:val="20"/>
          <w:color w:val="auto"/>
        </w:rPr>
      </w:pPr>
      <w:r>
        <w:rPr>
          <w:rFonts w:ascii="Arial" w:cs="Arial" w:eastAsia="Arial" w:hAnsi="Arial"/>
          <w:sz w:val="16"/>
          <w:szCs w:val="16"/>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that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13.8</w:t>
      </w:r>
      <w:r>
        <w:rPr>
          <w:sz w:val="20"/>
          <w:szCs w:val="20"/>
          <w:color w:val="auto"/>
        </w:rPr>
        <w:tab/>
      </w:r>
      <w:r>
        <w:rPr>
          <w:rFonts w:ascii="Arial" w:cs="Arial" w:eastAsia="Arial" w:hAnsi="Arial"/>
          <w:sz w:val="16"/>
          <w:szCs w:val="16"/>
          <w:i w:val="1"/>
          <w:iCs w:val="1"/>
          <w:color w:val="auto"/>
        </w:rPr>
        <w:t>Waiver of Notice; Approval of Meeting; Approval of Minutes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that attendance at a meeting is not a waiver of any right to disapprove the consideration of matters required to be included in the notice of the meeting, but not so included, if the disapproval is expressly made at the meeting.</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13.9</w:t>
      </w:r>
      <w:r>
        <w:rPr>
          <w:sz w:val="20"/>
          <w:szCs w:val="20"/>
          <w:color w:val="auto"/>
        </w:rPr>
        <w:tab/>
      </w:r>
      <w:r>
        <w:rPr>
          <w:rFonts w:ascii="Arial" w:cs="Arial" w:eastAsia="Arial" w:hAnsi="Arial"/>
          <w:sz w:val="16"/>
          <w:szCs w:val="16"/>
          <w:i w:val="1"/>
          <w:iCs w:val="1"/>
          <w:color w:val="auto"/>
        </w:rPr>
        <w:t>Quorum; Required Vote for Limited Partner Action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(including Limited Partner Interests deemed owned by the General Partner). In the absence of a quorum any meeting of Limited Partners may be adjourned from time to time by the affirmative vote of holders of at least a majority of the Outstanding Limited Partner Interests entitled to vote at such meeting (including Limited Partner Interests deemed owned by the General Partner) represented either in person or by proxy, but no other business may be transacted, except as provided in Section 13.7.</w:t>
      </w:r>
    </w:p>
    <w:p>
      <w:pPr>
        <w:spacing w:after="0" w:line="17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i w:val="1"/>
          <w:iCs w:val="1"/>
          <w:color w:val="auto"/>
        </w:rPr>
        <w:t>Conduct of a Meeting</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i w:val="1"/>
          <w:iCs w:val="1"/>
          <w:color w:val="auto"/>
        </w:rPr>
        <w:t>Action Without a Meeting</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If authorized by the General Partner, any action that may be taken at a meeting of the Limited Partners (other than voting to direct the Partnership to vote its PAGP Class C Shares in the election of PAGP Eligible Directors pursuant to Section 13.4(c)) may be taken without a meeting, without a vote,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Voting and Other Rights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77" w:name="page78"/>
    <w:bookmarkEnd w:id="77"/>
    <w:p>
      <w:pPr>
        <w:spacing w:after="0" w:line="50" w:lineRule="exact"/>
        <w:rPr>
          <w:sz w:val="20"/>
          <w:szCs w:val="20"/>
          <w:color w:val="auto"/>
        </w:rPr>
      </w:pPr>
    </w:p>
    <w:p>
      <w:pPr>
        <w:ind w:right="20" w:firstLine="1305"/>
        <w:spacing w:after="0" w:line="257" w:lineRule="auto"/>
        <w:tabs>
          <w:tab w:leader="none" w:pos="194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Only those Record Holders of the Limited Partner Interests on the Record Date set pursuant to Section 13.6 (and also subject to the limitations contained in the definition of “</w:t>
      </w:r>
      <w:r>
        <w:rPr>
          <w:rFonts w:ascii="Arial" w:cs="Arial" w:eastAsia="Arial" w:hAnsi="Arial"/>
          <w:sz w:val="18"/>
          <w:szCs w:val="18"/>
          <w:i w:val="1"/>
          <w:iCs w:val="1"/>
          <w:color w:val="auto"/>
        </w:rPr>
        <w:t>Outstanding</w:t>
      </w:r>
      <w:r>
        <w:rPr>
          <w:rFonts w:ascii="Arial" w:cs="Arial" w:eastAsia="Arial" w:hAnsi="Arial"/>
          <w:sz w:val="18"/>
          <w:szCs w:val="18"/>
          <w:color w:val="auto"/>
        </w:rPr>
        <w:t>”)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pacing w:after="0" w:line="188" w:lineRule="exact"/>
        <w:rPr>
          <w:rFonts w:ascii="Arial" w:cs="Arial" w:eastAsia="Arial" w:hAnsi="Arial"/>
          <w:sz w:val="18"/>
          <w:szCs w:val="18"/>
          <w:color w:val="auto"/>
        </w:rPr>
      </w:pPr>
    </w:p>
    <w:p>
      <w:pPr>
        <w:ind w:right="280" w:firstLine="1305"/>
        <w:spacing w:after="0" w:line="279" w:lineRule="auto"/>
        <w:tabs>
          <w:tab w:leader="none" w:pos="195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beneficial owner, and the Partnership shall be entitled to assume it is so acting without further inquiry. The provisions of this Section 13.12(b) (as well as all other provisions of this Agreement) are subject to the provisions of Section 4.3.</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6"/>
          <w:szCs w:val="16"/>
          <w:i w:val="1"/>
          <w:iCs w:val="1"/>
          <w:color w:val="auto"/>
        </w:rPr>
        <w:t>Pass-Through Nominations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Eligible Limited Partner who was a Record Holder at the time the notice provided for in Section 13.5 for a meeting called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13.4(c) is given to the Limited Partners of a number of the Limited Partner Interests equal to 10% or more of the number of PAGP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such time may direct the General Partner to cause the Partnership to nominate a person for election as a PAGP Eligible Director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13.4(c)(ii) of the PAGP LP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Eligible Limited Partner may nominate more than one PAGP Eligible Director; </w:t>
      </w:r>
      <w:r>
        <w:rPr>
          <w:rFonts w:ascii="Arial" w:cs="Arial" w:eastAsia="Arial" w:hAnsi="Arial"/>
          <w:sz w:val="17"/>
          <w:szCs w:val="17"/>
          <w:i w:val="1"/>
          <w:iCs w:val="1"/>
          <w:color w:val="auto"/>
        </w:rPr>
        <w:t>provided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further</w:t>
      </w:r>
      <w:r>
        <w:rPr>
          <w:rFonts w:ascii="Arial" w:cs="Arial" w:eastAsia="Arial" w:hAnsi="Arial"/>
          <w:sz w:val="17"/>
          <w:szCs w:val="17"/>
          <w:color w:val="auto"/>
        </w:rPr>
        <w:t>, that any nomination pursuant to this Section 13.13 must comply with the procedures set forth in Section 13.4(c)(ii) of the PAGP LP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are incorporated herein by reference, and only such persons who are nominated in accordance with such procedures shall be eligible to be elected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PAGP Eligible Director.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MERGER</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14.1</w:t>
      </w:r>
      <w:r>
        <w:rPr>
          <w:sz w:val="20"/>
          <w:szCs w:val="20"/>
          <w:color w:val="auto"/>
        </w:rPr>
        <w:tab/>
      </w:r>
      <w:r>
        <w:rPr>
          <w:rFonts w:ascii="Arial" w:cs="Arial" w:eastAsia="Arial" w:hAnsi="Arial"/>
          <w:sz w:val="17"/>
          <w:szCs w:val="17"/>
          <w:i w:val="1"/>
          <w:iCs w:val="1"/>
          <w:color w:val="auto"/>
        </w:rPr>
        <w:t>Authority</w:t>
      </w:r>
      <w:r>
        <w:rPr>
          <w:rFonts w:ascii="Arial" w:cs="Arial" w:eastAsia="Arial" w:hAnsi="Arial"/>
          <w:sz w:val="17"/>
          <w:szCs w:val="17"/>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w:t>
      </w:r>
      <w:r>
        <w:rPr>
          <w:rFonts w:ascii="Arial" w:cs="Arial" w:eastAsia="Arial" w:hAnsi="Arial"/>
          <w:sz w:val="18"/>
          <w:szCs w:val="18"/>
          <w:i w:val="1"/>
          <w:iCs w:val="1"/>
          <w:color w:val="auto"/>
        </w:rPr>
        <w:t>Merger Agreement</w:t>
      </w:r>
      <w:r>
        <w:rPr>
          <w:rFonts w:ascii="Arial" w:cs="Arial" w:eastAsia="Arial" w:hAnsi="Arial"/>
          <w:sz w:val="18"/>
          <w:szCs w:val="18"/>
          <w:color w:val="auto"/>
        </w:rPr>
        <w:t>”) in accordance with this Article XIV.</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i w:val="1"/>
          <w:iCs w:val="1"/>
          <w:color w:val="auto"/>
        </w:rPr>
        <w:t>Procedure for Merger or Consolidation</w:t>
      </w:r>
      <w:r>
        <w:rPr>
          <w:rFonts w:ascii="Arial" w:cs="Arial" w:eastAsia="Arial" w:hAnsi="Arial"/>
          <w:sz w:val="16"/>
          <w:szCs w:val="16"/>
          <w:color w:val="auto"/>
        </w:rPr>
        <w: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81" w:lineRule="exact"/>
        <w:rPr>
          <w:sz w:val="20"/>
          <w:szCs w:val="20"/>
          <w:color w:val="auto"/>
        </w:rPr>
      </w:pPr>
    </w:p>
    <w:p>
      <w:pPr>
        <w:ind w:left="1940" w:hanging="635"/>
        <w:spacing w:after="0"/>
        <w:tabs>
          <w:tab w:leader="none" w:pos="19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36" w:lineRule="exact"/>
        <w:rPr>
          <w:rFonts w:ascii="Arial" w:cs="Arial" w:eastAsia="Arial" w:hAnsi="Arial"/>
          <w:sz w:val="17"/>
          <w:szCs w:val="17"/>
          <w:color w:val="auto"/>
        </w:rPr>
      </w:pPr>
    </w:p>
    <w:p>
      <w:pPr>
        <w:ind w:right="960" w:firstLine="1305"/>
        <w:spacing w:after="0" w:line="277" w:lineRule="auto"/>
        <w:tabs>
          <w:tab w:leader="none" w:pos="195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i w:val="1"/>
          <w:iCs w:val="1"/>
          <w:color w:val="auto"/>
        </w:rPr>
        <w:t>Surviving Business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right="540" w:firstLine="1305"/>
        <w:spacing w:after="0" w:line="342" w:lineRule="auto"/>
        <w:tabs>
          <w:tab w:leader="none" w:pos="195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78" w:lineRule="exact"/>
        <w:rPr>
          <w:sz w:val="20"/>
          <w:szCs w:val="20"/>
          <w:color w:val="auto"/>
        </w:rPr>
      </w:pPr>
    </w:p>
    <w:p>
      <w:pPr>
        <w:ind w:right="180" w:firstLine="1305"/>
        <w:spacing w:after="0" w:line="264" w:lineRule="auto"/>
        <w:tabs>
          <w:tab w:leader="none" w:pos="19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jc w:val="both"/>
        <w:ind w:right="40" w:firstLine="1305"/>
        <w:spacing w:after="0" w:line="312" w:lineRule="auto"/>
        <w:tabs>
          <w:tab w:leader="none" w:pos="194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merger or consolidation as are deemed necessary or appropriate by the General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Partner.</w:t>
      </w:r>
    </w:p>
    <w:p>
      <w:pPr>
        <w:sectPr>
          <w:pgSz w:w="11900" w:h="16888" w:orient="portrait"/>
          <w:cols w:equalWidth="0" w:num="1">
            <w:col w:w="11420"/>
          </w:cols>
          <w:pgMar w:left="240" w:top="125" w:right="239" w:bottom="0" w:gutter="0" w:footer="0" w:header="0"/>
        </w:sectPr>
      </w:pPr>
    </w:p>
    <w:bookmarkStart w:id="78" w:name="page79"/>
    <w:bookmarkEnd w:id="78"/>
    <w:p>
      <w:pPr>
        <w:spacing w:after="0" w:line="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14.3</w:t>
      </w:r>
      <w:r>
        <w:rPr>
          <w:sz w:val="20"/>
          <w:szCs w:val="20"/>
          <w:color w:val="auto"/>
        </w:rPr>
        <w:tab/>
      </w:r>
      <w:r>
        <w:rPr>
          <w:rFonts w:ascii="Arial" w:cs="Arial" w:eastAsia="Arial" w:hAnsi="Arial"/>
          <w:sz w:val="16"/>
          <w:szCs w:val="16"/>
          <w:i w:val="1"/>
          <w:iCs w:val="1"/>
          <w:color w:val="auto"/>
        </w:rPr>
        <w:t>Approval by Limited Partners of Merger or Consolidation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12" w:lineRule="auto"/>
        <w:tabs>
          <w:tab w:leader="none" w:pos="194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46" w:lineRule="exact"/>
        <w:rPr>
          <w:rFonts w:ascii="Arial" w:cs="Arial" w:eastAsia="Arial" w:hAnsi="Arial"/>
          <w:sz w:val="16"/>
          <w:szCs w:val="16"/>
          <w:color w:val="auto"/>
        </w:rPr>
      </w:pPr>
    </w:p>
    <w:p>
      <w:pPr>
        <w:ind w:right="100" w:firstLine="1305"/>
        <w:spacing w:after="0" w:line="302" w:lineRule="auto"/>
        <w:tabs>
          <w:tab w:leader="none" w:pos="195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 Limited Partners, in which case such greater percentage vote or consent shall be required for approval of the Merger Agreement.</w:t>
      </w:r>
    </w:p>
    <w:p>
      <w:pPr>
        <w:spacing w:after="0" w:line="154" w:lineRule="exact"/>
        <w:rPr>
          <w:rFonts w:ascii="Arial" w:cs="Arial" w:eastAsia="Arial" w:hAnsi="Arial"/>
          <w:sz w:val="16"/>
          <w:szCs w:val="16"/>
          <w:color w:val="auto"/>
        </w:rPr>
      </w:pPr>
    </w:p>
    <w:p>
      <w:pPr>
        <w:ind w:right="140" w:firstLine="1305"/>
        <w:spacing w:after="0" w:line="277" w:lineRule="auto"/>
        <w:tabs>
          <w:tab w:leader="none" w:pos="195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as provided in Section 14.3(d), after such approval by vote or consent of the Limited Partners, and at any time prior to the filing of the certificate of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14.4, the merger or consolidation may be abandoned pursuant to provisions therefor, if any, set forth in the Merger Agreement.</w:t>
      </w:r>
    </w:p>
    <w:p>
      <w:pPr>
        <w:spacing w:after="0" w:line="237" w:lineRule="exact"/>
        <w:rPr>
          <w:sz w:val="20"/>
          <w:szCs w:val="20"/>
          <w:color w:val="auto"/>
        </w:rPr>
      </w:pPr>
    </w:p>
    <w:p>
      <w:pPr>
        <w:ind w:right="60" w:firstLine="1305"/>
        <w:spacing w:after="0" w:line="253" w:lineRule="auto"/>
        <w:tabs>
          <w:tab w:leader="none" w:pos="19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9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14.4</w:t>
      </w:r>
      <w:r>
        <w:rPr>
          <w:sz w:val="20"/>
          <w:szCs w:val="20"/>
          <w:color w:val="auto"/>
        </w:rPr>
        <w:tab/>
      </w:r>
      <w:r>
        <w:rPr>
          <w:rFonts w:ascii="Arial" w:cs="Arial" w:eastAsia="Arial" w:hAnsi="Arial"/>
          <w:sz w:val="16"/>
          <w:szCs w:val="16"/>
          <w:i w:val="1"/>
          <w:iCs w:val="1"/>
          <w:color w:val="auto"/>
        </w:rPr>
        <w:t>Certificate of Merger</w:t>
      </w:r>
      <w:r>
        <w:rPr>
          <w:rFonts w:ascii="Arial" w:cs="Arial" w:eastAsia="Arial" w:hAnsi="Arial"/>
          <w:sz w:val="16"/>
          <w:szCs w:val="16"/>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i w:val="1"/>
          <w:iCs w:val="1"/>
          <w:color w:val="auto"/>
        </w:rPr>
        <w:t>Effect of Merger</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225" w:lineRule="exact"/>
        <w:rPr>
          <w:rFonts w:ascii="Arial" w:cs="Arial" w:eastAsia="Arial" w:hAnsi="Arial"/>
          <w:sz w:val="18"/>
          <w:szCs w:val="18"/>
          <w:color w:val="auto"/>
        </w:rPr>
      </w:pPr>
    </w:p>
    <w:p>
      <w:pPr>
        <w:ind w:left="1300" w:right="180" w:firstLine="653"/>
        <w:spacing w:after="0" w:line="279" w:lineRule="auto"/>
        <w:tabs>
          <w:tab w:leader="none" w:pos="2618"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71" w:lineRule="exact"/>
        <w:rPr>
          <w:rFonts w:ascii="Arial" w:cs="Arial" w:eastAsia="Arial" w:hAnsi="Arial"/>
          <w:sz w:val="17"/>
          <w:szCs w:val="17"/>
          <w:color w:val="auto"/>
        </w:rPr>
      </w:pPr>
    </w:p>
    <w:p>
      <w:pPr>
        <w:ind w:left="1300" w:right="140" w:firstLine="653"/>
        <w:spacing w:after="0" w:line="277" w:lineRule="auto"/>
        <w:tabs>
          <w:tab w:leader="none" w:pos="262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3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all rights of creditors and all liens on or security interests in property of any of those constituent business entities shall be preserved unimpaired; and</w:t>
      </w:r>
    </w:p>
    <w:p>
      <w:pPr>
        <w:spacing w:after="0" w:line="170" w:lineRule="exact"/>
        <w:rPr>
          <w:rFonts w:ascii="Arial" w:cs="Arial" w:eastAsia="Arial" w:hAnsi="Arial"/>
          <w:sz w:val="18"/>
          <w:szCs w:val="18"/>
          <w:color w:val="auto"/>
        </w:rPr>
      </w:pPr>
    </w:p>
    <w:p>
      <w:pPr>
        <w:ind w:left="1300" w:right="80" w:firstLine="653"/>
        <w:spacing w:after="0" w:line="308" w:lineRule="auto"/>
        <w:tabs>
          <w:tab w:leader="none" w:pos="2613"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305"/>
        <w:spacing w:after="0" w:line="277" w:lineRule="auto"/>
        <w:tabs>
          <w:tab w:leader="none" w:pos="19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merger or consolidation effected pursuant to this Article shall not be deemed to result in a transfer or assignment of assets or liabilities from one entity to another.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RIGHT TO ACQUIRE LIMITED PARTNER INTERESTS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i w:val="1"/>
          <w:iCs w:val="1"/>
          <w:color w:val="auto"/>
        </w:rPr>
        <w:t>Right to Acquire Limited Partner Interests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8" w:lineRule="auto"/>
        <w:tabs>
          <w:tab w:leader="none" w:pos="194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not more than 20% of the total Limited Partner Interests of any class then Outstanding is held by Persons other than the General Partner and its Affiliates (other than, in the case of Series A Preferred Units, any such Affiliates that are Series A Purchasers as of the Series A Issuance Date),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i w:val="1"/>
          <w:iCs w:val="1"/>
          <w:color w:val="auto"/>
        </w:rPr>
        <w:t>Current Market Price</w:t>
      </w:r>
      <w:r>
        <w:rPr>
          <w:rFonts w:ascii="Arial" w:cs="Arial" w:eastAsia="Arial" w:hAnsi="Arial"/>
          <w:sz w:val="16"/>
          <w:szCs w:val="16"/>
          <w:color w:val="auto"/>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i w:val="1"/>
          <w:iCs w:val="1"/>
          <w:color w:val="auto"/>
        </w:rPr>
        <w:t>Closing Price</w:t>
      </w:r>
      <w:r>
        <w:rPr>
          <w:rFonts w:ascii="Arial" w:cs="Arial" w:eastAsia="Arial" w:hAnsi="Arial"/>
          <w:sz w:val="16"/>
          <w:szCs w:val="16"/>
          <w:color w:val="auto"/>
        </w:rPr>
        <w:t>” for any day means the last sale price on such</w:t>
      </w:r>
    </w:p>
    <w:p>
      <w:pPr>
        <w:sectPr>
          <w:pgSz w:w="11900" w:h="16930" w:orient="portrait"/>
          <w:cols w:equalWidth="0" w:num="1">
            <w:col w:w="11420"/>
          </w:cols>
          <w:pgMar w:left="240" w:top="341" w:right="239" w:bottom="0" w:gutter="0" w:footer="0" w:header="0"/>
        </w:sectPr>
      </w:pPr>
    </w:p>
    <w:bookmarkStart w:id="79" w:name="page80"/>
    <w:bookmarkEnd w:id="79"/>
    <w:p>
      <w:pPr>
        <w:ind w:right="40"/>
        <w:spacing w:after="0" w:line="269" w:lineRule="auto"/>
        <w:rPr>
          <w:sz w:val="20"/>
          <w:szCs w:val="20"/>
          <w:color w:val="auto"/>
        </w:rPr>
      </w:pPr>
      <w:r>
        <w:rPr>
          <w:rFonts w:ascii="Arial" w:cs="Arial" w:eastAsia="Arial" w:hAnsi="Arial"/>
          <w:sz w:val="17"/>
          <w:szCs w:val="17"/>
          <w:color w:val="auto"/>
        </w:rPr>
        <w:t>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w:t>
      </w:r>
      <w:r>
        <w:rPr>
          <w:rFonts w:ascii="Arial" w:cs="Arial" w:eastAsia="Arial" w:hAnsi="Arial"/>
          <w:sz w:val="17"/>
          <w:szCs w:val="17"/>
          <w:i w:val="1"/>
          <w:iCs w:val="1"/>
          <w:color w:val="auto"/>
        </w:rPr>
        <w:t>Trading Day</w:t>
      </w:r>
      <w:r>
        <w:rPr>
          <w:rFonts w:ascii="Arial" w:cs="Arial" w:eastAsia="Arial" w:hAnsi="Arial"/>
          <w:sz w:val="17"/>
          <w:szCs w:val="17"/>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0" w:lineRule="exact"/>
        <w:rPr>
          <w:sz w:val="20"/>
          <w:szCs w:val="20"/>
          <w:color w:val="auto"/>
        </w:rPr>
      </w:pPr>
    </w:p>
    <w:p>
      <w:pPr>
        <w:ind w:right="520" w:firstLine="1305"/>
        <w:spacing w:after="0" w:line="277" w:lineRule="auto"/>
        <w:tabs>
          <w:tab w:leader="none" w:pos="195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the General Partner, any Affiliate of the General Partner or the Partnership elects to exercise the right to purchase Limited Partner Interests granted pursuant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15.1(a), the General Partner shall deliver to the Transfer Agent notice of such election to purchase (the “</w:t>
      </w:r>
      <w:r>
        <w:rPr>
          <w:rFonts w:ascii="Arial" w:cs="Arial" w:eastAsia="Arial" w:hAnsi="Arial"/>
          <w:sz w:val="16"/>
          <w:szCs w:val="16"/>
          <w:i w:val="1"/>
          <w:iCs w:val="1"/>
          <w:color w:val="auto"/>
        </w:rPr>
        <w:t>Notice of Election to Purchase</w:t>
      </w:r>
      <w:r>
        <w:rPr>
          <w:rFonts w:ascii="Arial" w:cs="Arial" w:eastAsia="Arial" w:hAnsi="Arial"/>
          <w:sz w:val="16"/>
          <w:szCs w:val="16"/>
          <w:color w:val="auto"/>
        </w:rPr>
        <w:t>”)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396" w:lineRule="exact"/>
        <w:rPr>
          <w:sz w:val="20"/>
          <w:szCs w:val="20"/>
          <w:color w:val="auto"/>
        </w:rPr>
      </w:pPr>
    </w:p>
    <w:p>
      <w:pPr>
        <w:ind w:right="100" w:firstLine="1305"/>
        <w:spacing w:after="0" w:line="286" w:lineRule="auto"/>
        <w:tabs>
          <w:tab w:leader="none" w:pos="195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Units, to the Transfer Agent in exchange for payment of the amount described in Section 15.1(a), therefor, without interest thereon.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16.1</w:t>
      </w:r>
      <w:r>
        <w:rPr>
          <w:sz w:val="20"/>
          <w:szCs w:val="20"/>
          <w:color w:val="auto"/>
        </w:rPr>
        <w:tab/>
      </w:r>
      <w:r>
        <w:rPr>
          <w:rFonts w:ascii="Arial" w:cs="Arial" w:eastAsia="Arial" w:hAnsi="Arial"/>
          <w:sz w:val="15"/>
          <w:szCs w:val="15"/>
          <w:i w:val="1"/>
          <w:iCs w:val="1"/>
          <w:color w:val="auto"/>
        </w:rPr>
        <w:t>Addresses and Notices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16.2</w:t>
      </w:r>
      <w:r>
        <w:rPr>
          <w:sz w:val="20"/>
          <w:szCs w:val="20"/>
          <w:color w:val="auto"/>
        </w:rPr>
        <w:tab/>
      </w:r>
      <w:r>
        <w:rPr>
          <w:rFonts w:ascii="Arial" w:cs="Arial" w:eastAsia="Arial" w:hAnsi="Arial"/>
          <w:sz w:val="17"/>
          <w:szCs w:val="17"/>
          <w:i w:val="1"/>
          <w:iCs w:val="1"/>
          <w:color w:val="auto"/>
        </w:rPr>
        <w:t>Further Action</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bookmarkStart w:id="80" w:name="page81"/>
    <w:bookmarkEnd w:id="80"/>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16.3</w:t>
      </w:r>
      <w:r>
        <w:rPr>
          <w:sz w:val="20"/>
          <w:szCs w:val="20"/>
          <w:color w:val="auto"/>
        </w:rPr>
        <w:tab/>
      </w:r>
      <w:r>
        <w:rPr>
          <w:rFonts w:ascii="Arial" w:cs="Arial" w:eastAsia="Arial" w:hAnsi="Arial"/>
          <w:sz w:val="16"/>
          <w:szCs w:val="16"/>
          <w:i w:val="1"/>
          <w:iCs w:val="1"/>
          <w:color w:val="auto"/>
        </w:rPr>
        <w:t>Binding Effect</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16.4</w:t>
      </w:r>
      <w:r>
        <w:rPr>
          <w:sz w:val="20"/>
          <w:szCs w:val="20"/>
          <w:color w:val="auto"/>
        </w:rPr>
        <w:tab/>
      </w:r>
      <w:r>
        <w:rPr>
          <w:rFonts w:ascii="Arial" w:cs="Arial" w:eastAsia="Arial" w:hAnsi="Arial"/>
          <w:sz w:val="17"/>
          <w:szCs w:val="17"/>
          <w:i w:val="1"/>
          <w:iCs w:val="1"/>
          <w:color w:val="auto"/>
        </w:rPr>
        <w:t>Integration</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16.5</w:t>
      </w:r>
      <w:r>
        <w:rPr>
          <w:sz w:val="20"/>
          <w:szCs w:val="20"/>
          <w:color w:val="auto"/>
        </w:rPr>
        <w:tab/>
      </w:r>
      <w:r>
        <w:rPr>
          <w:rFonts w:ascii="Arial" w:cs="Arial" w:eastAsia="Arial" w:hAnsi="Arial"/>
          <w:sz w:val="17"/>
          <w:szCs w:val="17"/>
          <w:i w:val="1"/>
          <w:iCs w:val="1"/>
          <w:color w:val="auto"/>
        </w:rPr>
        <w:t>Creditors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provisions of this Agreement shall be for the benefit of, or shall be enforceable by, any creditor of the Partnership.</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16.6</w:t>
      </w:r>
      <w:r>
        <w:rPr>
          <w:sz w:val="20"/>
          <w:szCs w:val="20"/>
          <w:color w:val="auto"/>
        </w:rPr>
        <w:tab/>
      </w:r>
      <w:r>
        <w:rPr>
          <w:rFonts w:ascii="Arial" w:cs="Arial" w:eastAsia="Arial" w:hAnsi="Arial"/>
          <w:sz w:val="16"/>
          <w:szCs w:val="16"/>
          <w:i w:val="1"/>
          <w:iCs w:val="1"/>
          <w:color w:val="auto"/>
        </w:rPr>
        <w:t>Waiver</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16.7</w:t>
      </w:r>
      <w:r>
        <w:rPr>
          <w:sz w:val="20"/>
          <w:szCs w:val="20"/>
          <w:color w:val="auto"/>
        </w:rPr>
        <w:tab/>
      </w:r>
      <w:r>
        <w:rPr>
          <w:rFonts w:ascii="Arial" w:cs="Arial" w:eastAsia="Arial" w:hAnsi="Arial"/>
          <w:sz w:val="16"/>
          <w:szCs w:val="16"/>
          <w:i w:val="1"/>
          <w:iCs w:val="1"/>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other evidence of the issuance of uncertificated Units, independently of the signature of any other party.</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16.8</w:t>
      </w:r>
      <w:r>
        <w:rPr>
          <w:sz w:val="20"/>
          <w:szCs w:val="20"/>
          <w:color w:val="auto"/>
        </w:rPr>
        <w:tab/>
      </w:r>
      <w:r>
        <w:rPr>
          <w:rFonts w:ascii="Arial" w:cs="Arial" w:eastAsia="Arial" w:hAnsi="Arial"/>
          <w:sz w:val="16"/>
          <w:szCs w:val="16"/>
          <w:i w:val="1"/>
          <w:iCs w:val="1"/>
          <w:color w:val="auto"/>
        </w:rPr>
        <w:t>Applicable Law; Forum; Venue and Jurisdiction</w:t>
      </w:r>
      <w:r>
        <w:rPr>
          <w:rFonts w:ascii="Arial" w:cs="Arial" w:eastAsia="Arial" w:hAnsi="Arial"/>
          <w:sz w:val="16"/>
          <w:szCs w:val="16"/>
          <w:color w:val="auto"/>
        </w:rPr>
        <w:t>.</w:t>
      </w:r>
    </w:p>
    <w:p>
      <w:pPr>
        <w:spacing w:after="0" w:line="225" w:lineRule="exact"/>
        <w:rPr>
          <w:sz w:val="20"/>
          <w:szCs w:val="20"/>
          <w:color w:val="auto"/>
        </w:rPr>
      </w:pPr>
    </w:p>
    <w:p>
      <w:pPr>
        <w:ind w:right="280" w:firstLine="1305"/>
        <w:spacing w:after="0" w:line="277" w:lineRule="auto"/>
        <w:tabs>
          <w:tab w:leader="none" w:pos="194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pacing w:after="0" w:line="170" w:lineRule="exact"/>
        <w:rPr>
          <w:rFonts w:ascii="Arial" w:cs="Arial" w:eastAsia="Arial" w:hAnsi="Arial"/>
          <w:sz w:val="18"/>
          <w:szCs w:val="18"/>
          <w:color w:val="auto"/>
        </w:rPr>
      </w:pPr>
    </w:p>
    <w:p>
      <w:pPr>
        <w:ind w:right="320" w:firstLine="1305"/>
        <w:spacing w:after="0" w:line="277" w:lineRule="auto"/>
        <w:tabs>
          <w:tab w:leader="none" w:pos="19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70" w:lineRule="exact"/>
        <w:rPr>
          <w:rFonts w:ascii="Arial" w:cs="Arial" w:eastAsia="Arial" w:hAnsi="Arial"/>
          <w:sz w:val="18"/>
          <w:szCs w:val="18"/>
          <w:color w:val="auto"/>
        </w:rPr>
      </w:pPr>
    </w:p>
    <w:p>
      <w:pPr>
        <w:ind w:left="1300" w:firstLine="653"/>
        <w:spacing w:after="0" w:line="288" w:lineRule="auto"/>
        <w:tabs>
          <w:tab w:leader="none" w:pos="2618"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w:t>
      </w:r>
    </w:p>
    <w:p>
      <w:pPr>
        <w:ind w:left="1300" w:right="280"/>
        <w:spacing w:after="0" w:line="281" w:lineRule="auto"/>
        <w:rPr>
          <w:rFonts w:ascii="Arial" w:cs="Arial" w:eastAsia="Arial" w:hAnsi="Arial"/>
          <w:sz w:val="16"/>
          <w:szCs w:val="16"/>
          <w:color w:val="auto"/>
        </w:rPr>
      </w:pPr>
      <w:r>
        <w:rPr>
          <w:rFonts w:ascii="Arial" w:cs="Arial" w:eastAsia="Arial" w:hAnsi="Arial"/>
          <w:sz w:val="16"/>
          <w:szCs w:val="16"/>
          <w:color w:val="auto"/>
        </w:rPr>
        <w:t>(B) brought in a derivative manner on behalf of the Partnership, (C) asserting a claim of breach of a fiduciary duty owed by any director, officer, or other employee of the Partnership or the General Partner, or owed by the General Partner, to the Partnership or the Partners,</w:t>
      </w:r>
    </w:p>
    <w:p>
      <w:pPr>
        <w:spacing w:after="0" w:line="1" w:lineRule="exact"/>
        <w:rPr>
          <w:rFonts w:ascii="Arial" w:cs="Arial" w:eastAsia="Arial" w:hAnsi="Arial"/>
          <w:sz w:val="16"/>
          <w:szCs w:val="16"/>
          <w:color w:val="auto"/>
        </w:rPr>
      </w:pPr>
    </w:p>
    <w:p>
      <w:pPr>
        <w:ind w:left="1300" w:right="40"/>
        <w:spacing w:after="0" w:line="253" w:lineRule="auto"/>
        <w:rPr>
          <w:rFonts w:ascii="Arial" w:cs="Arial" w:eastAsia="Arial" w:hAnsi="Arial"/>
          <w:sz w:val="16"/>
          <w:szCs w:val="16"/>
          <w:color w:val="auto"/>
        </w:rPr>
      </w:pPr>
      <w:r>
        <w:rPr>
          <w:rFonts w:ascii="Arial" w:cs="Arial" w:eastAsia="Arial" w:hAnsi="Arial"/>
          <w:sz w:val="18"/>
          <w:szCs w:val="18"/>
          <w:color w:val="auto"/>
        </w:rPr>
        <w:t>(D)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80" w:firstLine="653"/>
        <w:spacing w:after="0" w:line="264" w:lineRule="auto"/>
        <w:tabs>
          <w:tab w:leader="none" w:pos="262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1" w:lineRule="exact"/>
        <w:rPr>
          <w:rFonts w:ascii="Arial" w:cs="Arial" w:eastAsia="Arial" w:hAnsi="Arial"/>
          <w:sz w:val="18"/>
          <w:szCs w:val="18"/>
          <w:color w:val="auto"/>
        </w:rPr>
      </w:pPr>
    </w:p>
    <w:p>
      <w:pPr>
        <w:ind w:left="1300" w:right="380" w:firstLine="653"/>
        <w:spacing w:after="0" w:line="288" w:lineRule="auto"/>
        <w:tabs>
          <w:tab w:leader="none" w:pos="2637"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w:t>
      </w:r>
    </w:p>
    <w:p>
      <w:pPr>
        <w:ind w:left="1580" w:hanging="275"/>
        <w:spacing w:after="0"/>
        <w:tabs>
          <w:tab w:leader="none" w:pos="15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venue of such claim, suit, action or proceeding is improper;</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expressly waives any requirement for the posting of a bond by a party bringing such claim, suit, action or proceeding; and</w:t>
      </w:r>
    </w:p>
    <w:p>
      <w:pPr>
        <w:spacing w:after="0" w:line="248" w:lineRule="exact"/>
        <w:rPr>
          <w:rFonts w:ascii="Arial" w:cs="Arial" w:eastAsia="Arial" w:hAnsi="Arial"/>
          <w:sz w:val="16"/>
          <w:szCs w:val="16"/>
          <w:color w:val="auto"/>
        </w:rPr>
      </w:pPr>
    </w:p>
    <w:p>
      <w:pPr>
        <w:ind w:left="1300" w:right="100" w:firstLine="653"/>
        <w:spacing w:after="0" w:line="259" w:lineRule="auto"/>
        <w:tabs>
          <w:tab w:leader="none" w:pos="260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provided, nothing in clause (v) hereof shall affect or limit any right to serve process in any other manner permitted by law.</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16.9</w:t>
      </w:r>
      <w:r>
        <w:rPr>
          <w:sz w:val="20"/>
          <w:szCs w:val="20"/>
          <w:color w:val="auto"/>
        </w:rPr>
        <w:tab/>
      </w:r>
      <w:r>
        <w:rPr>
          <w:rFonts w:ascii="Arial" w:cs="Arial" w:eastAsia="Arial" w:hAnsi="Arial"/>
          <w:sz w:val="17"/>
          <w:szCs w:val="17"/>
          <w:i w:val="1"/>
          <w:iCs w:val="1"/>
          <w:color w:val="auto"/>
        </w:rPr>
        <w:t>Invalidity of Provisions</w:t>
      </w:r>
      <w:r>
        <w:rPr>
          <w:rFonts w:ascii="Arial" w:cs="Arial" w:eastAsia="Arial" w:hAnsi="Arial"/>
          <w:sz w:val="17"/>
          <w:szCs w:val="17"/>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If any provision of this Agreement is or becomes invalid, illegal or unenforceable in an: respect, the validity, legality and enforceability of the remaining provisions contained herein shall not be affected thereby.</w:t>
      </w:r>
    </w:p>
    <w:p>
      <w:pPr>
        <w:sectPr>
          <w:pgSz w:w="11900" w:h="16929" w:orient="portrait"/>
          <w:cols w:equalWidth="0" w:num="1">
            <w:col w:w="11420"/>
          </w:cols>
          <w:pgMar w:left="240" w:top="125" w:right="239" w:bottom="0" w:gutter="0" w:footer="0" w:header="0"/>
        </w:sectPr>
      </w:pPr>
    </w:p>
    <w:bookmarkStart w:id="81" w:name="page82"/>
    <w:bookmarkEnd w:id="81"/>
    <w:p>
      <w:pPr>
        <w:ind w:left="660"/>
        <w:spacing w:after="0"/>
        <w:tabs>
          <w:tab w:leader="none" w:pos="1920" w:val="left"/>
        </w:tabs>
        <w:rPr>
          <w:sz w:val="20"/>
          <w:szCs w:val="20"/>
          <w:color w:val="auto"/>
        </w:rPr>
      </w:pPr>
      <w:r>
        <w:rPr>
          <w:rFonts w:ascii="Arial" w:cs="Arial" w:eastAsia="Arial" w:hAnsi="Arial"/>
          <w:sz w:val="18"/>
          <w:szCs w:val="18"/>
          <w:color w:val="auto"/>
        </w:rPr>
        <w:t>Section 16.10</w:t>
      </w:r>
      <w:r>
        <w:rPr>
          <w:sz w:val="20"/>
          <w:szCs w:val="20"/>
          <w:color w:val="auto"/>
        </w:rPr>
        <w:tab/>
      </w:r>
      <w:r>
        <w:rPr>
          <w:rFonts w:ascii="Arial" w:cs="Arial" w:eastAsia="Arial" w:hAnsi="Arial"/>
          <w:sz w:val="16"/>
          <w:szCs w:val="16"/>
          <w:i w:val="1"/>
          <w:iCs w:val="1"/>
          <w:color w:val="auto"/>
        </w:rPr>
        <w:t>Consent of Partners</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Each Partner hereby expressly consents and agrees that, whenever in this Agreement it i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18"/>
                <w:szCs w:val="18"/>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41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60" w:type="dxa"/>
            <w:vAlign w:val="bottom"/>
          </w:tcPr>
          <w:p>
            <w:pPr>
              <w:ind w:left="5580"/>
              <w:spacing w:after="0"/>
              <w:rPr>
                <w:sz w:val="20"/>
                <w:szCs w:val="20"/>
                <w:color w:val="auto"/>
              </w:rPr>
            </w:pPr>
            <w:r>
              <w:rPr>
                <w:rFonts w:ascii="Arial" w:cs="Arial" w:eastAsia="Arial" w:hAnsi="Arial"/>
                <w:sz w:val="18"/>
                <w:szCs w:val="18"/>
                <w:color w:val="auto"/>
              </w:rPr>
              <w:t>104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LIMITED PARTNERS: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All Limited Partners now and hereafter admitted as Limited Partners of the</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Partnership, pursuant to powers of attorney now and hereafter executed in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favor of, and granted and delivered to the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18"/>
                <w:szCs w:val="18"/>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41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60" w:type="dxa"/>
            <w:vAlign w:val="bottom"/>
          </w:tcPr>
          <w:p>
            <w:pPr>
              <w:ind w:left="5580"/>
              <w:spacing w:after="0"/>
              <w:rPr>
                <w:sz w:val="20"/>
                <w:szCs w:val="20"/>
                <w:color w:val="auto"/>
              </w:rPr>
            </w:pPr>
            <w:r>
              <w:rPr>
                <w:rFonts w:ascii="Arial" w:cs="Arial" w:eastAsia="Arial" w:hAnsi="Arial"/>
                <w:sz w:val="18"/>
                <w:szCs w:val="18"/>
                <w:color w:val="auto"/>
              </w:rPr>
              <w:t>105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Sixth Amended 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Restated 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Evidencing Common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Common Units</w:t>
      </w:r>
    </w:p>
    <w:p>
      <w:pPr>
        <w:spacing w:after="0" w:line="23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accordance with Section 4.1 of the Sixth Amended and Restated Agreement of Limited Partnership of Plains All American Pipeline,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Plains All American Pipeline, L.P., a Delaware limited partnership (the</w:t>
      </w:r>
    </w:p>
    <w:p>
      <w:pPr>
        <w:ind w:right="10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Partnership</w:t>
      </w:r>
      <w:r>
        <w:rPr>
          <w:rFonts w:ascii="Arial" w:cs="Arial" w:eastAsia="Arial" w:hAnsi="Arial"/>
          <w:sz w:val="16"/>
          <w:szCs w:val="16"/>
          <w:color w:val="auto"/>
        </w:rPr>
        <w:t>”), hereby certifies that (the “</w:t>
      </w:r>
      <w:r>
        <w:rPr>
          <w:rFonts w:ascii="Arial" w:cs="Arial" w:eastAsia="Arial" w:hAnsi="Arial"/>
          <w:sz w:val="16"/>
          <w:szCs w:val="16"/>
          <w:i w:val="1"/>
          <w:iCs w:val="1"/>
          <w:color w:val="auto"/>
        </w:rPr>
        <w:t>Holder</w:t>
      </w:r>
      <w:r>
        <w:rPr>
          <w:rFonts w:ascii="Arial" w:cs="Arial" w:eastAsia="Arial" w:hAnsi="Arial"/>
          <w:sz w:val="16"/>
          <w:szCs w:val="16"/>
          <w:color w:val="auto"/>
        </w:rPr>
        <w:t>”) is the registered owner of Common Units representing limited partner interests in the Partnership (the “</w:t>
      </w:r>
      <w:r>
        <w:rPr>
          <w:rFonts w:ascii="Arial" w:cs="Arial" w:eastAsia="Arial" w:hAnsi="Arial"/>
          <w:sz w:val="16"/>
          <w:szCs w:val="16"/>
          <w:i w:val="1"/>
          <w:iCs w:val="1"/>
          <w:color w:val="auto"/>
        </w:rPr>
        <w:t>Common Units</w:t>
      </w:r>
      <w:r>
        <w:rPr>
          <w:rFonts w:ascii="Arial" w:cs="Arial" w:eastAsia="Arial" w:hAnsi="Arial"/>
          <w:sz w:val="16"/>
          <w:szCs w:val="16"/>
          <w:color w:val="auto"/>
        </w:rPr>
        <w:t>”) transferable on the books of the Partnership, in person or by duly authorized attorney, upon surrender of this properly endorsed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ectPr>
          <w:pgSz w:w="11900" w:h="16838" w:orient="portrait"/>
          <w:cols w:equalWidth="0" w:num="1">
            <w:col w:w="11460"/>
          </w:cols>
          <w:pgMar w:left="240" w:top="341" w:right="199" w:bottom="0" w:gutter="0" w:footer="0" w:header="0"/>
        </w:sectPr>
      </w:pPr>
    </w:p>
    <w:bookmarkStart w:id="82" w:name="page83"/>
    <w:bookmarkEnd w:id="82"/>
    <w:p>
      <w:pPr>
        <w:ind w:right="160" w:firstLine="648"/>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Dated:</w:t>
            </w:r>
          </w:p>
        </w:tc>
        <w:tc>
          <w:tcPr>
            <w:tcW w:w="3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12"/>
        </w:trPr>
        <w:tc>
          <w:tcPr>
            <w:tcW w:w="3700" w:type="dxa"/>
            <w:vAlign w:val="bottom"/>
            <w:gridSpan w:val="3"/>
          </w:tcPr>
          <w:p>
            <w:pPr>
              <w:spacing w:after="0"/>
              <w:rPr>
                <w:sz w:val="20"/>
                <w:szCs w:val="20"/>
                <w:color w:val="auto"/>
              </w:rPr>
            </w:pPr>
            <w:r>
              <w:rPr>
                <w:rFonts w:ascii="Arial" w:cs="Arial" w:eastAsia="Arial" w:hAnsi="Arial"/>
                <w:sz w:val="18"/>
                <w:szCs w:val="18"/>
                <w:color w:val="auto"/>
              </w:rPr>
              <w:t>Countersigned and Registered by:</w:t>
            </w:r>
          </w:p>
        </w:tc>
        <w:tc>
          <w:tcPr>
            <w:tcW w:w="196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Transfer Agent and Registrar</w:t>
            </w:r>
          </w:p>
        </w:tc>
        <w:tc>
          <w:tcPr>
            <w:tcW w:w="1960" w:type="dxa"/>
            <w:vAlign w:val="bottom"/>
            <w:tcBorders>
              <w:top w:val="single" w:sz="8" w:color="auto"/>
            </w:tcBorders>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Name:</w:t>
            </w:r>
          </w:p>
        </w:tc>
        <w:tc>
          <w:tcPr>
            <w:tcW w:w="49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3700" w:type="dxa"/>
            <w:vAlign w:val="bottom"/>
            <w:gridSpan w:val="3"/>
          </w:tcPr>
          <w:p>
            <w:pPr>
              <w:spacing w:after="0"/>
              <w:rPr>
                <w:sz w:val="20"/>
                <w:szCs w:val="20"/>
                <w:color w:val="auto"/>
              </w:rPr>
            </w:pPr>
            <w:r>
              <w:rPr>
                <w:rFonts w:ascii="Arial" w:cs="Arial" w:eastAsia="Arial" w:hAnsi="Arial"/>
                <w:sz w:val="18"/>
                <w:szCs w:val="18"/>
                <w:color w:val="auto"/>
              </w:rPr>
              <w:t>By:</w:t>
            </w:r>
          </w:p>
        </w:tc>
        <w:tc>
          <w:tcPr>
            <w:tcW w:w="1960" w:type="dxa"/>
            <w:vAlign w:val="bottom"/>
          </w:tcPr>
          <w:p>
            <w:pPr>
              <w:spacing w:after="0"/>
              <w:rPr>
                <w:sz w:val="24"/>
                <w:szCs w:val="24"/>
                <w:color w:val="auto"/>
              </w:rPr>
            </w:pP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Authorized Signature</w:t>
            </w:r>
          </w:p>
        </w:tc>
        <w:tc>
          <w:tcPr>
            <w:tcW w:w="19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9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720" w:type="dxa"/>
            <w:vAlign w:val="bottom"/>
            <w:gridSpan w:val="3"/>
          </w:tcPr>
          <w:p>
            <w:pPr>
              <w:jc w:val="center"/>
              <w:ind w:right="3590"/>
              <w:spacing w:after="0"/>
              <w:rPr>
                <w:sz w:val="20"/>
                <w:szCs w:val="20"/>
                <w:color w:val="auto"/>
              </w:rPr>
            </w:pPr>
            <w:r>
              <w:rPr>
                <w:rFonts w:ascii="Arial" w:cs="Arial" w:eastAsia="Arial" w:hAnsi="Arial"/>
                <w:sz w:val="18"/>
                <w:szCs w:val="18"/>
                <w:color w:val="auto"/>
                <w:w w:val="99"/>
              </w:rPr>
              <w:t>A-2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772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0"/>
              </w:rPr>
              <w:t>[Reverse of Certificate]</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rPr>
              <w:t>ABBREVIATIONS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TEN COM — as tenants in common</w:t>
      </w:r>
      <w:r>
        <w:rPr>
          <w:sz w:val="20"/>
          <w:szCs w:val="20"/>
          <w:color w:val="auto"/>
        </w:rPr>
        <w:tab/>
      </w:r>
      <w:r>
        <w:rPr>
          <w:rFonts w:ascii="Arial" w:cs="Arial" w:eastAsia="Arial" w:hAnsi="Arial"/>
          <w:sz w:val="17"/>
          <w:szCs w:val="17"/>
          <w:color w:val="auto"/>
        </w:rPr>
        <w:t>UNIF GIFT TRANSFERS MIN ACT</w:t>
      </w:r>
    </w:p>
    <w:p>
      <w:pPr>
        <w:spacing w:after="0" w:line="23"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TEN ENT — as tenants by the entireties</w:t>
      </w:r>
      <w:r>
        <w:rPr>
          <w:sz w:val="20"/>
          <w:szCs w:val="20"/>
          <w:color w:val="auto"/>
        </w:rPr>
        <w:tab/>
      </w:r>
      <w:r>
        <w:rPr>
          <w:rFonts w:ascii="Arial" w:cs="Arial" w:eastAsia="Arial" w:hAnsi="Arial"/>
          <w:sz w:val="16"/>
          <w:szCs w:val="16"/>
          <w:color w:val="auto"/>
        </w:rPr>
        <w:t>Custodian</w:t>
      </w:r>
    </w:p>
    <w:p>
      <w:pPr>
        <w:spacing w:after="0" w:line="9" w:lineRule="exact"/>
        <w:rPr>
          <w:sz w:val="20"/>
          <w:szCs w:val="20"/>
          <w:color w:val="auto"/>
        </w:rPr>
      </w:pPr>
    </w:p>
    <w:p>
      <w:pPr>
        <w:spacing w:after="0"/>
        <w:tabs>
          <w:tab w:leader="none" w:pos="6200" w:val="left"/>
          <w:tab w:leader="none" w:pos="7560" w:val="left"/>
        </w:tabs>
        <w:rPr>
          <w:sz w:val="20"/>
          <w:szCs w:val="20"/>
          <w:color w:val="auto"/>
        </w:rPr>
      </w:pPr>
      <w:r>
        <w:rPr>
          <w:rFonts w:ascii="Arial" w:cs="Arial" w:eastAsia="Arial" w:hAnsi="Arial"/>
          <w:sz w:val="18"/>
          <w:szCs w:val="18"/>
          <w:color w:val="auto"/>
        </w:rPr>
        <w:t>JT TEN — as joint tenants with right of survivorship and not as tenants in</w:t>
      </w:r>
      <w:r>
        <w:rPr>
          <w:sz w:val="20"/>
          <w:szCs w:val="20"/>
          <w:color w:val="auto"/>
        </w:rPr>
        <w:tab/>
      </w:r>
      <w:r>
        <w:rPr>
          <w:rFonts w:ascii="Arial" w:cs="Arial" w:eastAsia="Arial" w:hAnsi="Arial"/>
          <w:sz w:val="18"/>
          <w:szCs w:val="18"/>
          <w:color w:val="auto"/>
        </w:rPr>
        <w:t>(Cust)</w:t>
      </w:r>
      <w:r>
        <w:rPr>
          <w:sz w:val="20"/>
          <w:szCs w:val="20"/>
          <w:color w:val="auto"/>
        </w:rPr>
        <w:tab/>
      </w:r>
      <w:r>
        <w:rPr>
          <w:rFonts w:ascii="Arial" w:cs="Arial" w:eastAsia="Arial" w:hAnsi="Arial"/>
          <w:sz w:val="17"/>
          <w:szCs w:val="17"/>
          <w:color w:val="auto"/>
        </w:rPr>
        <w:t>(Minor)</w:t>
      </w:r>
    </w:p>
    <w:p>
      <w:pPr>
        <w:spacing w:after="0" w:line="9" w:lineRule="exact"/>
        <w:rPr>
          <w:sz w:val="20"/>
          <w:szCs w:val="20"/>
          <w:color w:val="auto"/>
        </w:rPr>
      </w:pPr>
    </w:p>
    <w:p>
      <w:pPr>
        <w:ind w:left="860"/>
        <w:spacing w:after="0"/>
        <w:tabs>
          <w:tab w:leader="none" w:pos="5760" w:val="left"/>
        </w:tabs>
        <w:rPr>
          <w:sz w:val="20"/>
          <w:szCs w:val="20"/>
          <w:color w:val="auto"/>
        </w:rPr>
      </w:pPr>
      <w:r>
        <w:rPr>
          <w:rFonts w:ascii="Arial" w:cs="Arial" w:eastAsia="Arial" w:hAnsi="Arial"/>
          <w:sz w:val="18"/>
          <w:szCs w:val="18"/>
          <w:color w:val="auto"/>
        </w:rPr>
        <w:t>common</w:t>
      </w:r>
      <w:r>
        <w:rPr>
          <w:sz w:val="20"/>
          <w:szCs w:val="20"/>
          <w:color w:val="auto"/>
        </w:rPr>
        <w:tab/>
      </w:r>
      <w:r>
        <w:rPr>
          <w:rFonts w:ascii="Arial" w:cs="Arial" w:eastAsia="Arial" w:hAnsi="Arial"/>
          <w:sz w:val="18"/>
          <w:szCs w:val="18"/>
          <w:color w:val="auto"/>
        </w:rPr>
        <w:t>under Uniform Gifts/Transfers to</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CD Minors Act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(State)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OF COMMON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9040" w:type="dxa"/>
            <w:vAlign w:val="bottom"/>
            <w:gridSpan w:val="3"/>
          </w:tcPr>
          <w:p>
            <w:pPr>
              <w:ind w:left="400"/>
              <w:spacing w:after="0"/>
              <w:rPr>
                <w:sz w:val="20"/>
                <w:szCs w:val="20"/>
                <w:color w:val="auto"/>
              </w:rPr>
            </w:pPr>
            <w:r>
              <w:rPr>
                <w:rFonts w:ascii="Arial" w:cs="Arial" w:eastAsia="Arial" w:hAnsi="Arial"/>
                <w:sz w:val="18"/>
                <w:szCs w:val="18"/>
                <w:color w:val="auto"/>
              </w:rPr>
              <w:t>hereby assigns, conveys, sells and transfers unto</w:t>
            </w: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5520" w:type="dxa"/>
            <w:vAlign w:val="bottom"/>
            <w:tcBorders>
              <w:bottom w:val="single" w:sz="8" w:color="auto"/>
            </w:tcBorders>
            <w:gridSpan w:val="2"/>
          </w:tcPr>
          <w:p>
            <w:pPr>
              <w:spacing w:after="0"/>
              <w:rPr>
                <w:sz w:val="24"/>
                <w:szCs w:val="24"/>
                <w:color w:val="auto"/>
              </w:rPr>
            </w:pPr>
          </w:p>
        </w:tc>
        <w:tc>
          <w:tcPr>
            <w:tcW w:w="240" w:type="dxa"/>
            <w:vAlign w:val="bottom"/>
            <w:vMerge w:val="restart"/>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4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(Please insert Social Security or other identifying number of assignee)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Common Units representing limited partner interests evidenced by this Certificate, subject to the Partnership Agreement, and does hereby irrevocably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constitute and appoint</w:t>
            </w:r>
          </w:p>
        </w:tc>
        <w:tc>
          <w:tcPr>
            <w:tcW w:w="9380" w:type="dxa"/>
            <w:vAlign w:val="bottom"/>
            <w:gridSpan w:val="2"/>
          </w:tcPr>
          <w:p>
            <w:pPr>
              <w:ind w:left="280"/>
              <w:spacing w:after="0"/>
              <w:rPr>
                <w:sz w:val="20"/>
                <w:szCs w:val="20"/>
                <w:color w:val="auto"/>
              </w:rPr>
            </w:pPr>
            <w:r>
              <w:rPr>
                <w:rFonts w:ascii="Arial" w:cs="Arial" w:eastAsia="Arial" w:hAnsi="Arial"/>
                <w:sz w:val="18"/>
                <w:szCs w:val="18"/>
                <w:color w:val="auto"/>
                <w:w w:val="93"/>
              </w:rPr>
              <w:t>as its attorney-in-fact with full power of substitution to transfer the same on the books of Plains All American Pipeline, L.P.</w:t>
            </w:r>
          </w:p>
        </w:tc>
      </w:tr>
      <w:tr>
        <w:trPr>
          <w:trHeight w:val="418"/>
        </w:trPr>
        <w:tc>
          <w:tcPr>
            <w:tcW w:w="1860" w:type="dxa"/>
            <w:vAlign w:val="bottom"/>
            <w:gridSpan w:val="2"/>
          </w:tcPr>
          <w:p>
            <w:pPr>
              <w:spacing w:after="0"/>
              <w:rPr>
                <w:sz w:val="20"/>
                <w:szCs w:val="20"/>
                <w:color w:val="auto"/>
              </w:rPr>
            </w:pPr>
            <w:r>
              <w:rPr>
                <w:rFonts w:ascii="Arial" w:cs="Arial" w:eastAsia="Arial" w:hAnsi="Arial"/>
                <w:sz w:val="18"/>
                <w:szCs w:val="18"/>
                <w:color w:val="auto"/>
              </w:rPr>
              <w:t>Date:</w:t>
            </w:r>
          </w:p>
        </w:tc>
        <w:tc>
          <w:tcPr>
            <w:tcW w:w="368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w w:val="90"/>
              </w:rPr>
              <w:t>NOTE: The signature to any endorsement hereon must correspond with the</w:t>
            </w:r>
          </w:p>
        </w:tc>
      </w:tr>
      <w:tr>
        <w:trPr>
          <w:trHeight w:val="182"/>
        </w:trPr>
        <w:tc>
          <w:tcPr>
            <w:tcW w:w="5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tcPr>
          <w:p>
            <w:pPr>
              <w:spacing w:after="0"/>
              <w:rPr>
                <w:sz w:val="15"/>
                <w:szCs w:val="15"/>
                <w:color w:val="auto"/>
              </w:rPr>
            </w:pPr>
          </w:p>
        </w:tc>
        <w:tc>
          <w:tcPr>
            <w:tcW w:w="5700" w:type="dxa"/>
            <w:vAlign w:val="bottom"/>
          </w:tcPr>
          <w:p>
            <w:pPr>
              <w:ind w:left="240"/>
              <w:spacing w:after="0" w:line="182" w:lineRule="exact"/>
              <w:rPr>
                <w:sz w:val="20"/>
                <w:szCs w:val="20"/>
                <w:color w:val="auto"/>
              </w:rPr>
            </w:pPr>
            <w:r>
              <w:rPr>
                <w:rFonts w:ascii="Arial" w:cs="Arial" w:eastAsia="Arial" w:hAnsi="Arial"/>
                <w:sz w:val="18"/>
                <w:szCs w:val="18"/>
                <w:color w:val="auto"/>
                <w:w w:val="91"/>
              </w:rPr>
              <w:t>name as written upon the face of this Certificate in every particular, without</w:t>
            </w:r>
          </w:p>
        </w:tc>
      </w:tr>
      <w:tr>
        <w:trPr>
          <w:trHeight w:val="230"/>
        </w:trPr>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alteration, enlargement or change.</w:t>
            </w:r>
          </w:p>
        </w:tc>
      </w:tr>
    </w:tbl>
    <w:p>
      <w:pPr>
        <w:spacing w:after="0" w:line="198"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63" w:lineRule="auto"/>
        <w:rPr>
          <w:sz w:val="20"/>
          <w:szCs w:val="20"/>
          <w:color w:val="auto"/>
        </w:rPr>
      </w:pPr>
      <w:r>
        <w:rPr>
          <w:rFonts w:ascii="Arial" w:cs="Arial" w:eastAsia="Arial" w:hAnsi="Arial"/>
          <w:sz w:val="18"/>
          <w:szCs w:val="18"/>
          <w:b w:val="1"/>
          <w:bCs w:val="1"/>
          <w:color w:val="auto"/>
        </w:rPr>
        <w:t>SIGNATURE(S) MUST BE GUARANTEED BY A MEMBER FIRM OF THE NATIONAL ASSOCIATION OF SECURITIES DEALERS, INC. OR BY A COMMERCIAL BANK OR TRUST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5845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5845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5340" w:space="440"/>
            <w:col w:w="5680"/>
          </w:cols>
          <w:pgMar w:left="240" w:top="125" w:right="199" w:bottom="0" w:gutter="0" w:footer="0" w:header="0"/>
          <w:type w:val="continuous"/>
        </w:sectPr>
      </w:pPr>
    </w:p>
    <w:p>
      <w:pPr>
        <w:spacing w:after="0" w:line="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 transfer of the Common Units evidenced hereby will be registered on the books of the Partnership, unless the Certificate evidencing the Common Units to be transferred is surrendered for registration or transfer. A transferor of the Common Units shall have no duty to the transferee in order for such transferee to obtain registration of the transfer of the Common Units.</w:t>
      </w:r>
    </w:p>
    <w:p>
      <w:pPr>
        <w:sectPr>
          <w:pgSz w:w="11900" w:h="16838" w:orient="portrait"/>
          <w:cols w:equalWidth="0" w:num="1">
            <w:col w:w="11460"/>
          </w:cols>
          <w:pgMar w:left="240" w:top="125" w:right="199"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Sixth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Evidencing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tabs>
          <w:tab w:leader="none" w:pos="964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Series A Preferred Units</w:t>
      </w:r>
    </w:p>
    <w:p>
      <w:pPr>
        <w:spacing w:after="0" w:line="24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accordance with Section 5.14(b)(v) of the Sixth Amended and Restated Agreement of Limited Partnership of Plains All American Pipeline,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Plains All American Pipeline, L.P., a Delaware limited partnership</w:t>
      </w:r>
    </w:p>
    <w:p>
      <w:pPr>
        <w:ind w:right="80"/>
        <w:spacing w:after="0" w:line="25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Partnership</w:t>
      </w:r>
      <w:r>
        <w:rPr>
          <w:rFonts w:ascii="Arial" w:cs="Arial" w:eastAsia="Arial" w:hAnsi="Arial"/>
          <w:sz w:val="18"/>
          <w:szCs w:val="18"/>
          <w:color w:val="auto"/>
        </w:rPr>
        <w:t>”), hereby certifies that (the “</w:t>
      </w:r>
      <w:r>
        <w:rPr>
          <w:rFonts w:ascii="Arial" w:cs="Arial" w:eastAsia="Arial" w:hAnsi="Arial"/>
          <w:sz w:val="18"/>
          <w:szCs w:val="18"/>
          <w:i w:val="1"/>
          <w:iCs w:val="1"/>
          <w:color w:val="auto"/>
        </w:rPr>
        <w:t>Holder</w:t>
      </w:r>
      <w:r>
        <w:rPr>
          <w:rFonts w:ascii="Arial" w:cs="Arial" w:eastAsia="Arial" w:hAnsi="Arial"/>
          <w:sz w:val="18"/>
          <w:szCs w:val="18"/>
          <w:color w:val="auto"/>
        </w:rPr>
        <w:t>”) is the registered owner of Series A Convertible Preferred Units representing limited partner interests in the Partnership (the “</w:t>
      </w:r>
      <w:r>
        <w:rPr>
          <w:rFonts w:ascii="Arial" w:cs="Arial" w:eastAsia="Arial" w:hAnsi="Arial"/>
          <w:sz w:val="18"/>
          <w:szCs w:val="18"/>
          <w:i w:val="1"/>
          <w:iCs w:val="1"/>
          <w:color w:val="auto"/>
        </w:rPr>
        <w:t>Series A Preferred Units</w:t>
      </w:r>
      <w:r>
        <w:rPr>
          <w:rFonts w:ascii="Arial" w:cs="Arial" w:eastAsia="Arial" w:hAnsi="Arial"/>
          <w:sz w:val="18"/>
          <w:szCs w:val="18"/>
          <w:color w:val="auto"/>
        </w:rPr>
        <w:t>”), transferable on the books of the Partnership, in person or by duly authorized attorney, upon surrender of this Certificate properly endorsed. The rights, preferences and limitations of the Series A Preferred Units are set forth in, and this Certificate and the Series A Preferred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Certificate shall be governed by, and construed in accordance with, the laws of the State of Delaware, without regard to principles of conflict of laws thereof.</w:t>
      </w:r>
    </w:p>
    <w:p>
      <w:pPr>
        <w:spacing w:after="0" w:line="170"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DOES NOT REQUIRE REGISTRATION UNDER SUCH ACT. THIS SECURITY IS SUBJECT TO CERTAIN RESTRICTIONS ON TRANSFER SET FORTH IN THE SIXTH AMENDED AND RESTATED LIMITED PARTNERSHIP AGREEMENT OF THE PARTNERSHIP, DATED AS OF [•], 2016, A COPY OF WHICH MAY BE OBTAINED FROM THE PARTNERSHIP AT ITS PRINCIPAL EXECUTIVE OFFICES.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Certificate shall not be valid for any purpose unless it has been countersigned and registered by the General Partner, as transfer agent for the Series A Preferred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642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PAA GP LLC, as general partner of the Partnership</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14605</wp:posOffset>
            </wp:positionV>
            <wp:extent cx="31299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-130810</wp:posOffset>
            </wp:positionV>
            <wp:extent cx="31299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Countersigned and registered: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 as transfer agent for the Series A Preferred Units</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4" w:name="page85"/>
    <w:bookmarkEnd w:id="84"/>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[Reverse of Certificate]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w w:val="94"/>
              </w:rPr>
              <w:t>TEN COM — as tenants in common</w:t>
            </w:r>
          </w:p>
        </w:tc>
        <w:tc>
          <w:tcPr>
            <w:tcW w:w="28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9"/>
              </w:rPr>
              <w:t>UNIF GIFT MIN ACT</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TEN ENT — as tenants by the entireties</w:t>
            </w:r>
          </w:p>
        </w:tc>
        <w:tc>
          <w:tcPr>
            <w:tcW w:w="240" w:type="dxa"/>
            <w:vAlign w:val="bottom"/>
          </w:tcPr>
          <w:p>
            <w:pPr>
              <w:spacing w:after="0"/>
              <w:rPr>
                <w:sz w:val="18"/>
                <w:szCs w:val="18"/>
                <w:color w:val="auto"/>
              </w:rPr>
            </w:pPr>
          </w:p>
        </w:tc>
        <w:tc>
          <w:tcPr>
            <w:tcW w:w="5680" w:type="dxa"/>
            <w:vAlign w:val="bottom"/>
            <w:gridSpan w:val="3"/>
          </w:tcPr>
          <w:p>
            <w:pPr>
              <w:ind w:left="106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w w:val="95"/>
              </w:rPr>
              <w:t>JT TEN — as joint tenants with right of survivorship and not as tenants in</w:t>
            </w:r>
          </w:p>
        </w:tc>
        <w:tc>
          <w:tcPr>
            <w:tcW w:w="240" w:type="dxa"/>
            <w:vAlign w:val="bottom"/>
          </w:tcPr>
          <w:p>
            <w:pPr>
              <w:spacing w:after="0"/>
              <w:rPr>
                <w:sz w:val="18"/>
                <w:szCs w:val="18"/>
                <w:color w:val="auto"/>
              </w:rPr>
            </w:pPr>
          </w:p>
        </w:tc>
        <w:tc>
          <w:tcPr>
            <w:tcW w:w="1660" w:type="dxa"/>
            <w:vAlign w:val="bottom"/>
          </w:tcPr>
          <w:p>
            <w:pPr>
              <w:ind w:left="520"/>
              <w:spacing w:after="0"/>
              <w:rPr>
                <w:sz w:val="20"/>
                <w:szCs w:val="20"/>
                <w:color w:val="auto"/>
              </w:rPr>
            </w:pPr>
            <w:r>
              <w:rPr>
                <w:rFonts w:ascii="Arial" w:cs="Arial" w:eastAsia="Arial" w:hAnsi="Arial"/>
                <w:sz w:val="18"/>
                <w:szCs w:val="18"/>
                <w:color w:val="auto"/>
              </w:rPr>
              <w:t>(Cust)</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860"/>
              <w:spacing w:after="0"/>
              <w:rPr>
                <w:sz w:val="20"/>
                <w:szCs w:val="20"/>
                <w:color w:val="auto"/>
              </w:rPr>
            </w:pPr>
            <w:r>
              <w:rPr>
                <w:rFonts w:ascii="Arial" w:cs="Arial" w:eastAsia="Arial" w:hAnsi="Arial"/>
                <w:sz w:val="18"/>
                <w:szCs w:val="18"/>
                <w:color w:val="auto"/>
              </w:rPr>
              <w:t>common</w:t>
            </w:r>
          </w:p>
        </w:tc>
        <w:tc>
          <w:tcPr>
            <w:tcW w:w="28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4"/>
              </w:rPr>
              <w:t>under Uniform Gifts to</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Minors Act</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ind w:left="1140"/>
              <w:spacing w:after="0"/>
              <w:rPr>
                <w:sz w:val="20"/>
                <w:szCs w:val="20"/>
                <w:color w:val="auto"/>
              </w:rPr>
            </w:pPr>
            <w:r>
              <w:rPr>
                <w:rFonts w:ascii="Arial" w:cs="Arial" w:eastAsia="Arial" w:hAnsi="Arial"/>
                <w:sz w:val="18"/>
                <w:szCs w:val="18"/>
                <w:color w:val="auto"/>
                <w:w w:val="92"/>
              </w:rPr>
              <w:t>(State)</w:t>
            </w:r>
          </w:p>
        </w:tc>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740" w:type="dxa"/>
            <w:vAlign w:val="bottom"/>
            <w:gridSpan w:val="5"/>
          </w:tcPr>
          <w:p>
            <w:pPr>
              <w:jc w:val="center"/>
              <w:ind w:right="2760"/>
              <w:spacing w:after="0"/>
              <w:rPr>
                <w:sz w:val="20"/>
                <w:szCs w:val="20"/>
                <w:color w:val="auto"/>
              </w:rPr>
            </w:pPr>
            <w:r>
              <w:rPr>
                <w:rFonts w:ascii="Arial" w:cs="Arial" w:eastAsia="Arial" w:hAnsi="Arial"/>
                <w:sz w:val="18"/>
                <w:szCs w:val="18"/>
                <w:color w:val="auto"/>
                <w:w w:val="91"/>
              </w:rPr>
              <w:t>Additional abbreviations, though not in the above list, may also be used.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00" w:type="dxa"/>
            <w:vAlign w:val="bottom"/>
            <w:gridSpan w:val="2"/>
          </w:tcPr>
          <w:p>
            <w:pPr>
              <w:jc w:val="center"/>
              <w:ind w:right="1470"/>
              <w:spacing w:after="0"/>
              <w:rPr>
                <w:sz w:val="20"/>
                <w:szCs w:val="20"/>
                <w:color w:val="auto"/>
              </w:rPr>
            </w:pPr>
            <w:r>
              <w:rPr>
                <w:rFonts w:ascii="Arial" w:cs="Arial" w:eastAsia="Arial" w:hAnsi="Arial"/>
                <w:sz w:val="18"/>
                <w:szCs w:val="18"/>
                <w:color w:val="auto"/>
                <w:w w:val="92"/>
              </w:rPr>
              <w:t>B-4</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gridSpan w:val="2"/>
          </w:tcPr>
          <w:p>
            <w:pPr>
              <w:spacing w:after="0"/>
              <w:rPr>
                <w:sz w:val="11"/>
                <w:szCs w:val="11"/>
                <w:color w:val="auto"/>
              </w:rPr>
            </w:pPr>
          </w:p>
        </w:tc>
        <w:tc>
          <w:tcPr>
            <w:tcW w:w="56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740" w:type="dxa"/>
            <w:vAlign w:val="bottom"/>
            <w:gridSpan w:val="5"/>
          </w:tcPr>
          <w:p>
            <w:pPr>
              <w:jc w:val="center"/>
              <w:ind w:right="2760"/>
              <w:spacing w:after="0"/>
              <w:rPr>
                <w:sz w:val="20"/>
                <w:szCs w:val="20"/>
                <w:color w:val="auto"/>
              </w:rPr>
            </w:pPr>
            <w:r>
              <w:rPr>
                <w:rFonts w:ascii="Arial" w:cs="Arial" w:eastAsia="Arial" w:hAnsi="Arial"/>
                <w:sz w:val="18"/>
                <w:szCs w:val="18"/>
                <w:b w:val="1"/>
                <w:bCs w:val="1"/>
                <w:color w:val="auto"/>
                <w:w w:val="99"/>
              </w:rPr>
              <w:t>ASSIGNMENT OF SERIES A PREFERRED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00" w:type="dxa"/>
            <w:vAlign w:val="bottom"/>
            <w:gridSpan w:val="2"/>
          </w:tcPr>
          <w:p>
            <w:pPr>
              <w:jc w:val="center"/>
              <w:ind w:right="1470"/>
              <w:spacing w:after="0"/>
              <w:rPr>
                <w:sz w:val="20"/>
                <w:szCs w:val="20"/>
                <w:color w:val="auto"/>
              </w:rPr>
            </w:pPr>
            <w:r>
              <w:rPr>
                <w:rFonts w:ascii="Arial" w:cs="Arial" w:eastAsia="Arial" w:hAnsi="Arial"/>
                <w:sz w:val="18"/>
                <w:szCs w:val="18"/>
                <w:b w:val="1"/>
                <w:bCs w:val="1"/>
                <w:color w:val="auto"/>
                <w:w w:val="87"/>
              </w:rPr>
              <w:t>in</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2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rPr>
              <w:t>PLAINS ALL AMERICAN PIPELINE, L.P.</w:t>
            </w:r>
          </w:p>
        </w:tc>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4720" w:type="dxa"/>
            <w:vAlign w:val="bottom"/>
            <w:gridSpan w:val="3"/>
          </w:tcPr>
          <w:p>
            <w:pPr>
              <w:ind w:left="60"/>
              <w:spacing w:after="0"/>
              <w:rPr>
                <w:sz w:val="20"/>
                <w:szCs w:val="20"/>
                <w:color w:val="auto"/>
              </w:rPr>
            </w:pPr>
            <w:r>
              <w:rPr>
                <w:rFonts w:ascii="Arial" w:cs="Arial" w:eastAsia="Arial" w:hAnsi="Arial"/>
                <w:sz w:val="18"/>
                <w:szCs w:val="18"/>
                <w:color w:val="auto"/>
              </w:rPr>
              <w:t>hereby assigns, conveys, sells and transfers unto</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5520" w:type="dxa"/>
            <w:vAlign w:val="bottom"/>
            <w:tcBorders>
              <w:bottom w:val="single" w:sz="8" w:color="auto"/>
            </w:tcBorders>
            <w:gridSpan w:val="2"/>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tcBorders>
              <w:bottom w:val="single" w:sz="8" w:color="auto"/>
            </w:tcBorders>
            <w:gridSpan w:val="2"/>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9"/>
              </w:rPr>
              <w:t>((Please insert Social Security or other identifying number of Assignee)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-1640205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-1640205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Series A Preferred Units representing limited partner interests evidenced by this Certificate, subject to the Partnership Agreement, and does hereby</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irrevocably constitute and appoint as its attorney-in-fact with full power of substitution to transfer the same on the books of Plains All American Pipeline, L.P.</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Borders>
              <w:bottom w:val="single" w:sz="8" w:color="auto"/>
            </w:tcBorders>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w w:val="90"/>
              </w:rPr>
              <w:t>NOTE: The signature to any endorsement hereon must correspond with the</w:t>
            </w:r>
          </w:p>
        </w:tc>
      </w:tr>
      <w:tr>
        <w:trPr>
          <w:trHeight w:val="182"/>
        </w:trPr>
        <w:tc>
          <w:tcPr>
            <w:tcW w:w="6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700" w:type="dxa"/>
            <w:vAlign w:val="bottom"/>
          </w:tcPr>
          <w:p>
            <w:pPr>
              <w:ind w:left="240"/>
              <w:spacing w:after="0" w:line="182" w:lineRule="exact"/>
              <w:rPr>
                <w:sz w:val="20"/>
                <w:szCs w:val="20"/>
                <w:color w:val="auto"/>
              </w:rPr>
            </w:pPr>
            <w:r>
              <w:rPr>
                <w:rFonts w:ascii="Arial" w:cs="Arial" w:eastAsia="Arial" w:hAnsi="Arial"/>
                <w:sz w:val="18"/>
                <w:szCs w:val="18"/>
                <w:color w:val="auto"/>
                <w:w w:val="91"/>
              </w:rPr>
              <w:t>name as written upon the face of this Certificate in every particular, without</w:t>
            </w:r>
          </w:p>
        </w:tc>
      </w:tr>
      <w:tr>
        <w:trPr>
          <w:trHeight w:val="230"/>
        </w:trPr>
        <w:tc>
          <w:tcPr>
            <w:tcW w:w="6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alteration, enlargement or change.</w:t>
            </w:r>
          </w:p>
        </w:tc>
      </w:tr>
    </w:tbl>
    <w:p>
      <w:pPr>
        <w:spacing w:after="0" w:line="198" w:lineRule="exact"/>
        <w:rPr>
          <w:sz w:val="20"/>
          <w:szCs w:val="20"/>
          <w:color w:val="auto"/>
        </w:rPr>
      </w:pPr>
    </w:p>
    <w:p>
      <w:pPr>
        <w:sectPr>
          <w:pgSz w:w="11900" w:h="16838" w:orient="portrait"/>
          <w:cols w:equalWidth="0" w:num="1">
            <w:col w:w="11460"/>
          </w:cols>
          <w:pgMar w:left="240" w:top="341" w:right="199" w:bottom="0" w:gutter="0" w:footer="0" w:header="0"/>
        </w:sectPr>
      </w:pPr>
    </w:p>
    <w:p>
      <w:pPr>
        <w:spacing w:after="0" w:line="261" w:lineRule="auto"/>
        <w:rPr>
          <w:sz w:val="20"/>
          <w:szCs w:val="20"/>
          <w:color w:val="auto"/>
        </w:rPr>
      </w:pPr>
      <w:r>
        <w:rPr>
          <w:rFonts w:ascii="Arial" w:cs="Arial" w:eastAsia="Arial" w:hAnsi="Arial"/>
          <w:sz w:val="18"/>
          <w:szCs w:val="18"/>
          <w:b w:val="1"/>
          <w:bCs w:val="1"/>
          <w:color w:val="auto"/>
        </w:rPr>
        <w:t>SIGNATURE(S) MUST BE GUARANTEED BY A MEMBER FIRM OF THE NATIONAL ASSOCIATION OF SECURITIES DEALERS, INC. OR BY A COMMERCIAL BANK OR TRUST COMPANY SIGNATURE(S)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576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576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867" w:lineRule="exact"/>
        <w:rPr>
          <w:sz w:val="20"/>
          <w:szCs w:val="20"/>
          <w:color w:val="auto"/>
        </w:rPr>
      </w:pPr>
    </w:p>
    <w:p>
      <w:pPr>
        <w:sectPr>
          <w:pgSz w:w="11900" w:h="16838" w:orient="portrait"/>
          <w:cols w:equalWidth="0" w:num="2">
            <w:col w:w="5340" w:space="440"/>
            <w:col w:w="5680"/>
          </w:cols>
          <w:pgMar w:left="240" w:top="341" w:right="199" w:bottom="0" w:gutter="0" w:footer="0" w:header="0"/>
          <w:type w:val="continuous"/>
        </w:sectPr>
      </w:pPr>
    </w:p>
    <w:p>
      <w:pPr>
        <w:spacing w:after="0" w:line="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 transfer of the Series A Preferred Units evidenced hereby will be registered on the books of the Partnership, unless the Certificate evidencing the Series A Preferred Units to be transferred is surrendered for registration of transfer.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B-5</w:t>
            </w:r>
          </w:p>
        </w:tc>
      </w:tr>
      <w:tr>
        <w:trPr>
          <w:trHeight w:val="132"/>
        </w:trPr>
        <w:tc>
          <w:tcPr>
            <w:tcW w:w="34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gridSpan w:val="2"/>
          </w:tcPr>
          <w:p>
            <w:pPr>
              <w:spacing w:after="0"/>
              <w:rPr>
                <w:sz w:val="11"/>
                <w:szCs w:val="11"/>
                <w:color w:val="auto"/>
              </w:rPr>
            </w:pPr>
          </w:p>
        </w:tc>
      </w:tr>
      <w:tr>
        <w:trPr>
          <w:trHeight w:val="780"/>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ASSIGNEE CERTIFICATION</w:t>
            </w: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Type of Entity (check one):</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o</w:t>
            </w:r>
          </w:p>
        </w:tc>
        <w:tc>
          <w:tcPr>
            <w:tcW w:w="2080" w:type="dxa"/>
            <w:vAlign w:val="bottom"/>
          </w:tcPr>
          <w:p>
            <w:pPr>
              <w:ind w:left="240"/>
              <w:spacing w:after="0"/>
              <w:rPr>
                <w:sz w:val="20"/>
                <w:szCs w:val="20"/>
                <w:color w:val="auto"/>
              </w:rPr>
            </w:pPr>
            <w:r>
              <w:rPr>
                <w:rFonts w:ascii="Arial" w:cs="Arial" w:eastAsia="Arial" w:hAnsi="Arial"/>
                <w:sz w:val="18"/>
                <w:szCs w:val="18"/>
                <w:color w:val="auto"/>
              </w:rPr>
              <w:t>Individual</w:t>
            </w:r>
          </w:p>
        </w:tc>
        <w:tc>
          <w:tcPr>
            <w:tcW w:w="760" w:type="dxa"/>
            <w:vAlign w:val="bottom"/>
          </w:tcPr>
          <w:p>
            <w:pPr>
              <w:ind w:left="420"/>
              <w:spacing w:after="0"/>
              <w:rPr>
                <w:sz w:val="20"/>
                <w:szCs w:val="20"/>
                <w:color w:val="auto"/>
              </w:rPr>
            </w:pPr>
            <w:r>
              <w:rPr>
                <w:rFonts w:ascii="Arial" w:cs="Arial" w:eastAsia="Arial" w:hAnsi="Arial"/>
                <w:sz w:val="18"/>
                <w:szCs w:val="18"/>
                <w:color w:val="auto"/>
              </w:rPr>
              <w:t>o</w:t>
            </w:r>
          </w:p>
        </w:tc>
        <w:tc>
          <w:tcPr>
            <w:tcW w:w="1200" w:type="dxa"/>
            <w:vAlign w:val="bottom"/>
          </w:tcPr>
          <w:p>
            <w:pPr>
              <w:ind w:left="240"/>
              <w:spacing w:after="0"/>
              <w:rPr>
                <w:sz w:val="20"/>
                <w:szCs w:val="20"/>
                <w:color w:val="auto"/>
              </w:rPr>
            </w:pPr>
            <w:r>
              <w:rPr>
                <w:rFonts w:ascii="Arial" w:cs="Arial" w:eastAsia="Arial" w:hAnsi="Arial"/>
                <w:sz w:val="18"/>
                <w:szCs w:val="18"/>
                <w:color w:val="auto"/>
              </w:rPr>
              <w:t>Partnership</w:t>
            </w:r>
          </w:p>
        </w:tc>
        <w:tc>
          <w:tcPr>
            <w:tcW w:w="960" w:type="dxa"/>
            <w:vAlign w:val="bottom"/>
          </w:tcPr>
          <w:p>
            <w:pPr>
              <w:ind w:left="640"/>
              <w:spacing w:after="0"/>
              <w:rPr>
                <w:sz w:val="20"/>
                <w:szCs w:val="20"/>
                <w:color w:val="auto"/>
              </w:rPr>
            </w:pPr>
            <w:r>
              <w:rPr>
                <w:rFonts w:ascii="Arial" w:cs="Arial" w:eastAsia="Arial" w:hAnsi="Arial"/>
                <w:sz w:val="18"/>
                <w:szCs w:val="18"/>
                <w:color w:val="auto"/>
              </w:rPr>
              <w:t>o</w:t>
            </w:r>
          </w:p>
        </w:tc>
        <w:tc>
          <w:tcPr>
            <w:tcW w:w="6120" w:type="dxa"/>
            <w:vAlign w:val="bottom"/>
          </w:tcPr>
          <w:p>
            <w:pPr>
              <w:ind w:left="260"/>
              <w:spacing w:after="0"/>
              <w:rPr>
                <w:sz w:val="20"/>
                <w:szCs w:val="20"/>
                <w:color w:val="auto"/>
              </w:rPr>
            </w:pPr>
            <w:r>
              <w:rPr>
                <w:rFonts w:ascii="Arial" w:cs="Arial" w:eastAsia="Arial" w:hAnsi="Arial"/>
                <w:sz w:val="18"/>
                <w:szCs w:val="18"/>
                <w:color w:val="auto"/>
              </w:rPr>
              <w:t>Corporation</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o</w:t>
            </w:r>
          </w:p>
        </w:tc>
        <w:tc>
          <w:tcPr>
            <w:tcW w:w="2080" w:type="dxa"/>
            <w:vAlign w:val="bottom"/>
          </w:tcPr>
          <w:p>
            <w:pPr>
              <w:ind w:left="240"/>
              <w:spacing w:after="0"/>
              <w:rPr>
                <w:sz w:val="20"/>
                <w:szCs w:val="20"/>
                <w:color w:val="auto"/>
              </w:rPr>
            </w:pPr>
            <w:r>
              <w:rPr>
                <w:rFonts w:ascii="Arial" w:cs="Arial" w:eastAsia="Arial" w:hAnsi="Arial"/>
                <w:sz w:val="18"/>
                <w:szCs w:val="18"/>
                <w:color w:val="auto"/>
              </w:rPr>
              <w:t>Trust</w:t>
            </w:r>
          </w:p>
        </w:tc>
        <w:tc>
          <w:tcPr>
            <w:tcW w:w="760" w:type="dxa"/>
            <w:vAlign w:val="bottom"/>
          </w:tcPr>
          <w:p>
            <w:pPr>
              <w:ind w:left="420"/>
              <w:spacing w:after="0"/>
              <w:rPr>
                <w:sz w:val="20"/>
                <w:szCs w:val="20"/>
                <w:color w:val="auto"/>
              </w:rPr>
            </w:pPr>
            <w:r>
              <w:rPr>
                <w:rFonts w:ascii="Arial" w:cs="Arial" w:eastAsia="Arial" w:hAnsi="Arial"/>
                <w:sz w:val="18"/>
                <w:szCs w:val="18"/>
                <w:color w:val="auto"/>
              </w:rPr>
              <w:t>o</w:t>
            </w:r>
          </w:p>
        </w:tc>
        <w:tc>
          <w:tcPr>
            <w:tcW w:w="2160" w:type="dxa"/>
            <w:vAlign w:val="bottom"/>
            <w:gridSpan w:val="2"/>
          </w:tcPr>
          <w:p>
            <w:pPr>
              <w:ind w:left="240"/>
              <w:spacing w:after="0"/>
              <w:rPr>
                <w:sz w:val="20"/>
                <w:szCs w:val="20"/>
                <w:color w:val="auto"/>
              </w:rPr>
            </w:pPr>
            <w:r>
              <w:rPr>
                <w:rFonts w:ascii="Arial" w:cs="Arial" w:eastAsia="Arial" w:hAnsi="Arial"/>
                <w:sz w:val="18"/>
                <w:szCs w:val="18"/>
                <w:color w:val="auto"/>
              </w:rPr>
              <w:t>Other (specify)</w:t>
            </w:r>
          </w:p>
        </w:tc>
        <w:tc>
          <w:tcPr>
            <w:tcW w:w="6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Nationality (check one):</w:t>
      </w:r>
    </w:p>
    <w:p>
      <w:pPr>
        <w:spacing w:after="0" w:line="225" w:lineRule="exact"/>
        <w:rPr>
          <w:sz w:val="20"/>
          <w:szCs w:val="20"/>
          <w:color w:val="auto"/>
        </w:rPr>
      </w:pPr>
    </w:p>
    <w:p>
      <w:pPr>
        <w:ind w:left="580" w:hanging="572"/>
        <w:spacing w:after="0"/>
        <w:tabs>
          <w:tab w:leader="none" w:pos="5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U.S. Citizen, Resident or Domestic Entity</w:t>
      </w:r>
    </w:p>
    <w:p>
      <w:pPr>
        <w:sectPr>
          <w:pgSz w:w="11900" w:h="16838" w:orient="portrait"/>
          <w:cols w:equalWidth="0" w:num="1">
            <w:col w:w="11460"/>
          </w:cols>
          <w:pgMar w:left="240" w:top="341" w:right="199" w:bottom="0" w:gutter="0" w:footer="0" w:header="0"/>
          <w:type w:val="continuous"/>
        </w:sectPr>
      </w:pPr>
    </w:p>
    <w:bookmarkStart w:id="85" w:name="page86"/>
    <w:bookmarkEnd w:id="85"/>
    <w:p>
      <w:pPr>
        <w:spacing w:after="0"/>
        <w:tabs>
          <w:tab w:leader="none" w:pos="560" w:val="left"/>
          <w:tab w:leader="none" w:pos="2840" w:val="left"/>
          <w:tab w:leader="none" w:pos="34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Foreign Corporation</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Non-resident Alien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Complete Either A or B:</w:t>
      </w:r>
    </w:p>
    <w:p>
      <w:pPr>
        <w:spacing w:after="0" w:line="225" w:lineRule="exact"/>
        <w:rPr>
          <w:sz w:val="20"/>
          <w:szCs w:val="20"/>
          <w:color w:val="auto"/>
        </w:rPr>
      </w:pPr>
    </w:p>
    <w:p>
      <w:pPr>
        <w:ind w:left="660" w:hanging="652"/>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Individual Interestholder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5360" w:type="dxa"/>
            <w:vAlign w:val="bottom"/>
            <w:gridSpan w:val="2"/>
          </w:tcPr>
          <w:p>
            <w:pPr>
              <w:ind w:left="260"/>
              <w:spacing w:after="0"/>
              <w:rPr>
                <w:sz w:val="20"/>
                <w:szCs w:val="20"/>
                <w:color w:val="auto"/>
              </w:rPr>
            </w:pPr>
            <w:r>
              <w:rPr>
                <w:rFonts w:ascii="Arial" w:cs="Arial" w:eastAsia="Arial" w:hAnsi="Arial"/>
                <w:sz w:val="18"/>
                <w:szCs w:val="18"/>
                <w:color w:val="auto"/>
                <w:w w:val="97"/>
              </w:rPr>
              <w:t>My U.S. taxpayer identification number (social security number) is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2020" w:type="dxa"/>
            <w:vAlign w:val="bottom"/>
          </w:tcPr>
          <w:p>
            <w:pPr>
              <w:ind w:left="260"/>
              <w:spacing w:after="0"/>
              <w:rPr>
                <w:sz w:val="20"/>
                <w:szCs w:val="20"/>
                <w:color w:val="auto"/>
              </w:rPr>
            </w:pPr>
            <w:r>
              <w:rPr>
                <w:rFonts w:ascii="Arial" w:cs="Arial" w:eastAsia="Arial" w:hAnsi="Arial"/>
                <w:sz w:val="18"/>
                <w:szCs w:val="18"/>
                <w:color w:val="auto"/>
              </w:rPr>
              <w:t>My home address is:</w:t>
            </w:r>
          </w:p>
        </w:tc>
        <w:tc>
          <w:tcPr>
            <w:tcW w:w="3340" w:type="dxa"/>
            <w:vAlign w:val="bottom"/>
          </w:tcPr>
          <w:p>
            <w:pPr>
              <w:jc w:val="right"/>
              <w:ind w:right="29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Partnership, Corporation or Other Interestholder</w:t>
      </w:r>
    </w:p>
    <w:p>
      <w:pPr>
        <w:spacing w:after="0" w:line="225" w:lineRule="exact"/>
        <w:rPr>
          <w:sz w:val="20"/>
          <w:szCs w:val="20"/>
          <w:color w:val="auto"/>
        </w:rPr>
      </w:pPr>
    </w:p>
    <w:p>
      <w:pPr>
        <w:ind w:left="1300" w:right="580" w:hanging="644"/>
        <w:spacing w:after="0" w:line="277" w:lineRule="auto"/>
        <w:tabs>
          <w:tab w:leader="none" w:pos="206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 not a foreign corporation, foreign partnership, foreign trust or foreign estate (as those terms are defined in the Code and Treasury Regulations)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4920" w:type="dxa"/>
            <w:vAlign w:val="bottom"/>
          </w:tcPr>
          <w:p>
            <w:pPr>
              <w:ind w:left="260"/>
              <w:spacing w:after="0"/>
              <w:rPr>
                <w:sz w:val="20"/>
                <w:szCs w:val="20"/>
                <w:color w:val="auto"/>
              </w:rPr>
            </w:pPr>
            <w:r>
              <w:rPr>
                <w:rFonts w:ascii="Arial" w:cs="Arial" w:eastAsia="Arial" w:hAnsi="Arial"/>
                <w:sz w:val="18"/>
                <w:szCs w:val="18"/>
                <w:color w:val="auto"/>
                <w:w w:val="99"/>
              </w:rPr>
              <w:t>The interestholder’s U.S. employer identification number is</w:t>
            </w:r>
          </w:p>
        </w:tc>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6180" w:type="dxa"/>
            <w:vAlign w:val="bottom"/>
            <w:gridSpan w:val="2"/>
          </w:tcPr>
          <w:p>
            <w:pPr>
              <w:ind w:left="260"/>
              <w:spacing w:after="0"/>
              <w:rPr>
                <w:sz w:val="20"/>
                <w:szCs w:val="20"/>
                <w:color w:val="auto"/>
              </w:rPr>
            </w:pPr>
            <w:r>
              <w:rPr>
                <w:rFonts w:ascii="Arial" w:cs="Arial" w:eastAsia="Arial" w:hAnsi="Arial"/>
                <w:sz w:val="18"/>
                <w:szCs w:val="18"/>
                <w:color w:val="auto"/>
                <w:w w:val="95"/>
              </w:rPr>
              <w:t>The interestholder’s office address and place of incorporation (if applicable) is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24180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24180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24180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Note: If the assignee is a broker, dealer, bank, trust company, clearing corporation, other nominee holder or an agent of any of the foregoing, and is holding for the account of any other person, this certification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Series A Preferred Units shall be made to the best of Assignee’s knowledge.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EIGHTH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PARTNERSHIP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2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25" w:right="239" w:bottom="194"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78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560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4680" w:type="dxa"/>
            <w:vAlign w:val="bottom"/>
            <w:gridSpan w:val="2"/>
            <w:vMerge w:val="continue"/>
          </w:tcPr>
          <w:p>
            <w:pPr>
              <w:spacing w:after="0"/>
              <w:rPr>
                <w:sz w:val="19"/>
                <w:szCs w:val="19"/>
                <w:color w:val="auto"/>
              </w:rPr>
            </w:pPr>
          </w:p>
        </w:tc>
        <w:tc>
          <w:tcPr>
            <w:tcW w:w="56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 ORGANIZATION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4180" w:type="dxa"/>
            <w:vAlign w:val="bottom"/>
          </w:tcPr>
          <w:p>
            <w:pPr>
              <w:ind w:left="180"/>
              <w:spacing w:after="0"/>
              <w:rPr>
                <w:sz w:val="20"/>
                <w:szCs w:val="20"/>
                <w:color w:val="auto"/>
              </w:rPr>
            </w:pPr>
            <w:r>
              <w:rPr>
                <w:rFonts w:ascii="Arial" w:cs="Arial" w:eastAsia="Arial" w:hAnsi="Arial"/>
                <w:sz w:val="18"/>
                <w:szCs w:val="18"/>
                <w:color w:val="auto"/>
              </w:rPr>
              <w:t>Formation of Limited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4180" w:type="dxa"/>
            <w:vAlign w:val="bottom"/>
          </w:tcPr>
          <w:p>
            <w:pPr>
              <w:ind w:left="180"/>
              <w:spacing w:after="0"/>
              <w:rPr>
                <w:sz w:val="20"/>
                <w:szCs w:val="20"/>
                <w:color w:val="auto"/>
              </w:rPr>
            </w:pPr>
            <w:r>
              <w:rPr>
                <w:rFonts w:ascii="Arial" w:cs="Arial" w:eastAsia="Arial" w:hAnsi="Arial"/>
                <w:sz w:val="18"/>
                <w:szCs w:val="18"/>
                <w:color w:val="auto"/>
              </w:rPr>
              <w:t>Name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4180" w:type="dxa"/>
            <w:vAlign w:val="bottom"/>
          </w:tcPr>
          <w:p>
            <w:pPr>
              <w:ind w:left="180"/>
              <w:spacing w:after="0"/>
              <w:rPr>
                <w:sz w:val="20"/>
                <w:szCs w:val="20"/>
                <w:color w:val="auto"/>
              </w:rPr>
            </w:pPr>
            <w:r>
              <w:rPr>
                <w:rFonts w:ascii="Arial" w:cs="Arial" w:eastAsia="Arial" w:hAnsi="Arial"/>
                <w:sz w:val="18"/>
                <w:szCs w:val="18"/>
                <w:color w:val="auto"/>
              </w:rPr>
              <w:t>Principal Office; Registered Office</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4180" w:type="dxa"/>
            <w:vAlign w:val="bottom"/>
          </w:tcPr>
          <w:p>
            <w:pPr>
              <w:ind w:left="180"/>
              <w:spacing w:after="0"/>
              <w:rPr>
                <w:sz w:val="20"/>
                <w:szCs w:val="20"/>
                <w:color w:val="auto"/>
              </w:rPr>
            </w:pPr>
            <w:r>
              <w:rPr>
                <w:rFonts w:ascii="Arial" w:cs="Arial" w:eastAsia="Arial" w:hAnsi="Arial"/>
                <w:sz w:val="18"/>
                <w:szCs w:val="18"/>
                <w:color w:val="auto"/>
              </w:rPr>
              <w:t>Term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4180" w:type="dxa"/>
            <w:vAlign w:val="bottom"/>
          </w:tcPr>
          <w:p>
            <w:pPr>
              <w:ind w:left="180"/>
              <w:spacing w:after="0"/>
              <w:rPr>
                <w:sz w:val="20"/>
                <w:szCs w:val="20"/>
                <w:color w:val="auto"/>
              </w:rPr>
            </w:pPr>
            <w:r>
              <w:rPr>
                <w:rFonts w:ascii="Arial" w:cs="Arial" w:eastAsia="Arial" w:hAnsi="Arial"/>
                <w:sz w:val="18"/>
                <w:szCs w:val="18"/>
                <w:color w:val="auto"/>
              </w:rPr>
              <w:t>Purpose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4180" w:type="dxa"/>
            <w:vAlign w:val="bottom"/>
          </w:tcPr>
          <w:p>
            <w:pPr>
              <w:ind w:left="180"/>
              <w:spacing w:after="0"/>
              <w:rPr>
                <w:sz w:val="20"/>
                <w:szCs w:val="20"/>
                <w:color w:val="auto"/>
              </w:rPr>
            </w:pPr>
            <w:r>
              <w:rPr>
                <w:rFonts w:ascii="Arial" w:cs="Arial" w:eastAsia="Arial" w:hAnsi="Arial"/>
                <w:sz w:val="18"/>
                <w:szCs w:val="18"/>
                <w:color w:val="auto"/>
              </w:rPr>
              <w:t>Actions by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4180" w:type="dxa"/>
            <w:vAlign w:val="bottom"/>
          </w:tcPr>
          <w:p>
            <w:pPr>
              <w:ind w:left="180"/>
              <w:spacing w:after="0"/>
              <w:rPr>
                <w:sz w:val="20"/>
                <w:szCs w:val="20"/>
                <w:color w:val="auto"/>
              </w:rPr>
            </w:pPr>
            <w:r>
              <w:rPr>
                <w:rFonts w:ascii="Arial" w:cs="Arial" w:eastAsia="Arial" w:hAnsi="Arial"/>
                <w:sz w:val="18"/>
                <w:szCs w:val="18"/>
                <w:color w:val="auto"/>
              </w:rPr>
              <w:t>Reliance by Third Parties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III CAPITAL</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4180" w:type="dxa"/>
            <w:vAlign w:val="bottom"/>
          </w:tcPr>
          <w:p>
            <w:pPr>
              <w:ind w:left="180"/>
              <w:spacing w:after="0"/>
              <w:rPr>
                <w:sz w:val="20"/>
                <w:szCs w:val="20"/>
                <w:color w:val="auto"/>
              </w:rPr>
            </w:pPr>
            <w:r>
              <w:rPr>
                <w:rFonts w:ascii="Arial" w:cs="Arial" w:eastAsia="Arial" w:hAnsi="Arial"/>
                <w:sz w:val="18"/>
                <w:szCs w:val="18"/>
                <w:color w:val="auto"/>
              </w:rPr>
              <w:t>Capital Contributions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4180" w:type="dxa"/>
            <w:vAlign w:val="bottom"/>
          </w:tcPr>
          <w:p>
            <w:pPr>
              <w:ind w:left="180"/>
              <w:spacing w:after="0"/>
              <w:rPr>
                <w:sz w:val="20"/>
                <w:szCs w:val="20"/>
                <w:color w:val="auto"/>
              </w:rPr>
            </w:pPr>
            <w:r>
              <w:rPr>
                <w:rFonts w:ascii="Arial" w:cs="Arial" w:eastAsia="Arial" w:hAnsi="Arial"/>
                <w:sz w:val="18"/>
                <w:szCs w:val="18"/>
                <w:color w:val="auto"/>
              </w:rPr>
              <w:t>Additional Capital Contributions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4180" w:type="dxa"/>
            <w:vAlign w:val="bottom"/>
          </w:tcPr>
          <w:p>
            <w:pPr>
              <w:ind w:left="180"/>
              <w:spacing w:after="0"/>
              <w:rPr>
                <w:sz w:val="20"/>
                <w:szCs w:val="20"/>
                <w:color w:val="auto"/>
              </w:rPr>
            </w:pPr>
            <w:r>
              <w:rPr>
                <w:rFonts w:ascii="Arial" w:cs="Arial" w:eastAsia="Arial" w:hAnsi="Arial"/>
                <w:sz w:val="18"/>
                <w:szCs w:val="18"/>
                <w:color w:val="auto"/>
              </w:rPr>
              <w:t>Loans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4180" w:type="dxa"/>
            <w:vAlign w:val="bottom"/>
          </w:tcPr>
          <w:p>
            <w:pPr>
              <w:ind w:left="180"/>
              <w:spacing w:after="0"/>
              <w:rPr>
                <w:sz w:val="20"/>
                <w:szCs w:val="20"/>
                <w:color w:val="auto"/>
              </w:rPr>
            </w:pPr>
            <w:r>
              <w:rPr>
                <w:rFonts w:ascii="Arial" w:cs="Arial" w:eastAsia="Arial" w:hAnsi="Arial"/>
                <w:sz w:val="18"/>
                <w:szCs w:val="18"/>
                <w:color w:val="auto"/>
              </w:rPr>
              <w:t>Maintenance of Capital Accounts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4180" w:type="dxa"/>
            <w:vAlign w:val="bottom"/>
          </w:tcPr>
          <w:p>
            <w:pPr>
              <w:ind w:left="180"/>
              <w:spacing w:after="0"/>
              <w:rPr>
                <w:sz w:val="20"/>
                <w:szCs w:val="20"/>
                <w:color w:val="auto"/>
              </w:rPr>
            </w:pPr>
            <w:r>
              <w:rPr>
                <w:rFonts w:ascii="Arial" w:cs="Arial" w:eastAsia="Arial" w:hAnsi="Arial"/>
                <w:sz w:val="18"/>
                <w:szCs w:val="18"/>
                <w:color w:val="auto"/>
              </w:rPr>
              <w:t>Capital Withdrawal Rights, Interest and Priority</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4180" w:type="dxa"/>
            <w:vAlign w:val="bottom"/>
          </w:tcPr>
          <w:p>
            <w:pPr>
              <w:ind w:left="180"/>
              <w:spacing w:after="0"/>
              <w:rPr>
                <w:sz w:val="20"/>
                <w:szCs w:val="20"/>
                <w:color w:val="auto"/>
              </w:rPr>
            </w:pPr>
            <w:r>
              <w:rPr>
                <w:rFonts w:ascii="Arial" w:cs="Arial" w:eastAsia="Arial" w:hAnsi="Arial"/>
                <w:sz w:val="18"/>
                <w:szCs w:val="18"/>
                <w:color w:val="auto"/>
              </w:rPr>
              <w:t>Class B Partners Profits Interests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3.7</w:t>
            </w:r>
          </w:p>
        </w:tc>
        <w:tc>
          <w:tcPr>
            <w:tcW w:w="4180" w:type="dxa"/>
            <w:vAlign w:val="bottom"/>
          </w:tcPr>
          <w:p>
            <w:pPr>
              <w:ind w:left="180"/>
              <w:spacing w:after="0"/>
              <w:rPr>
                <w:sz w:val="20"/>
                <w:szCs w:val="20"/>
                <w:color w:val="auto"/>
              </w:rPr>
            </w:pPr>
            <w:r>
              <w:rPr>
                <w:rFonts w:ascii="Arial" w:cs="Arial" w:eastAsia="Arial" w:hAnsi="Arial"/>
                <w:sz w:val="18"/>
                <w:szCs w:val="18"/>
                <w:color w:val="auto"/>
              </w:rPr>
              <w:t>General Partner Interest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3.8</w:t>
            </w:r>
          </w:p>
        </w:tc>
        <w:tc>
          <w:tcPr>
            <w:tcW w:w="4180" w:type="dxa"/>
            <w:vAlign w:val="bottom"/>
          </w:tcPr>
          <w:p>
            <w:pPr>
              <w:ind w:left="180"/>
              <w:spacing w:after="0"/>
              <w:rPr>
                <w:sz w:val="20"/>
                <w:szCs w:val="20"/>
                <w:color w:val="auto"/>
              </w:rPr>
            </w:pPr>
            <w:r>
              <w:rPr>
                <w:rFonts w:ascii="Arial" w:cs="Arial" w:eastAsia="Arial" w:hAnsi="Arial"/>
                <w:sz w:val="18"/>
                <w:szCs w:val="18"/>
                <w:color w:val="auto"/>
              </w:rPr>
              <w:t>Splits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IV DISTRIBUTIONS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4180" w:type="dxa"/>
            <w:vAlign w:val="bottom"/>
          </w:tcPr>
          <w:p>
            <w:pPr>
              <w:ind w:left="180"/>
              <w:spacing w:after="0"/>
              <w:rPr>
                <w:sz w:val="20"/>
                <w:szCs w:val="20"/>
                <w:color w:val="auto"/>
              </w:rPr>
            </w:pPr>
            <w:r>
              <w:rPr>
                <w:rFonts w:ascii="Arial" w:cs="Arial" w:eastAsia="Arial" w:hAnsi="Arial"/>
                <w:sz w:val="18"/>
                <w:szCs w:val="18"/>
                <w:color w:val="auto"/>
              </w:rPr>
              <w:t>Distributions of Available Cash</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4180" w:type="dxa"/>
            <w:vAlign w:val="bottom"/>
          </w:tcPr>
          <w:p>
            <w:pPr>
              <w:ind w:left="180"/>
              <w:spacing w:after="0"/>
              <w:rPr>
                <w:sz w:val="20"/>
                <w:szCs w:val="20"/>
                <w:color w:val="auto"/>
              </w:rPr>
            </w:pPr>
            <w:r>
              <w:rPr>
                <w:rFonts w:ascii="Arial" w:cs="Arial" w:eastAsia="Arial" w:hAnsi="Arial"/>
                <w:sz w:val="18"/>
                <w:szCs w:val="18"/>
                <w:color w:val="auto"/>
              </w:rPr>
              <w:t>Persons Entitled to Distributions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4180" w:type="dxa"/>
            <w:vAlign w:val="bottom"/>
          </w:tcPr>
          <w:p>
            <w:pPr>
              <w:ind w:left="180"/>
              <w:spacing w:after="0"/>
              <w:rPr>
                <w:sz w:val="20"/>
                <w:szCs w:val="20"/>
                <w:color w:val="auto"/>
              </w:rPr>
            </w:pPr>
            <w:r>
              <w:rPr>
                <w:rFonts w:ascii="Arial" w:cs="Arial" w:eastAsia="Arial" w:hAnsi="Arial"/>
                <w:sz w:val="18"/>
                <w:szCs w:val="18"/>
                <w:color w:val="auto"/>
              </w:rPr>
              <w:t>Limitations on Distributions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V ALLOCATIONS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4180" w:type="dxa"/>
            <w:vAlign w:val="bottom"/>
          </w:tcPr>
          <w:p>
            <w:pPr>
              <w:ind w:left="180"/>
              <w:spacing w:after="0"/>
              <w:rPr>
                <w:sz w:val="20"/>
                <w:szCs w:val="20"/>
                <w:color w:val="auto"/>
              </w:rPr>
            </w:pPr>
            <w:r>
              <w:rPr>
                <w:rFonts w:ascii="Arial" w:cs="Arial" w:eastAsia="Arial" w:hAnsi="Arial"/>
                <w:sz w:val="18"/>
                <w:szCs w:val="18"/>
                <w:color w:val="auto"/>
              </w:rPr>
              <w:t>Profits and Losses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4180" w:type="dxa"/>
            <w:vAlign w:val="bottom"/>
          </w:tcPr>
          <w:p>
            <w:pPr>
              <w:ind w:left="180"/>
              <w:spacing w:after="0"/>
              <w:rPr>
                <w:sz w:val="20"/>
                <w:szCs w:val="20"/>
                <w:color w:val="auto"/>
              </w:rPr>
            </w:pPr>
            <w:r>
              <w:rPr>
                <w:rFonts w:ascii="Arial" w:cs="Arial" w:eastAsia="Arial" w:hAnsi="Arial"/>
                <w:sz w:val="18"/>
                <w:szCs w:val="18"/>
                <w:color w:val="auto"/>
              </w:rPr>
              <w:t>Regulatory and Special Allocations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4180" w:type="dxa"/>
            <w:vAlign w:val="bottom"/>
          </w:tcPr>
          <w:p>
            <w:pPr>
              <w:ind w:left="180"/>
              <w:spacing w:after="0"/>
              <w:rPr>
                <w:sz w:val="20"/>
                <w:szCs w:val="20"/>
                <w:color w:val="auto"/>
              </w:rPr>
            </w:pPr>
            <w:r>
              <w:rPr>
                <w:rFonts w:ascii="Arial" w:cs="Arial" w:eastAsia="Arial" w:hAnsi="Arial"/>
                <w:sz w:val="18"/>
                <w:szCs w:val="18"/>
                <w:color w:val="auto"/>
              </w:rPr>
              <w:t>Tax Allocations: Code Section 704(c)</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5.4</w:t>
            </w:r>
          </w:p>
        </w:tc>
        <w:tc>
          <w:tcPr>
            <w:tcW w:w="4180" w:type="dxa"/>
            <w:vAlign w:val="bottom"/>
          </w:tcPr>
          <w:p>
            <w:pPr>
              <w:ind w:left="180"/>
              <w:spacing w:after="0"/>
              <w:rPr>
                <w:sz w:val="20"/>
                <w:szCs w:val="20"/>
                <w:color w:val="auto"/>
              </w:rPr>
            </w:pPr>
            <w:r>
              <w:rPr>
                <w:rFonts w:ascii="Arial" w:cs="Arial" w:eastAsia="Arial" w:hAnsi="Arial"/>
                <w:sz w:val="18"/>
                <w:szCs w:val="18"/>
                <w:color w:val="auto"/>
              </w:rPr>
              <w:t>Change in Partnership Interest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5.5</w:t>
            </w:r>
          </w:p>
        </w:tc>
        <w:tc>
          <w:tcPr>
            <w:tcW w:w="4180" w:type="dxa"/>
            <w:vAlign w:val="bottom"/>
          </w:tcPr>
          <w:p>
            <w:pPr>
              <w:ind w:left="180"/>
              <w:spacing w:after="0"/>
              <w:rPr>
                <w:sz w:val="20"/>
                <w:szCs w:val="20"/>
                <w:color w:val="auto"/>
              </w:rPr>
            </w:pPr>
            <w:r>
              <w:rPr>
                <w:rFonts w:ascii="Arial" w:cs="Arial" w:eastAsia="Arial" w:hAnsi="Arial"/>
                <w:sz w:val="18"/>
                <w:szCs w:val="18"/>
                <w:color w:val="auto"/>
              </w:rPr>
              <w:t>Withholding</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VI MANAGEMENT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6.1</w:t>
            </w:r>
          </w:p>
        </w:tc>
        <w:tc>
          <w:tcPr>
            <w:tcW w:w="4180" w:type="dxa"/>
            <w:vAlign w:val="bottom"/>
          </w:tcPr>
          <w:p>
            <w:pPr>
              <w:ind w:left="180"/>
              <w:spacing w:after="0"/>
              <w:rPr>
                <w:sz w:val="20"/>
                <w:szCs w:val="20"/>
                <w:color w:val="auto"/>
              </w:rPr>
            </w:pPr>
            <w:r>
              <w:rPr>
                <w:rFonts w:ascii="Arial" w:cs="Arial" w:eastAsia="Arial" w:hAnsi="Arial"/>
                <w:sz w:val="18"/>
                <w:szCs w:val="18"/>
                <w:color w:val="auto"/>
              </w:rPr>
              <w:t>Duties and Powers of the General Partner</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6.2</w:t>
            </w:r>
          </w:p>
        </w:tc>
        <w:tc>
          <w:tcPr>
            <w:tcW w:w="4180" w:type="dxa"/>
            <w:vAlign w:val="bottom"/>
          </w:tcPr>
          <w:p>
            <w:pPr>
              <w:ind w:left="180"/>
              <w:spacing w:after="0"/>
              <w:rPr>
                <w:sz w:val="20"/>
                <w:szCs w:val="20"/>
                <w:color w:val="auto"/>
              </w:rPr>
            </w:pPr>
            <w:r>
              <w:rPr>
                <w:rFonts w:ascii="Arial" w:cs="Arial" w:eastAsia="Arial" w:hAnsi="Arial"/>
                <w:sz w:val="18"/>
                <w:szCs w:val="18"/>
                <w:color w:val="auto"/>
              </w:rPr>
              <w:t>Limitation of Liability</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6.3</w:t>
            </w:r>
          </w:p>
        </w:tc>
        <w:tc>
          <w:tcPr>
            <w:tcW w:w="418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6.4</w:t>
            </w:r>
          </w:p>
        </w:tc>
        <w:tc>
          <w:tcPr>
            <w:tcW w:w="4180" w:type="dxa"/>
            <w:vAlign w:val="bottom"/>
          </w:tcPr>
          <w:p>
            <w:pPr>
              <w:ind w:left="180"/>
              <w:spacing w:after="0"/>
              <w:rPr>
                <w:sz w:val="20"/>
                <w:szCs w:val="20"/>
                <w:color w:val="auto"/>
              </w:rPr>
            </w:pPr>
            <w:r>
              <w:rPr>
                <w:rFonts w:ascii="Arial" w:cs="Arial" w:eastAsia="Arial" w:hAnsi="Arial"/>
                <w:sz w:val="18"/>
                <w:szCs w:val="18"/>
                <w:color w:val="auto"/>
              </w:rPr>
              <w:t>Rights of Limited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6.5</w:t>
            </w:r>
          </w:p>
        </w:tc>
        <w:tc>
          <w:tcPr>
            <w:tcW w:w="4180" w:type="dxa"/>
            <w:vAlign w:val="bottom"/>
          </w:tcPr>
          <w:p>
            <w:pPr>
              <w:ind w:left="180"/>
              <w:spacing w:after="0"/>
              <w:rPr>
                <w:sz w:val="20"/>
                <w:szCs w:val="20"/>
                <w:color w:val="auto"/>
              </w:rPr>
            </w:pPr>
            <w:r>
              <w:rPr>
                <w:rFonts w:ascii="Arial" w:cs="Arial" w:eastAsia="Arial" w:hAnsi="Arial"/>
                <w:sz w:val="18"/>
                <w:szCs w:val="18"/>
                <w:color w:val="auto"/>
              </w:rPr>
              <w:t>Class B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780" w:type="dxa"/>
            <w:vAlign w:val="bottom"/>
            <w:gridSpan w:val="3"/>
          </w:tcPr>
          <w:p>
            <w:pPr>
              <w:jc w:val="right"/>
              <w:ind w:right="57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32"/>
        </w:trPr>
        <w:tc>
          <w:tcPr>
            <w:tcW w:w="4680" w:type="dxa"/>
            <w:vAlign w:val="bottom"/>
            <w:tcBorders>
              <w:bottom w:val="single" w:sz="8" w:color="808080"/>
            </w:tcBorders>
            <w:gridSpan w:val="2"/>
          </w:tcPr>
          <w:p>
            <w:pPr>
              <w:spacing w:after="0"/>
              <w:rPr>
                <w:sz w:val="11"/>
                <w:szCs w:val="11"/>
                <w:color w:val="auto"/>
              </w:rPr>
            </w:pPr>
          </w:p>
        </w:tc>
        <w:tc>
          <w:tcPr>
            <w:tcW w:w="6780" w:type="dxa"/>
            <w:vAlign w:val="bottom"/>
            <w:tcBorders>
              <w:bottom w:val="single" w:sz="8" w:color="808080"/>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680" w:type="dxa"/>
            <w:vAlign w:val="bottom"/>
            <w:gridSpan w:val="2"/>
          </w:tcPr>
          <w:p>
            <w:pPr>
              <w:spacing w:after="0"/>
              <w:rPr>
                <w:sz w:val="20"/>
                <w:szCs w:val="20"/>
                <w:color w:val="auto"/>
              </w:rPr>
            </w:pPr>
            <w:r>
              <w:rPr>
                <w:rFonts w:ascii="Arial" w:cs="Arial" w:eastAsia="Arial" w:hAnsi="Arial"/>
                <w:sz w:val="18"/>
                <w:szCs w:val="18"/>
                <w:color w:val="auto"/>
                <w:w w:val="95"/>
              </w:rPr>
              <w:t>ARTICLE VII TRANSFERS OF PARTNERSHIP INTERESTS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4180" w:type="dxa"/>
            <w:vAlign w:val="bottom"/>
          </w:tcPr>
          <w:p>
            <w:pPr>
              <w:ind w:left="180"/>
              <w:spacing w:after="0"/>
              <w:rPr>
                <w:sz w:val="20"/>
                <w:szCs w:val="20"/>
                <w:color w:val="auto"/>
              </w:rPr>
            </w:pPr>
            <w:r>
              <w:rPr>
                <w:rFonts w:ascii="Arial" w:cs="Arial" w:eastAsia="Arial" w:hAnsi="Arial"/>
                <w:sz w:val="18"/>
                <w:szCs w:val="18"/>
                <w:color w:val="auto"/>
              </w:rPr>
              <w:t>Transfer of Limited Partnership Interests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7.2</w:t>
            </w:r>
          </w:p>
        </w:tc>
        <w:tc>
          <w:tcPr>
            <w:tcW w:w="4180" w:type="dxa"/>
            <w:vAlign w:val="bottom"/>
          </w:tcPr>
          <w:p>
            <w:pPr>
              <w:ind w:left="180"/>
              <w:spacing w:after="0"/>
              <w:rPr>
                <w:sz w:val="20"/>
                <w:szCs w:val="20"/>
                <w:color w:val="auto"/>
              </w:rPr>
            </w:pPr>
            <w:r>
              <w:rPr>
                <w:rFonts w:ascii="Arial" w:cs="Arial" w:eastAsia="Arial" w:hAnsi="Arial"/>
                <w:sz w:val="18"/>
                <w:szCs w:val="18"/>
                <w:color w:val="auto"/>
              </w:rPr>
              <w:t>Permitted Transferees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7.3</w:t>
            </w:r>
          </w:p>
        </w:tc>
        <w:tc>
          <w:tcPr>
            <w:tcW w:w="4180" w:type="dxa"/>
            <w:vAlign w:val="bottom"/>
          </w:tcPr>
          <w:p>
            <w:pPr>
              <w:ind w:left="180"/>
              <w:spacing w:after="0"/>
              <w:rPr>
                <w:sz w:val="20"/>
                <w:szCs w:val="20"/>
                <w:color w:val="auto"/>
              </w:rPr>
            </w:pPr>
            <w:r>
              <w:rPr>
                <w:rFonts w:ascii="Arial" w:cs="Arial" w:eastAsia="Arial" w:hAnsi="Arial"/>
                <w:sz w:val="18"/>
                <w:szCs w:val="18"/>
                <w:color w:val="auto"/>
              </w:rPr>
              <w:t>Substitute Limited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7.4</w:t>
            </w:r>
          </w:p>
        </w:tc>
        <w:tc>
          <w:tcPr>
            <w:tcW w:w="4180" w:type="dxa"/>
            <w:vAlign w:val="bottom"/>
          </w:tcPr>
          <w:p>
            <w:pPr>
              <w:ind w:left="180"/>
              <w:spacing w:after="0"/>
              <w:rPr>
                <w:sz w:val="20"/>
                <w:szCs w:val="20"/>
                <w:color w:val="auto"/>
              </w:rPr>
            </w:pPr>
            <w:r>
              <w:rPr>
                <w:rFonts w:ascii="Arial" w:cs="Arial" w:eastAsia="Arial" w:hAnsi="Arial"/>
                <w:sz w:val="18"/>
                <w:szCs w:val="18"/>
                <w:color w:val="auto"/>
                <w:w w:val="98"/>
              </w:rPr>
              <w:t>Effect of Admission as a Substitute Limited Partner</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7.5</w:t>
            </w:r>
          </w:p>
        </w:tc>
        <w:tc>
          <w:tcPr>
            <w:tcW w:w="4180" w:type="dxa"/>
            <w:vAlign w:val="bottom"/>
          </w:tcPr>
          <w:p>
            <w:pPr>
              <w:ind w:left="180"/>
              <w:spacing w:after="0"/>
              <w:rPr>
                <w:sz w:val="20"/>
                <w:szCs w:val="20"/>
                <w:color w:val="auto"/>
              </w:rPr>
            </w:pPr>
            <w:r>
              <w:rPr>
                <w:rFonts w:ascii="Arial" w:cs="Arial" w:eastAsia="Arial" w:hAnsi="Arial"/>
                <w:sz w:val="18"/>
                <w:szCs w:val="18"/>
                <w:color w:val="auto"/>
              </w:rPr>
              <w:t>Consent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7.6</w:t>
            </w:r>
          </w:p>
        </w:tc>
        <w:tc>
          <w:tcPr>
            <w:tcW w:w="4180" w:type="dxa"/>
            <w:vAlign w:val="bottom"/>
          </w:tcPr>
          <w:p>
            <w:pPr>
              <w:ind w:left="180"/>
              <w:spacing w:after="0"/>
              <w:rPr>
                <w:sz w:val="20"/>
                <w:szCs w:val="20"/>
                <w:color w:val="auto"/>
              </w:rPr>
            </w:pPr>
            <w:r>
              <w:rPr>
                <w:rFonts w:ascii="Arial" w:cs="Arial" w:eastAsia="Arial" w:hAnsi="Arial"/>
                <w:sz w:val="18"/>
                <w:szCs w:val="18"/>
                <w:color w:val="auto"/>
              </w:rPr>
              <w:t>No Dissolution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7.7</w:t>
            </w:r>
          </w:p>
        </w:tc>
        <w:tc>
          <w:tcPr>
            <w:tcW w:w="4180" w:type="dxa"/>
            <w:vAlign w:val="bottom"/>
          </w:tcPr>
          <w:p>
            <w:pPr>
              <w:ind w:left="180"/>
              <w:spacing w:after="0"/>
              <w:rPr>
                <w:sz w:val="20"/>
                <w:szCs w:val="20"/>
                <w:color w:val="auto"/>
              </w:rPr>
            </w:pPr>
            <w:r>
              <w:rPr>
                <w:rFonts w:ascii="Arial" w:cs="Arial" w:eastAsia="Arial" w:hAnsi="Arial"/>
                <w:sz w:val="18"/>
                <w:szCs w:val="18"/>
                <w:color w:val="auto"/>
              </w:rPr>
              <w:t>Additional Limited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7.8</w:t>
            </w:r>
          </w:p>
        </w:tc>
        <w:tc>
          <w:tcPr>
            <w:tcW w:w="4180" w:type="dxa"/>
            <w:vAlign w:val="bottom"/>
          </w:tcPr>
          <w:p>
            <w:pPr>
              <w:ind w:left="180"/>
              <w:spacing w:after="0"/>
              <w:rPr>
                <w:sz w:val="20"/>
                <w:szCs w:val="20"/>
                <w:color w:val="auto"/>
              </w:rPr>
            </w:pPr>
            <w:r>
              <w:rPr>
                <w:rFonts w:ascii="Arial" w:cs="Arial" w:eastAsia="Arial" w:hAnsi="Arial"/>
                <w:sz w:val="18"/>
                <w:szCs w:val="18"/>
                <w:color w:val="auto"/>
              </w:rPr>
              <w:t>Right of First Refusal</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7.9</w:t>
            </w:r>
          </w:p>
        </w:tc>
        <w:tc>
          <w:tcPr>
            <w:tcW w:w="4180" w:type="dxa"/>
            <w:vAlign w:val="bottom"/>
          </w:tcPr>
          <w:p>
            <w:pPr>
              <w:ind w:left="180"/>
              <w:spacing w:after="0"/>
              <w:rPr>
                <w:sz w:val="20"/>
                <w:szCs w:val="20"/>
                <w:color w:val="auto"/>
              </w:rPr>
            </w:pPr>
            <w:r>
              <w:rPr>
                <w:rFonts w:ascii="Arial" w:cs="Arial" w:eastAsia="Arial" w:hAnsi="Arial"/>
                <w:sz w:val="18"/>
                <w:szCs w:val="18"/>
                <w:color w:val="auto"/>
              </w:rPr>
              <w:t>Exchange of Class A Units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7.10</w:t>
            </w:r>
          </w:p>
        </w:tc>
        <w:tc>
          <w:tcPr>
            <w:tcW w:w="4180" w:type="dxa"/>
            <w:vAlign w:val="bottom"/>
          </w:tcPr>
          <w:p>
            <w:pPr>
              <w:ind w:left="180"/>
              <w:spacing w:after="0"/>
              <w:rPr>
                <w:sz w:val="20"/>
                <w:szCs w:val="20"/>
                <w:color w:val="auto"/>
              </w:rPr>
            </w:pPr>
            <w:r>
              <w:rPr>
                <w:rFonts w:ascii="Arial" w:cs="Arial" w:eastAsia="Arial" w:hAnsi="Arial"/>
                <w:sz w:val="18"/>
                <w:szCs w:val="18"/>
                <w:color w:val="auto"/>
              </w:rPr>
              <w:t>Conversion of Class B Units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7.11</w:t>
            </w:r>
          </w:p>
        </w:tc>
        <w:tc>
          <w:tcPr>
            <w:tcW w:w="4180" w:type="dxa"/>
            <w:vAlign w:val="bottom"/>
          </w:tcPr>
          <w:p>
            <w:pPr>
              <w:ind w:left="180"/>
              <w:spacing w:after="0"/>
              <w:rPr>
                <w:sz w:val="20"/>
                <w:szCs w:val="20"/>
                <w:color w:val="auto"/>
              </w:rPr>
            </w:pPr>
            <w:r>
              <w:rPr>
                <w:rFonts w:ascii="Arial" w:cs="Arial" w:eastAsia="Arial" w:hAnsi="Arial"/>
                <w:sz w:val="18"/>
                <w:szCs w:val="18"/>
                <w:color w:val="auto"/>
              </w:rPr>
              <w:t>Redemption of Class A Units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VIII DISSOLUTION AND LIQUIDATION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4180" w:type="dxa"/>
            <w:vAlign w:val="bottom"/>
          </w:tcPr>
          <w:p>
            <w:pPr>
              <w:ind w:left="180"/>
              <w:spacing w:after="0"/>
              <w:rPr>
                <w:sz w:val="20"/>
                <w:szCs w:val="20"/>
                <w:color w:val="auto"/>
              </w:rPr>
            </w:pPr>
            <w:r>
              <w:rPr>
                <w:rFonts w:ascii="Arial" w:cs="Arial" w:eastAsia="Arial" w:hAnsi="Arial"/>
                <w:sz w:val="18"/>
                <w:szCs w:val="18"/>
                <w:color w:val="auto"/>
              </w:rPr>
              <w:t>Dissolution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8.2</w:t>
            </w:r>
          </w:p>
        </w:tc>
        <w:tc>
          <w:tcPr>
            <w:tcW w:w="4180" w:type="dxa"/>
            <w:vAlign w:val="bottom"/>
          </w:tcPr>
          <w:p>
            <w:pPr>
              <w:ind w:left="180"/>
              <w:spacing w:after="0"/>
              <w:rPr>
                <w:sz w:val="20"/>
                <w:szCs w:val="20"/>
                <w:color w:val="auto"/>
              </w:rPr>
            </w:pPr>
            <w:r>
              <w:rPr>
                <w:rFonts w:ascii="Arial" w:cs="Arial" w:eastAsia="Arial" w:hAnsi="Arial"/>
                <w:sz w:val="18"/>
                <w:szCs w:val="18"/>
                <w:color w:val="auto"/>
              </w:rPr>
              <w:t>Final Accounting</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8.3</w:t>
            </w:r>
          </w:p>
        </w:tc>
        <w:tc>
          <w:tcPr>
            <w:tcW w:w="4180" w:type="dxa"/>
            <w:vAlign w:val="bottom"/>
          </w:tcPr>
          <w:p>
            <w:pPr>
              <w:ind w:left="180"/>
              <w:spacing w:after="0"/>
              <w:rPr>
                <w:sz w:val="20"/>
                <w:szCs w:val="20"/>
                <w:color w:val="auto"/>
              </w:rPr>
            </w:pPr>
            <w:r>
              <w:rPr>
                <w:rFonts w:ascii="Arial" w:cs="Arial" w:eastAsia="Arial" w:hAnsi="Arial"/>
                <w:sz w:val="18"/>
                <w:szCs w:val="18"/>
                <w:color w:val="auto"/>
                <w:w w:val="97"/>
              </w:rPr>
              <w:t>Distributions Following Dissolution and Termination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8.4</w:t>
            </w:r>
          </w:p>
        </w:tc>
        <w:tc>
          <w:tcPr>
            <w:tcW w:w="4180" w:type="dxa"/>
            <w:vAlign w:val="bottom"/>
          </w:tcPr>
          <w:p>
            <w:pPr>
              <w:ind w:left="180"/>
              <w:spacing w:after="0"/>
              <w:rPr>
                <w:sz w:val="20"/>
                <w:szCs w:val="20"/>
                <w:color w:val="auto"/>
              </w:rPr>
            </w:pPr>
            <w:r>
              <w:rPr>
                <w:rFonts w:ascii="Arial" w:cs="Arial" w:eastAsia="Arial" w:hAnsi="Arial"/>
                <w:sz w:val="18"/>
                <w:szCs w:val="18"/>
                <w:color w:val="auto"/>
              </w:rPr>
              <w:t>Termination of the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8.5</w:t>
            </w:r>
          </w:p>
        </w:tc>
        <w:tc>
          <w:tcPr>
            <w:tcW w:w="4180" w:type="dxa"/>
            <w:vAlign w:val="bottom"/>
          </w:tcPr>
          <w:p>
            <w:pPr>
              <w:ind w:left="180"/>
              <w:spacing w:after="0"/>
              <w:rPr>
                <w:sz w:val="20"/>
                <w:szCs w:val="20"/>
                <w:color w:val="auto"/>
              </w:rPr>
            </w:pPr>
            <w:r>
              <w:rPr>
                <w:rFonts w:ascii="Arial" w:cs="Arial" w:eastAsia="Arial" w:hAnsi="Arial"/>
                <w:sz w:val="18"/>
                <w:szCs w:val="18"/>
                <w:color w:val="auto"/>
              </w:rPr>
              <w:t>No Action for Dissolution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-3268980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-3268980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0" w:gutter="0" w:footer="0" w:header="0"/>
        </w:sectPr>
      </w:pPr>
    </w:p>
    <w:bookmarkStart w:id="87" w:name="page88"/>
    <w:bookmarkEnd w:id="87"/>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ARTICLE IX ACCOUNTING; BOOKS AND RECORDS</w:t>
            </w:r>
          </w:p>
        </w:tc>
        <w:tc>
          <w:tcPr>
            <w:tcW w:w="6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9.1</w:t>
            </w:r>
          </w:p>
        </w:tc>
        <w:tc>
          <w:tcPr>
            <w:tcW w:w="4480" w:type="dxa"/>
            <w:vAlign w:val="bottom"/>
          </w:tcPr>
          <w:p>
            <w:pPr>
              <w:ind w:left="140"/>
              <w:spacing w:after="0"/>
              <w:rPr>
                <w:sz w:val="20"/>
                <w:szCs w:val="20"/>
                <w:color w:val="auto"/>
              </w:rPr>
            </w:pPr>
            <w:r>
              <w:rPr>
                <w:rFonts w:ascii="Arial" w:cs="Arial" w:eastAsia="Arial" w:hAnsi="Arial"/>
                <w:sz w:val="18"/>
                <w:szCs w:val="18"/>
                <w:color w:val="auto"/>
              </w:rPr>
              <w:t>Fiscal Year and Accounting Method</w:t>
            </w:r>
          </w:p>
        </w:tc>
        <w:tc>
          <w:tcPr>
            <w:tcW w:w="6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9.2</w:t>
            </w:r>
          </w:p>
        </w:tc>
        <w:tc>
          <w:tcPr>
            <w:tcW w:w="4480" w:type="dxa"/>
            <w:vAlign w:val="bottom"/>
          </w:tcPr>
          <w:p>
            <w:pPr>
              <w:ind w:left="140"/>
              <w:spacing w:after="0"/>
              <w:rPr>
                <w:sz w:val="20"/>
                <w:szCs w:val="20"/>
                <w:color w:val="auto"/>
              </w:rPr>
            </w:pPr>
            <w:r>
              <w:rPr>
                <w:rFonts w:ascii="Arial" w:cs="Arial" w:eastAsia="Arial" w:hAnsi="Arial"/>
                <w:sz w:val="18"/>
                <w:szCs w:val="18"/>
                <w:color w:val="auto"/>
              </w:rPr>
              <w:t>Books and Records</w:t>
            </w:r>
          </w:p>
        </w:tc>
        <w:tc>
          <w:tcPr>
            <w:tcW w:w="6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9.3</w:t>
            </w:r>
          </w:p>
        </w:tc>
        <w:tc>
          <w:tcPr>
            <w:tcW w:w="4480" w:type="dxa"/>
            <w:vAlign w:val="bottom"/>
          </w:tcPr>
          <w:p>
            <w:pPr>
              <w:ind w:left="140"/>
              <w:spacing w:after="0"/>
              <w:rPr>
                <w:sz w:val="20"/>
                <w:szCs w:val="20"/>
                <w:color w:val="auto"/>
              </w:rPr>
            </w:pPr>
            <w:r>
              <w:rPr>
                <w:rFonts w:ascii="Arial" w:cs="Arial" w:eastAsia="Arial" w:hAnsi="Arial"/>
                <w:sz w:val="18"/>
                <w:szCs w:val="18"/>
                <w:color w:val="auto"/>
              </w:rPr>
              <w:t>Delivery to Partners; Inspection</w:t>
            </w:r>
          </w:p>
        </w:tc>
        <w:tc>
          <w:tcPr>
            <w:tcW w:w="6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9.4</w:t>
            </w:r>
          </w:p>
        </w:tc>
        <w:tc>
          <w:tcPr>
            <w:tcW w:w="448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6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9.5</w:t>
            </w:r>
          </w:p>
        </w:tc>
        <w:tc>
          <w:tcPr>
            <w:tcW w:w="4480" w:type="dxa"/>
            <w:vAlign w:val="bottom"/>
          </w:tcPr>
          <w:p>
            <w:pPr>
              <w:ind w:left="140"/>
              <w:spacing w:after="0"/>
              <w:rPr>
                <w:sz w:val="20"/>
                <w:szCs w:val="20"/>
                <w:color w:val="auto"/>
              </w:rPr>
            </w:pPr>
            <w:r>
              <w:rPr>
                <w:rFonts w:ascii="Arial" w:cs="Arial" w:eastAsia="Arial" w:hAnsi="Arial"/>
                <w:sz w:val="18"/>
                <w:szCs w:val="18"/>
                <w:color w:val="auto"/>
              </w:rPr>
              <w:t>Filings</w:t>
            </w:r>
          </w:p>
        </w:tc>
        <w:tc>
          <w:tcPr>
            <w:tcW w:w="6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9.6</w:t>
            </w:r>
          </w:p>
        </w:tc>
        <w:tc>
          <w:tcPr>
            <w:tcW w:w="4480" w:type="dxa"/>
            <w:vAlign w:val="bottom"/>
          </w:tcPr>
          <w:p>
            <w:pPr>
              <w:ind w:left="140"/>
              <w:spacing w:after="0"/>
              <w:rPr>
                <w:sz w:val="20"/>
                <w:szCs w:val="20"/>
                <w:color w:val="auto"/>
              </w:rPr>
            </w:pPr>
            <w:r>
              <w:rPr>
                <w:rFonts w:ascii="Arial" w:cs="Arial" w:eastAsia="Arial" w:hAnsi="Arial"/>
                <w:sz w:val="18"/>
                <w:szCs w:val="18"/>
                <w:color w:val="auto"/>
              </w:rPr>
              <w:t>Non-Disclosure</w:t>
            </w:r>
          </w:p>
        </w:tc>
        <w:tc>
          <w:tcPr>
            <w:tcW w:w="6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9.7</w:t>
            </w:r>
          </w:p>
        </w:tc>
        <w:tc>
          <w:tcPr>
            <w:tcW w:w="4480" w:type="dxa"/>
            <w:vAlign w:val="bottom"/>
          </w:tcPr>
          <w:p>
            <w:pPr>
              <w:ind w:left="140"/>
              <w:spacing w:after="0"/>
              <w:rPr>
                <w:sz w:val="20"/>
                <w:szCs w:val="20"/>
                <w:color w:val="auto"/>
              </w:rPr>
            </w:pPr>
            <w:r>
              <w:rPr>
                <w:rFonts w:ascii="Arial" w:cs="Arial" w:eastAsia="Arial" w:hAnsi="Arial"/>
                <w:sz w:val="18"/>
                <w:szCs w:val="18"/>
                <w:color w:val="auto"/>
              </w:rPr>
              <w:t>Tax Elections</w:t>
            </w:r>
          </w:p>
        </w:tc>
        <w:tc>
          <w:tcPr>
            <w:tcW w:w="6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ARTICLE X NON-COMPETITION</w:t>
            </w:r>
          </w:p>
        </w:tc>
        <w:tc>
          <w:tcPr>
            <w:tcW w:w="6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4480" w:type="dxa"/>
            <w:vAlign w:val="bottom"/>
          </w:tcPr>
          <w:p>
            <w:pPr>
              <w:ind w:left="140"/>
              <w:spacing w:after="0"/>
              <w:rPr>
                <w:sz w:val="20"/>
                <w:szCs w:val="20"/>
                <w:color w:val="auto"/>
              </w:rPr>
            </w:pPr>
            <w:r>
              <w:rPr>
                <w:rFonts w:ascii="Arial" w:cs="Arial" w:eastAsia="Arial" w:hAnsi="Arial"/>
                <w:sz w:val="18"/>
                <w:szCs w:val="18"/>
                <w:color w:val="auto"/>
              </w:rPr>
              <w:t>Non-Competition</w:t>
            </w:r>
          </w:p>
        </w:tc>
        <w:tc>
          <w:tcPr>
            <w:tcW w:w="6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4480" w:type="dxa"/>
            <w:vAlign w:val="bottom"/>
          </w:tcPr>
          <w:p>
            <w:pPr>
              <w:ind w:left="140"/>
              <w:spacing w:after="0"/>
              <w:rPr>
                <w:sz w:val="20"/>
                <w:szCs w:val="20"/>
                <w:color w:val="auto"/>
              </w:rPr>
            </w:pPr>
            <w:r>
              <w:rPr>
                <w:rFonts w:ascii="Arial" w:cs="Arial" w:eastAsia="Arial" w:hAnsi="Arial"/>
                <w:sz w:val="18"/>
                <w:szCs w:val="18"/>
                <w:color w:val="auto"/>
              </w:rPr>
              <w:t>Damages</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448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ARTICLE XI GENERAL PROVISIONS</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11.1</w:t>
            </w:r>
          </w:p>
        </w:tc>
        <w:tc>
          <w:tcPr>
            <w:tcW w:w="4480" w:type="dxa"/>
            <w:vAlign w:val="bottom"/>
          </w:tcPr>
          <w:p>
            <w:pPr>
              <w:ind w:left="140"/>
              <w:spacing w:after="0"/>
              <w:rPr>
                <w:sz w:val="20"/>
                <w:szCs w:val="20"/>
                <w:color w:val="auto"/>
              </w:rPr>
            </w:pPr>
            <w:r>
              <w:rPr>
                <w:rFonts w:ascii="Arial" w:cs="Arial" w:eastAsia="Arial" w:hAnsi="Arial"/>
                <w:sz w:val="18"/>
                <w:szCs w:val="18"/>
                <w:color w:val="auto"/>
              </w:rPr>
              <w:t>Waiver of Default</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11.2</w:t>
            </w:r>
          </w:p>
        </w:tc>
        <w:tc>
          <w:tcPr>
            <w:tcW w:w="4480" w:type="dxa"/>
            <w:vAlign w:val="bottom"/>
          </w:tcPr>
          <w:p>
            <w:pPr>
              <w:ind w:left="140"/>
              <w:spacing w:after="0"/>
              <w:rPr>
                <w:sz w:val="20"/>
                <w:szCs w:val="20"/>
                <w:color w:val="auto"/>
              </w:rPr>
            </w:pPr>
            <w:r>
              <w:rPr>
                <w:rFonts w:ascii="Arial" w:cs="Arial" w:eastAsia="Arial" w:hAnsi="Arial"/>
                <w:sz w:val="18"/>
                <w:szCs w:val="18"/>
                <w:color w:val="auto"/>
              </w:rPr>
              <w:t>Amendment of Partnership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11.3</w:t>
            </w:r>
          </w:p>
        </w:tc>
        <w:tc>
          <w:tcPr>
            <w:tcW w:w="4480" w:type="dxa"/>
            <w:vAlign w:val="bottom"/>
          </w:tcPr>
          <w:p>
            <w:pPr>
              <w:ind w:left="140"/>
              <w:spacing w:after="0"/>
              <w:rPr>
                <w:sz w:val="20"/>
                <w:szCs w:val="20"/>
                <w:color w:val="auto"/>
              </w:rPr>
            </w:pPr>
            <w:r>
              <w:rPr>
                <w:rFonts w:ascii="Arial" w:cs="Arial" w:eastAsia="Arial" w:hAnsi="Arial"/>
                <w:sz w:val="18"/>
                <w:szCs w:val="18"/>
                <w:color w:val="auto"/>
              </w:rPr>
              <w:t>No Third Party Rights</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11.4</w:t>
            </w:r>
          </w:p>
        </w:tc>
        <w:tc>
          <w:tcPr>
            <w:tcW w:w="44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11.5</w:t>
            </w:r>
          </w:p>
        </w:tc>
        <w:tc>
          <w:tcPr>
            <w:tcW w:w="4480" w:type="dxa"/>
            <w:vAlign w:val="bottom"/>
          </w:tcPr>
          <w:p>
            <w:pPr>
              <w:ind w:left="140"/>
              <w:spacing w:after="0"/>
              <w:rPr>
                <w:sz w:val="20"/>
                <w:szCs w:val="20"/>
                <w:color w:val="auto"/>
              </w:rPr>
            </w:pPr>
            <w:r>
              <w:rPr>
                <w:rFonts w:ascii="Arial" w:cs="Arial" w:eastAsia="Arial" w:hAnsi="Arial"/>
                <w:sz w:val="18"/>
                <w:szCs w:val="18"/>
                <w:color w:val="auto"/>
              </w:rPr>
              <w:t>Nature of Interest in the Partnership</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11.6</w:t>
            </w:r>
          </w:p>
        </w:tc>
        <w:tc>
          <w:tcPr>
            <w:tcW w:w="4480" w:type="dxa"/>
            <w:vAlign w:val="bottom"/>
          </w:tcPr>
          <w:p>
            <w:pPr>
              <w:ind w:left="140"/>
              <w:spacing w:after="0"/>
              <w:rPr>
                <w:sz w:val="20"/>
                <w:szCs w:val="20"/>
                <w:color w:val="auto"/>
              </w:rPr>
            </w:pPr>
            <w:r>
              <w:rPr>
                <w:rFonts w:ascii="Arial" w:cs="Arial" w:eastAsia="Arial" w:hAnsi="Arial"/>
                <w:sz w:val="18"/>
                <w:szCs w:val="18"/>
                <w:color w:val="auto"/>
              </w:rPr>
              <w:t>Binding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11.7</w:t>
            </w:r>
          </w:p>
        </w:tc>
        <w:tc>
          <w:tcPr>
            <w:tcW w:w="4480" w:type="dxa"/>
            <w:vAlign w:val="bottom"/>
          </w:tcPr>
          <w:p>
            <w:pPr>
              <w:ind w:left="140"/>
              <w:spacing w:after="0"/>
              <w:rPr>
                <w:sz w:val="20"/>
                <w:szCs w:val="20"/>
                <w:color w:val="auto"/>
              </w:rPr>
            </w:pPr>
            <w:r>
              <w:rPr>
                <w:rFonts w:ascii="Arial" w:cs="Arial" w:eastAsia="Arial" w:hAnsi="Arial"/>
                <w:sz w:val="18"/>
                <w:szCs w:val="18"/>
                <w:color w:val="auto"/>
              </w:rPr>
              <w:t>Headings</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11.8</w:t>
            </w:r>
          </w:p>
        </w:tc>
        <w:tc>
          <w:tcPr>
            <w:tcW w:w="4480" w:type="dxa"/>
            <w:vAlign w:val="bottom"/>
          </w:tcPr>
          <w:p>
            <w:pPr>
              <w:ind w:left="140"/>
              <w:spacing w:after="0"/>
              <w:rPr>
                <w:sz w:val="20"/>
                <w:szCs w:val="20"/>
                <w:color w:val="auto"/>
              </w:rPr>
            </w:pPr>
            <w:r>
              <w:rPr>
                <w:rFonts w:ascii="Arial" w:cs="Arial" w:eastAsia="Arial" w:hAnsi="Arial"/>
                <w:sz w:val="18"/>
                <w:szCs w:val="18"/>
                <w:color w:val="auto"/>
              </w:rPr>
              <w:t>Word Meanings</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5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44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54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r>
      <w:tr>
        <w:trPr>
          <w:trHeight w:val="766"/>
        </w:trPr>
        <w:tc>
          <w:tcPr>
            <w:tcW w:w="540" w:type="dxa"/>
            <w:vAlign w:val="bottom"/>
          </w:tcPr>
          <w:p>
            <w:pPr>
              <w:spacing w:after="0"/>
              <w:rPr>
                <w:sz w:val="20"/>
                <w:szCs w:val="20"/>
                <w:color w:val="auto"/>
              </w:rPr>
            </w:pPr>
            <w:r>
              <w:rPr>
                <w:rFonts w:ascii="Arial" w:cs="Arial" w:eastAsia="Arial" w:hAnsi="Arial"/>
                <w:sz w:val="18"/>
                <w:szCs w:val="18"/>
                <w:color w:val="auto"/>
              </w:rPr>
              <w:t>11.9</w:t>
            </w:r>
          </w:p>
        </w:tc>
        <w:tc>
          <w:tcPr>
            <w:tcW w:w="44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11.10</w:t>
            </w:r>
          </w:p>
        </w:tc>
        <w:tc>
          <w:tcPr>
            <w:tcW w:w="44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11.11</w:t>
            </w:r>
          </w:p>
        </w:tc>
        <w:tc>
          <w:tcPr>
            <w:tcW w:w="4480" w:type="dxa"/>
            <w:vAlign w:val="bottom"/>
          </w:tcPr>
          <w:p>
            <w:pPr>
              <w:ind w:left="140"/>
              <w:spacing w:after="0"/>
              <w:rPr>
                <w:sz w:val="20"/>
                <w:szCs w:val="20"/>
                <w:color w:val="auto"/>
              </w:rPr>
            </w:pPr>
            <w:r>
              <w:rPr>
                <w:rFonts w:ascii="Arial" w:cs="Arial" w:eastAsia="Arial" w:hAnsi="Arial"/>
                <w:sz w:val="18"/>
                <w:szCs w:val="18"/>
                <w:color w:val="auto"/>
              </w:rPr>
              <w:t>Partition</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11.12</w:t>
            </w:r>
          </w:p>
        </w:tc>
        <w:tc>
          <w:tcPr>
            <w:tcW w:w="4480" w:type="dxa"/>
            <w:vAlign w:val="bottom"/>
          </w:tcPr>
          <w:p>
            <w:pPr>
              <w:ind w:left="140"/>
              <w:spacing w:after="0"/>
              <w:rPr>
                <w:sz w:val="20"/>
                <w:szCs w:val="20"/>
                <w:color w:val="auto"/>
              </w:rPr>
            </w:pPr>
            <w:r>
              <w:rPr>
                <w:rFonts w:ascii="Arial" w:cs="Arial" w:eastAsia="Arial" w:hAnsi="Arial"/>
                <w:sz w:val="18"/>
                <w:szCs w:val="18"/>
                <w:color w:val="auto"/>
              </w:rPr>
              <w:t>Governing Law; Consent to Jurisdiction and Venue</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11.13</w:t>
            </w:r>
          </w:p>
        </w:tc>
        <w:tc>
          <w:tcPr>
            <w:tcW w:w="4480" w:type="dxa"/>
            <w:vAlign w:val="bottom"/>
          </w:tcPr>
          <w:p>
            <w:pPr>
              <w:ind w:left="140"/>
              <w:spacing w:after="0"/>
              <w:rPr>
                <w:sz w:val="20"/>
                <w:szCs w:val="20"/>
                <w:color w:val="auto"/>
              </w:rPr>
            </w:pPr>
            <w:r>
              <w:rPr>
                <w:rFonts w:ascii="Arial" w:cs="Arial" w:eastAsia="Arial" w:hAnsi="Arial"/>
                <w:sz w:val="18"/>
                <w:szCs w:val="18"/>
                <w:color w:val="auto"/>
              </w:rPr>
              <w:t>Special Notices</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EIGHTH 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PARTNERSHIP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THIS EIGHTH AMENDED AND RESTATED LIMITED PARTNERSHIP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Plains AAP,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is made and entered into as of this [·] day of [·], 2016 by Plains All American GP LLC, a Delaware limited liability company, as the general partner, and, pursuant to </w:t>
      </w:r>
      <w:r>
        <w:rPr>
          <w:rFonts w:ascii="Arial" w:cs="Arial" w:eastAsia="Arial" w:hAnsi="Arial"/>
          <w:sz w:val="18"/>
          <w:szCs w:val="18"/>
          <w:u w:val="single" w:color="auto"/>
          <w:color w:val="auto"/>
        </w:rPr>
        <w:t>Section 11.2(d)</w:t>
      </w:r>
      <w:r>
        <w:rPr>
          <w:rFonts w:ascii="Arial" w:cs="Arial" w:eastAsia="Arial" w:hAnsi="Arial"/>
          <w:sz w:val="18"/>
          <w:szCs w:val="18"/>
          <w:color w:val="auto"/>
        </w:rPr>
        <w:t xml:space="preserve"> of the Seventh Amended and Restated Limited Partnership Agreement dated as of October 21, 2013, by and among the General Partner and the Limited Partners of the Partnership (as amended, the “</w:t>
      </w:r>
      <w:r>
        <w:rPr>
          <w:rFonts w:ascii="Arial" w:cs="Arial" w:eastAsia="Arial" w:hAnsi="Arial"/>
          <w:sz w:val="18"/>
          <w:szCs w:val="18"/>
          <w:b w:val="1"/>
          <w:bCs w:val="1"/>
          <w:i w:val="1"/>
          <w:iCs w:val="1"/>
          <w:color w:val="auto"/>
        </w:rPr>
        <w:t>Seventh A&amp;R Limited Partnership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binding on the Persons listed as Limited Partners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as such schedule may be amended or supplemented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herewith.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amends and restates in its entirety the Seventh A&amp;R Limited Partnership Agreement.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Acceptance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Revised Uniform Limited Partnership Act, as amended from time to time.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Capital Account Deficit</w:t>
      </w:r>
      <w:r>
        <w:rPr>
          <w:rFonts w:ascii="Arial" w:cs="Arial" w:eastAsia="Arial" w:hAnsi="Arial"/>
          <w:sz w:val="18"/>
          <w:szCs w:val="18"/>
          <w:color w:val="auto"/>
        </w:rPr>
        <w:t>” means, with respect to a Partner, the deficit balance, if any, in such Partner’s Capital Account as of the end of the relevant Taxable Year, after giving effect to the following adjustments:</w:t>
      </w:r>
    </w:p>
    <w:p>
      <w:pPr>
        <w:spacing w:after="0" w:line="170" w:lineRule="exact"/>
        <w:rPr>
          <w:sz w:val="20"/>
          <w:szCs w:val="20"/>
          <w:color w:val="auto"/>
        </w:rPr>
      </w:pPr>
    </w:p>
    <w:p>
      <w:pPr>
        <w:ind w:right="80" w:firstLine="1305"/>
        <w:spacing w:after="0" w:line="308" w:lineRule="auto"/>
        <w:tabs>
          <w:tab w:leader="none" w:pos="194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Credit to such Capital Account any amounts which such Partner is obligated to restore pursuant to any provision of this Agreement or is deemed to be obligated to restore pursuant to Regulation Sections 1.704-1(b)(2)(ii)(c), 1.704-2(g)(1) and 1.704-2(i)(5);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Debit to such Capital Account the items described in Regulation Sections 1.704-1(b)(2)(ii)(d)(4), 1.704-1(b)(2)(ii)(d)(5),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1.704-1(b)(2)(ii)(d)(6).</w:t>
      </w:r>
    </w:p>
    <w:p>
      <w:pPr>
        <w:spacing w:after="0" w:line="21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Administrative Agreement</w:t>
      </w:r>
      <w:r>
        <w:rPr>
          <w:rFonts w:ascii="Arial" w:cs="Arial" w:eastAsia="Arial" w:hAnsi="Arial"/>
          <w:sz w:val="16"/>
          <w:szCs w:val="16"/>
          <w:color w:val="auto"/>
        </w:rPr>
        <w:t>” means that certain Amended and Restated Administrative Agreement, dated as of the date hereof, among Holdings GP, PAGP, the MLP, the General Partner, PAA GP and the Partnership, as such may be amended, modified, supplemented or restated from time to time in</w:t>
      </w:r>
    </w:p>
    <w:p>
      <w:pPr>
        <w:sectPr>
          <w:pgSz w:w="11900" w:h="16975" w:orient="portrait"/>
          <w:cols w:equalWidth="0" w:num="1">
            <w:col w:w="11460"/>
          </w:cols>
          <w:pgMar w:left="240" w:top="125" w:right="199" w:bottom="0" w:gutter="0" w:footer="0" w:header="0"/>
        </w:sectPr>
      </w:pPr>
    </w:p>
    <w:bookmarkStart w:id="88" w:name="page89"/>
    <w:bookmarkEnd w:id="88"/>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thereof.</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Person, whether through ownership of voting securities, by contract or otherwise; provided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88" w:lineRule="exact"/>
        <w:rPr>
          <w:sz w:val="20"/>
          <w:szCs w:val="20"/>
          <w:color w:val="auto"/>
        </w:rPr>
      </w:pPr>
    </w:p>
    <w:p>
      <w:pPr>
        <w:ind w:right="40" w:firstLine="656"/>
        <w:spacing w:after="0" w:line="286" w:lineRule="auto"/>
        <w:tabs>
          <w:tab w:leader="none" w:pos="129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 individual who is an officer or director of Holdings GP or any Group Member (excluding the Chief Executive Officer and Chairman of the Board) shall not be considered to be an Affiliate of Holdings GP or any Group Member by virtue of such Person’s status as an officer or director and the possession of the powers that are within the scope of the designated or delegated authority of such officer or director;</w:t>
      </w:r>
    </w:p>
    <w:p>
      <w:pPr>
        <w:spacing w:after="0" w:line="165" w:lineRule="exact"/>
        <w:rPr>
          <w:rFonts w:ascii="Arial" w:cs="Arial" w:eastAsia="Arial" w:hAnsi="Arial"/>
          <w:sz w:val="17"/>
          <w:szCs w:val="17"/>
          <w:color w:val="auto"/>
        </w:rPr>
      </w:pPr>
    </w:p>
    <w:p>
      <w:pPr>
        <w:ind w:right="240" w:firstLine="656"/>
        <w:spacing w:after="0" w:line="264" w:lineRule="auto"/>
        <w:tabs>
          <w:tab w:leader="none" w:pos="130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Holdings GP Units shall not be considered to be an Affiliate of Holdings GP or any Group Member by virtue of the ownership by such Person (and Affiliate Group, if applicable) of such Holdings GP Units; and</w:t>
      </w:r>
    </w:p>
    <w:p>
      <w:pPr>
        <w:spacing w:after="0" w:line="181" w:lineRule="exact"/>
        <w:rPr>
          <w:rFonts w:ascii="Arial" w:cs="Arial" w:eastAsia="Arial" w:hAnsi="Arial"/>
          <w:sz w:val="18"/>
          <w:szCs w:val="18"/>
          <w:color w:val="auto"/>
        </w:rPr>
      </w:pPr>
    </w:p>
    <w:p>
      <w:pPr>
        <w:ind w:right="80" w:firstLine="656"/>
        <w:spacing w:after="0" w:line="264" w:lineRule="auto"/>
        <w:tabs>
          <w:tab w:leader="none" w:pos="130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Partnership Interests held by all Partners, shall not be considered to be an affiliate of Holdings GP or any Group Member by virtue of the ownership by such Person (and Affiliate Group, if applicable) of such Partnership Interests.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avoidance of doubt, for purposes of this Agreement, as of the date hereof (but subject to redetermination upon changed circumstances)</w:t>
      </w:r>
    </w:p>
    <w:p>
      <w:pPr>
        <w:spacing w:after="0" w:line="46" w:lineRule="exact"/>
        <w:rPr>
          <w:sz w:val="20"/>
          <w:szCs w:val="20"/>
          <w:color w:val="auto"/>
        </w:rPr>
      </w:pPr>
    </w:p>
    <w:p>
      <w:pPr>
        <w:ind w:right="20" w:firstLine="8"/>
        <w:spacing w:after="0" w:line="255" w:lineRule="auto"/>
        <w:tabs>
          <w:tab w:leader="none" w:pos="2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Group</w:t>
      </w:r>
      <w:r>
        <w:rPr>
          <w:rFonts w:ascii="Arial" w:cs="Arial" w:eastAsia="Arial" w:hAnsi="Arial"/>
          <w:sz w:val="18"/>
          <w:szCs w:val="18"/>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beneficially own, directly or indirectly, Partnership Interests.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Value</w:t>
      </w:r>
      <w:r>
        <w:rPr>
          <w:rFonts w:ascii="Arial" w:cs="Arial" w:eastAsia="Arial" w:hAnsi="Arial"/>
          <w:sz w:val="18"/>
          <w:szCs w:val="18"/>
          <w:color w:val="auto"/>
        </w:rPr>
        <w:t xml:space="preserve">” means, with respect to any Partnership Group Interest subject to the right of first refusal contained in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(i) the value that would be received for such Partnership Group Interest in the event such Partnership Group Interest were exchanged for PAGP Class A Shares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and promptly sold at a price determined relative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Available Cash</w:t>
      </w:r>
      <w:r>
        <w:rPr>
          <w:rFonts w:ascii="Arial" w:cs="Arial" w:eastAsia="Arial" w:hAnsi="Arial"/>
          <w:sz w:val="16"/>
          <w:szCs w:val="16"/>
          <w:color w:val="auto"/>
        </w:rPr>
        <w:t>” means, with respect to a fiscal quarter, all cash and cash equivalents of the Partnership at the end of such quarter (other than Net Capital Transaction Proceeds) less the amount of cash reserves that is necessary or appropriate in the reasonable discretion of the General Partner to</w:t>
      </w:r>
    </w:p>
    <w:p>
      <w:pPr>
        <w:ind w:right="40" w:firstLine="8"/>
        <w:spacing w:after="0" w:line="269" w:lineRule="auto"/>
        <w:tabs>
          <w:tab w:leader="none" w:pos="24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provide for the proper 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all cash and cash equivalents expected to be received (including distributions declared by the MLP but not yet paid), directly or indirectly from the MLP in respect of such quarter or cash reserves established, increased or reduced after the expiration of such quarter but on or before the date of determination of Available Cash with respect to such quarter shall be deemed to have been received, made, established, increased or reduced, for purposes of determining Available Cash, during such quarter if the General Partner so determines in its reasonable discretion.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General Partner.</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a Sunday or other day on which banks are required or authorized by law to be closed in Houston, Texas or New York,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with respect to any Partner, a separate account established by the Partnership and maintained for each Partner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with respect to any Partner, the amount of money, if any, and the initial Gross Asset Value of any Property (other than money), if any, contributed to the Partnership with respect to the interests purchased by such Partner pursuant to the terms of this Agreement, in return for which the Partner contributing such capital shall receive a Partnership Interest.</w:t>
      </w:r>
    </w:p>
    <w:p>
      <w:pPr>
        <w:sectPr>
          <w:pgSz w:w="11900" w:h="16918" w:orient="portrait"/>
          <w:cols w:equalWidth="0" w:num="1">
            <w:col w:w="11380"/>
          </w:cols>
          <w:pgMar w:left="240" w:top="125" w:right="279" w:bottom="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Election Amount</w:t>
      </w:r>
      <w:r>
        <w:rPr>
          <w:rFonts w:ascii="Arial" w:cs="Arial" w:eastAsia="Arial" w:hAnsi="Arial"/>
          <w:sz w:val="18"/>
          <w:szCs w:val="18"/>
          <w:color w:val="auto"/>
        </w:rPr>
        <w:t xml:space="preserve">” means with respect to a particular Exchange, an amount of cash equal to the value of the PAGP Class A Shares that would be received in such Exchange as of the date of receipt by the Partnership of the Exchange Notice with respect to such Exchange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Valuation Date</w:t>
      </w:r>
      <w:r>
        <w:rPr>
          <w:rFonts w:ascii="Arial" w:cs="Arial" w:eastAsia="Arial" w:hAnsi="Arial"/>
          <w:sz w:val="18"/>
          <w:szCs w:val="18"/>
          <w:color w:val="auto"/>
        </w:rPr>
        <w:t>”), decreased by any distributions received by the Exchanging Partner with respect to the Class A Units that are the subject of the Exchange following the date of receipt by the Partnership of the Exchange Notice where the Record Date for such distribution was after the date of receipt of such notice. For this purpose, the value of a PAGP Class A Share shall equal (i) the volume weighted average price of a PAGP Class A Share for the 10 trading days ending on the trading day prior to the Valuation Date or (ii) in the event the PAGP Class A Shares are not then publicly traded, the value, as reasonably determined by</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General Partner in good faith,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Limited Partnership of the Partnership filed with the Secretary of State of Delaware, as amended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Partner</w:t>
      </w:r>
      <w:r>
        <w:rPr>
          <w:rFonts w:ascii="Arial" w:cs="Arial" w:eastAsia="Arial" w:hAnsi="Arial"/>
          <w:sz w:val="18"/>
          <w:szCs w:val="18"/>
          <w:color w:val="auto"/>
        </w:rPr>
        <w:t>” means a Limited Partner all or any portion of whose Limited Partnership Interest is evidenced by Class A Units.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“Class A Per Unit Capital Account” </w:t>
      </w:r>
      <w:r>
        <w:rPr>
          <w:rFonts w:ascii="Arial" w:cs="Arial" w:eastAsia="Arial" w:hAnsi="Arial"/>
          <w:sz w:val="18"/>
          <w:szCs w:val="18"/>
          <w:color w:val="auto"/>
        </w:rPr>
        <w:t>means the aggregate Capital Accounts attributable to the Class A Units (other than Converted Class A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divided by the number of outstanding Class A Units (other than Converted Class A Units).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A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Partner</w:t>
      </w:r>
      <w:r>
        <w:rPr>
          <w:rFonts w:ascii="Arial" w:cs="Arial" w:eastAsia="Arial" w:hAnsi="Arial"/>
          <w:sz w:val="18"/>
          <w:szCs w:val="18"/>
          <w:color w:val="auto"/>
        </w:rPr>
        <w:t>” means a Limited Partner all or any portion of whose Limited Partnership Interest is evidenced by Class B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“Class B Per Unit Capital Account” </w:t>
      </w:r>
      <w:r>
        <w:rPr>
          <w:rFonts w:ascii="Arial" w:cs="Arial" w:eastAsia="Arial" w:hAnsi="Arial"/>
          <w:sz w:val="16"/>
          <w:szCs w:val="16"/>
          <w:color w:val="auto"/>
        </w:rPr>
        <w:t>means the aggregate Capital Accounts attributable to the Vested Units divided by the number of Vested Units.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Per Unit Target Capital</w:t>
      </w:r>
      <w:r>
        <w:rPr>
          <w:rFonts w:ascii="Arial" w:cs="Arial" w:eastAsia="Arial" w:hAnsi="Arial"/>
          <w:sz w:val="18"/>
          <w:szCs w:val="18"/>
          <w:color w:val="auto"/>
        </w:rPr>
        <w:t>” means the product of the Conversion Factor and the Class A Per Unit Capital Account.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Restricted Unit Agreement</w:t>
      </w:r>
      <w:r>
        <w:rPr>
          <w:rFonts w:ascii="Arial" w:cs="Arial" w:eastAsia="Arial" w:hAnsi="Arial"/>
          <w:sz w:val="18"/>
          <w:szCs w:val="18"/>
          <w:color w:val="auto"/>
        </w:rPr>
        <w:t>” means an agreement, substantially in the form of Exhibit A to the Seventh A&amp;R Limited Partnership Agreement, between the Partnership and any Limited Partner that is issued Class B Units, as any such agreement may be amended, modified, supplemented or restated from time to time in accordance with the terms thereof.</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“Class B Target Deficit Amount” </w:t>
      </w:r>
      <w:r>
        <w:rPr>
          <w:rFonts w:ascii="Arial" w:cs="Arial" w:eastAsia="Arial" w:hAnsi="Arial"/>
          <w:sz w:val="18"/>
          <w:szCs w:val="18"/>
          <w:color w:val="auto"/>
        </w:rPr>
        <w:t>means with respect to each Vested Unit, the excess, if any, of the Class B Per Unit Target Capital over the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attributable to such Vested Unit.</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Class B Unit</w:t>
      </w:r>
      <w:r>
        <w:rPr>
          <w:rFonts w:ascii="Arial" w:cs="Arial" w:eastAsia="Arial" w:hAnsi="Arial"/>
          <w:sz w:val="16"/>
          <w:szCs w:val="16"/>
          <w:color w:val="auto"/>
        </w:rPr>
        <w:t>” means a Partnership Interest representing a fractional part of the Partnership Interests of all Limited Partners, and having the rights and obligations specified with respect to Class B Units in this Agreement and the Class B Restricted Unit Agreement pursuant to which it was issued.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Consideration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7.11(a)</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the Contribution Agreement, dated as of October 21, 2013, by and among Holdings GP, PAGP and certain other parties, together with the additional</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conveyance documents and instruments contemplated or referenced thereunder, as such may be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Factor</w:t>
      </w:r>
      <w:r>
        <w:rPr>
          <w:rFonts w:ascii="Arial" w:cs="Arial" w:eastAsia="Arial" w:hAnsi="Arial"/>
          <w:sz w:val="18"/>
          <w:szCs w:val="18"/>
          <w:color w:val="auto"/>
        </w:rPr>
        <w:t>” means 0.9413316.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Converted Class A Target Deficit Amount</w:t>
      </w:r>
      <w:r>
        <w:rPr>
          <w:rFonts w:ascii="Arial" w:cs="Arial" w:eastAsia="Arial" w:hAnsi="Arial"/>
          <w:sz w:val="18"/>
          <w:szCs w:val="18"/>
          <w:color w:val="auto"/>
        </w:rPr>
        <w:t>” means, with respect to each Converted Class A Unit, the excess, if any, of the Class A Per Unit Capital Account over the Capital Account attributable to such Converted Class A Unit.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Converted Class A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ectPr>
          <w:pgSz w:w="11900" w:h="16838" w:orient="portrait"/>
          <w:cols w:equalWidth="0" w:num="1">
            <w:col w:w="11340"/>
          </w:cols>
          <w:pgMar w:left="240" w:top="341" w:right="319" w:bottom="32" w:gutter="0" w:footer="0" w:header="0"/>
        </w:sectPr>
      </w:pPr>
    </w:p>
    <w:bookmarkStart w:id="90" w:name="page91"/>
    <w:bookmarkEnd w:id="90"/>
    <w:p>
      <w:pPr>
        <w:spacing w:after="0" w:line="2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adjusted basis for federal income tax purposes of an asset at the beginning of such Taxable Year is zero, Depreciation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asset shall be determined with reference to such beginning Gross Asset Value using any reasonable method selected by the General Partner.</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Earned Unit</w:t>
      </w:r>
      <w:r>
        <w:rPr>
          <w:rFonts w:ascii="Arial" w:cs="Arial" w:eastAsia="Arial" w:hAnsi="Arial"/>
          <w:sz w:val="18"/>
          <w:szCs w:val="18"/>
          <w:color w:val="auto"/>
        </w:rPr>
        <w:t>” means a Class B Unit that constitutes an “Earned Unit” under the Class B Restricted Unit Agreement pursuant to which such Class B Unit was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7.9(c)</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means Plains All American GP LLC, a Delaware limited liability company, any permitted successor thereto, and any Persons hereafter admitted as an additional general partner, each in its capacity as a general partner of the Partnership, in each case in accordance with the terms hereof.</w:t>
      </w:r>
    </w:p>
    <w:p>
      <w:pPr>
        <w:spacing w:after="0" w:line="18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General Partnership Interest</w:t>
      </w:r>
      <w:r>
        <w:rPr>
          <w:rFonts w:ascii="Arial" w:cs="Arial" w:eastAsia="Arial" w:hAnsi="Arial"/>
          <w:sz w:val="16"/>
          <w:szCs w:val="16"/>
          <w:color w:val="auto"/>
        </w:rPr>
        <w:t>” means the management and ownership interest of the General Partner in the Partnership (in its capacity as a general partner and without reference to any Limited Partnership Interest held by it) and includes any and all rights, powers and benefits to which the General Partner is entitled as provided in this Agreement, together with all obligations of the General Partner to comply with the terms and provisions of this Agreement.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Gross Asset Value</w:t>
      </w:r>
      <w:r>
        <w:rPr>
          <w:rFonts w:ascii="Arial" w:cs="Arial" w:eastAsia="Arial" w:hAnsi="Arial"/>
          <w:sz w:val="18"/>
          <w:szCs w:val="18"/>
          <w:color w:val="auto"/>
        </w:rPr>
        <w:t xml:space="preserve">” means with respect to any asset, the asset’s adjusted basis for federal income tax purposes, except as follows and as otherwise 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70" w:lineRule="exact"/>
        <w:rPr>
          <w:sz w:val="20"/>
          <w:szCs w:val="20"/>
          <w:color w:val="auto"/>
        </w:rPr>
      </w:pPr>
    </w:p>
    <w:p>
      <w:pPr>
        <w:ind w:right="220" w:firstLine="1305"/>
        <w:spacing w:after="0" w:line="264" w:lineRule="auto"/>
        <w:tabs>
          <w:tab w:leader="none" w:pos="194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initial Gross Asset Value of any asset contributed by a Partner to the Partnership shall be the gross fair market value of such asset, as reasonably determined by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initial Gross Asset Values of the assets contributed to the Partnership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shall be as set forth in such section or the schedule referred to therein;</w:t>
      </w:r>
    </w:p>
    <w:p>
      <w:pPr>
        <w:spacing w:after="0" w:line="181" w:lineRule="exact"/>
        <w:rPr>
          <w:rFonts w:ascii="Arial" w:cs="Arial" w:eastAsia="Arial" w:hAnsi="Arial"/>
          <w:sz w:val="18"/>
          <w:szCs w:val="18"/>
          <w:color w:val="auto"/>
        </w:rPr>
      </w:pPr>
    </w:p>
    <w:p>
      <w:pPr>
        <w:ind w:firstLine="1305"/>
        <w:spacing w:after="0" w:line="276" w:lineRule="auto"/>
        <w:tabs>
          <w:tab w:leader="none" w:pos="195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Gross Asset Values of all Partnership assets shall be adjusted to equal their respective gross fair market values (taking Code Section 7701(g) into account), as 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 minimis amount of Partnership property as consideration for an interest in the Partnership; (iii) the issuance by the Partnership of Class B Units; and (iv) the liquidation of the Partnership within the meaning of Regulation Section 1.704-1(b)(2)(ii)(g); and</w:t>
      </w:r>
    </w:p>
    <w:p>
      <w:pPr>
        <w:spacing w:after="0" w:line="172" w:lineRule="exact"/>
        <w:rPr>
          <w:rFonts w:ascii="Arial" w:cs="Arial" w:eastAsia="Arial" w:hAnsi="Arial"/>
          <w:sz w:val="17"/>
          <w:szCs w:val="17"/>
          <w:color w:val="auto"/>
        </w:rPr>
      </w:pPr>
    </w:p>
    <w:p>
      <w:pPr>
        <w:ind w:right="140" w:firstLine="1305"/>
        <w:spacing w:after="0" w:line="308" w:lineRule="auto"/>
        <w:tabs>
          <w:tab w:leader="none" w:pos="195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Gross Asset Value of any item of Partnership assets distributed to any Partner shall be adjusted to equal the gross fair market value (taking Code Section 7701(g) into account) of such asset on the date of distribution as reasonably determined by the General Partner.</w:t>
      </w:r>
    </w:p>
    <w:p>
      <w:pPr>
        <w:spacing w:after="0" w:line="147"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Holdings Group.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w:t>
      </w:r>
      <w:r>
        <w:rPr>
          <w:rFonts w:ascii="Arial" w:cs="Arial" w:eastAsia="Arial" w:hAnsi="Arial"/>
          <w:sz w:val="18"/>
          <w:szCs w:val="18"/>
          <w:color w:val="auto"/>
        </w:rPr>
        <w:t>” means PAA GP Holdings LLC, a Delaware limited liability company and the general partner of PAGP.</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GP LLC Agreement</w:t>
      </w:r>
      <w:r>
        <w:rPr>
          <w:rFonts w:ascii="Arial" w:cs="Arial" w:eastAsia="Arial" w:hAnsi="Arial"/>
          <w:sz w:val="17"/>
          <w:szCs w:val="17"/>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Unit</w:t>
      </w:r>
      <w:r>
        <w:rPr>
          <w:rFonts w:ascii="Arial" w:cs="Arial" w:eastAsia="Arial" w:hAnsi="Arial"/>
          <w:sz w:val="18"/>
          <w:szCs w:val="18"/>
          <w:color w:val="auto"/>
        </w:rPr>
        <w:t>” means the Units representing a fractional part of the membership interest in Holdings GP, having the rights and obligations specified in the Holdings GP LLC Agreement.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Group</w:t>
      </w:r>
      <w:r>
        <w:rPr>
          <w:rFonts w:ascii="Arial" w:cs="Arial" w:eastAsia="Arial" w:hAnsi="Arial"/>
          <w:sz w:val="17"/>
          <w:szCs w:val="17"/>
          <w:color w:val="auto"/>
        </w:rPr>
        <w:t>” means Holdings GP and its Subsidiaries treated as a single consolidated entity, but excluding the MLP and its Subsidiaries.</w:t>
      </w:r>
    </w:p>
    <w:p>
      <w:pPr>
        <w:sectPr>
          <w:pgSz w:w="11900" w:h="16862" w:orient="portrait"/>
          <w:cols w:equalWidth="0" w:num="1">
            <w:col w:w="11400"/>
          </w:cols>
          <w:pgMar w:left="240" w:top="125" w:right="259" w:bottom="0" w:gutter="0" w:footer="0" w:header="0"/>
        </w:sectPr>
      </w:pPr>
    </w:p>
    <w:bookmarkStart w:id="91" w:name="page92"/>
    <w:bookmarkEnd w:id="91"/>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means (a) the General Partner, (b) any Existing Owner, (c) any Qualifying Interest Holder, (d) any Person who is or was an Affiliate of the General Partner, any Existing Owner or any Qualifying Interest Holder, (e) any Person who is or was a managing member, manager, general partner, director, officer, fiduciary, agent or trustee of any Group Member, the General Partner, any Existing Owner or any Qualifying Interest Holder or any Affiliate of any Group Member, the General Partner, any Existing Owner or any Qualifying Interest Holder, (f) any Person who is or was serving at the request of the General Partner, any Existing Owner or any Qualifying Interest Holder or any Affiliate of the General Partner, any Existing Owner or any Qualifying Interest Holder as a member, manager, partner, director,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the General Partner designates as an “Indemnitee” for purposes of this Agreement.</w:t>
      </w:r>
    </w:p>
    <w:p>
      <w:pPr>
        <w:spacing w:after="0" w:line="1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Grant Date Partnership Capital</w:t>
      </w:r>
      <w:r>
        <w:rPr>
          <w:rFonts w:ascii="Arial" w:cs="Arial" w:eastAsia="Arial" w:hAnsi="Arial"/>
          <w:sz w:val="18"/>
          <w:szCs w:val="18"/>
          <w:color w:val="auto"/>
        </w:rPr>
        <w:t>” means, with respect to the Class B Partners, the amount of $3,200,000,000, which amount is equal to the aggregate Capital Account balances of the Class A Partners.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initial offering and sale of the PAGP Class A Shares to the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w:t>
      </w:r>
      <w:r>
        <w:rPr>
          <w:rFonts w:ascii="Arial" w:cs="Arial" w:eastAsia="Arial" w:hAnsi="Arial"/>
          <w:sz w:val="18"/>
          <w:szCs w:val="18"/>
          <w:color w:val="auto"/>
        </w:rPr>
        <w:t xml:space="preserve">” means, unless the context otherwise requires, each Class A Partner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each holder of a Class B Unit and each additional Person that becomes a Class A Partner or a Class B Partner pursuant to the terms of this Agreement and that is shown as such on the books and records of the Partnership, in each case, in such Person’s capacity as a limited partner of the Partnership.</w:t>
      </w:r>
    </w:p>
    <w:p>
      <w:pPr>
        <w:spacing w:after="0" w:line="18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Limited Partnership Interest</w:t>
      </w:r>
      <w:r>
        <w:rPr>
          <w:rFonts w:ascii="Arial" w:cs="Arial" w:eastAsia="Arial" w:hAnsi="Arial"/>
          <w:sz w:val="17"/>
          <w:szCs w:val="17"/>
          <w:color w:val="auto"/>
        </w:rPr>
        <w:t>” means the ownership interest of a Limited Partner in the Partnership, which may be evidenced by Class A Units, Class B Units or any other Partnership Security or a combination thereof or interest therein, and includes any and all benefits to which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Limited Partner is entitled as provided in this Agreement, together with all obligations of such Limited Partner to comply with the terms and provisions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Liquidating 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has the meaning set forth in the definition of “Profits” and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and any successor thereto.</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Common Units</w:t>
      </w:r>
      <w:r>
        <w:rPr>
          <w:rFonts w:ascii="Arial" w:cs="Arial" w:eastAsia="Arial" w:hAnsi="Arial"/>
          <w:sz w:val="18"/>
          <w:szCs w:val="18"/>
          <w:color w:val="auto"/>
        </w:rPr>
        <w:t>” means the common units representing limited partner interests in the MLP, having the rights and obligations specified in the MLP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Group</w:t>
      </w:r>
      <w:r>
        <w:rPr>
          <w:rFonts w:ascii="Arial" w:cs="Arial" w:eastAsia="Arial" w:hAnsi="Arial"/>
          <w:sz w:val="18"/>
          <w:szCs w:val="18"/>
          <w:color w:val="auto"/>
        </w:rPr>
        <w:t>” means the MLP and its Subsidiaries.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Partnership Agreement</w:t>
      </w:r>
      <w:r>
        <w:rPr>
          <w:rFonts w:ascii="Arial" w:cs="Arial" w:eastAsia="Arial" w:hAnsi="Arial"/>
          <w:sz w:val="17"/>
          <w:szCs w:val="17"/>
          <w:color w:val="auto"/>
        </w:rPr>
        <w:t>” means the Sixth Amended and Restated Agreement of Limited Partnership of the MLP,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Exchange Act or any successor to such statute.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Capital Transaction Proceeds</w:t>
      </w:r>
      <w:r>
        <w:rPr>
          <w:rFonts w:ascii="Arial" w:cs="Arial" w:eastAsia="Arial" w:hAnsi="Arial"/>
          <w:sz w:val="18"/>
          <w:szCs w:val="18"/>
          <w:color w:val="auto"/>
        </w:rPr>
        <w:t>” means the cash, notes, equity interests and any other consideration derived from the sale or other disposition of all or a portion of the Partnership’s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Non-Purchasing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Non-Qualifying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Non-Selling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w:t>
      </w:r>
    </w:p>
    <w:p>
      <w:pPr>
        <w:ind w:firstLine="8"/>
        <w:spacing w:after="0" w:line="261" w:lineRule="auto"/>
        <w:tabs>
          <w:tab w:leader="none" w:pos="24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the third Business Day following the date on which it was sent by United States mail, postage prepaid, to such party at the address or fax number, as the case may be, of such party as shown on the records of the Partnership.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92" w:name="page93"/>
    <w:bookmarkEnd w:id="92"/>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means that certain Omnibus Agreement, dated as of the date hereof, by and among, the Partnership, PAGP, Holdings GP, PAA GP, the MLP and the General Partner.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shall mean PAA GP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representing limited partnership interests in PAGP, having the rights and obligations specified in the PAGP LP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the Class B shares representing limited partnership interests in PAGP, having the rights and obligations specified in the PAGP LP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C Shares</w:t>
      </w:r>
      <w:r>
        <w:rPr>
          <w:rFonts w:ascii="Arial" w:cs="Arial" w:eastAsia="Arial" w:hAnsi="Arial"/>
          <w:sz w:val="18"/>
          <w:szCs w:val="18"/>
          <w:color w:val="auto"/>
        </w:rPr>
        <w:t>” means the Class C shares representing limited partner interests in PAGP, having the rights and obligations specified in the PAGP LP Agreement.</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LP Agreement</w:t>
      </w:r>
      <w:r>
        <w:rPr>
          <w:rFonts w:ascii="Arial" w:cs="Arial" w:eastAsia="Arial" w:hAnsi="Arial"/>
          <w:sz w:val="17"/>
          <w:szCs w:val="17"/>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w:t>
      </w:r>
      <w:r>
        <w:rPr>
          <w:rFonts w:ascii="Arial" w:cs="Arial" w:eastAsia="Arial" w:hAnsi="Arial"/>
          <w:sz w:val="16"/>
          <w:szCs w:val="16"/>
          <w:color w:val="auto"/>
        </w:rPr>
        <w:t>” means the General Partner or any of the Limited Partners, and “</w:t>
      </w:r>
      <w:r>
        <w:rPr>
          <w:rFonts w:ascii="Arial" w:cs="Arial" w:eastAsia="Arial" w:hAnsi="Arial"/>
          <w:sz w:val="16"/>
          <w:szCs w:val="16"/>
          <w:b w:val="1"/>
          <w:bCs w:val="1"/>
          <w:i w:val="1"/>
          <w:iCs w:val="1"/>
          <w:color w:val="auto"/>
        </w:rPr>
        <w:t>Partners</w:t>
      </w:r>
      <w:r>
        <w:rPr>
          <w:rFonts w:ascii="Arial" w:cs="Arial" w:eastAsia="Arial" w:hAnsi="Arial"/>
          <w:sz w:val="16"/>
          <w:szCs w:val="16"/>
          <w:color w:val="auto"/>
        </w:rPr>
        <w:t>” means the General Partner and all of the Limited Partners.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Group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Interest</w:t>
      </w:r>
      <w:r>
        <w:rPr>
          <w:rFonts w:ascii="Arial" w:cs="Arial" w:eastAsia="Arial" w:hAnsi="Arial"/>
          <w:sz w:val="18"/>
          <w:szCs w:val="18"/>
          <w:color w:val="auto"/>
        </w:rPr>
        <w:t>” means a Limited Partnership Interest or a General Partnership Interest, which refers to all of a Partner’s rights and interests in the Partnership in such Partner’s capacity as a Partner,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Security</w:t>
      </w:r>
      <w:r>
        <w:rPr>
          <w:rFonts w:ascii="Arial" w:cs="Arial" w:eastAsia="Arial" w:hAnsi="Arial"/>
          <w:sz w:val="18"/>
          <w:szCs w:val="18"/>
          <w:color w:val="auto"/>
        </w:rPr>
        <w:t>” means any class or series of equity interest in the Partnership (but excluding any options, rights, warrants and appreciation rights relating to an equity interest in the Partnership), including without limitation, Class A Units and Class B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ind w:firstLine="1305"/>
        <w:spacing w:after="0" w:line="259" w:lineRule="auto"/>
        <w:tabs>
          <w:tab w:leader="none" w:pos="194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Partner and/or any of the Persons described in clause (i) or clause (ii); </w:t>
      </w:r>
      <w:r>
        <w:rPr>
          <w:rFonts w:ascii="Arial" w:cs="Arial" w:eastAsia="Arial" w:hAnsi="Arial"/>
          <w:sz w:val="18"/>
          <w:szCs w:val="18"/>
          <w:i w:val="1"/>
          <w:iCs w:val="1"/>
          <w:color w:val="auto"/>
        </w:rPr>
        <w:t>provided</w:t>
      </w:r>
      <w:r>
        <w:rPr>
          <w:rFonts w:ascii="Arial" w:cs="Arial" w:eastAsia="Arial" w:hAnsi="Arial"/>
          <w:sz w:val="18"/>
          <w:szCs w:val="18"/>
          <w:color w:val="auto"/>
        </w:rPr>
        <w:t>, that in any of clauses (i), (ii) or (iii), the Partner transferring such Partnership Group Interest retains exclusive power to exercise all rights under this Agreement;</w:t>
      </w:r>
    </w:p>
    <w:p>
      <w:pPr>
        <w:spacing w:after="0" w:line="170" w:lineRule="exact"/>
        <w:rPr>
          <w:sz w:val="20"/>
          <w:szCs w:val="20"/>
          <w:color w:val="auto"/>
        </w:rPr>
      </w:pPr>
    </w:p>
    <w:p>
      <w:pPr>
        <w:ind w:left="1960" w:hanging="655"/>
        <w:spacing w:after="0"/>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Transfer of a Partnership Group Interest by any Partner to the Partnership;</w:t>
      </w:r>
    </w:p>
    <w:p>
      <w:pPr>
        <w:spacing w:after="0" w:line="225" w:lineRule="exact"/>
        <w:rPr>
          <w:rFonts w:ascii="Arial" w:cs="Arial" w:eastAsia="Arial" w:hAnsi="Arial"/>
          <w:sz w:val="18"/>
          <w:szCs w:val="18"/>
          <w:color w:val="auto"/>
        </w:rPr>
      </w:pPr>
    </w:p>
    <w:p>
      <w:pPr>
        <w:ind w:right="120" w:firstLine="1305"/>
        <w:spacing w:after="0" w:line="264" w:lineRule="auto"/>
        <w:tabs>
          <w:tab w:leader="none" w:pos="19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a Transfer by a Partner to any Affiliate of such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181"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with respect to Class B Units, a Transfer permitted under the applicable Class B Restricted Unit Agreement and any Transfer of Vested Units in accordance with applicable securities laws;</w:t>
      </w:r>
    </w:p>
    <w:p>
      <w:pPr>
        <w:spacing w:after="0" w:line="170" w:lineRule="exact"/>
        <w:rPr>
          <w:rFonts w:ascii="Arial" w:cs="Arial" w:eastAsia="Arial" w:hAnsi="Arial"/>
          <w:sz w:val="18"/>
          <w:szCs w:val="18"/>
          <w:color w:val="auto"/>
        </w:rPr>
      </w:pPr>
    </w:p>
    <w:p>
      <w:pPr>
        <w:ind w:right="20" w:firstLine="1305"/>
        <w:spacing w:after="0" w:line="259" w:lineRule="auto"/>
        <w:tabs>
          <w:tab w:leader="none" w:pos="19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case that such transferee agrees as a condition to such Transfer to effect, and actually effects, a substantially concurrent Exchange of such Partnership Group Interest;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Transfer by PAGP of Class A Units to an Affiliate of PAGP; and</w:t>
      </w:r>
    </w:p>
    <w:p>
      <w:pPr>
        <w:spacing w:after="0" w:line="225" w:lineRule="exact"/>
        <w:rPr>
          <w:sz w:val="20"/>
          <w:szCs w:val="20"/>
          <w:color w:val="auto"/>
        </w:rPr>
      </w:pPr>
    </w:p>
    <w:p>
      <w:pPr>
        <w:ind w:left="1960" w:hanging="655"/>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 Section 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Permitted Transfer shall be effective unless and until the transferee of the Partnership Group Interest or Class B Units 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complies with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Except in the case of a Permitted Transfer pursuant to clause (a) and (b) above, and subject to compliance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 Permitted Transferee of the Partnership Group Interest or Class B Units subject to a Permitted Transfer shall become a substitute Limited Partner as described in </w:t>
      </w:r>
      <w:r>
        <w:rPr>
          <w:rFonts w:ascii="Arial" w:cs="Arial" w:eastAsia="Arial" w:hAnsi="Arial"/>
          <w:sz w:val="16"/>
          <w:szCs w:val="16"/>
          <w:u w:val="single" w:color="auto"/>
          <w:color w:val="auto"/>
        </w:rPr>
        <w:t>Section 7.4</w:t>
      </w:r>
      <w:r>
        <w:rPr>
          <w:rFonts w:ascii="Arial" w:cs="Arial" w:eastAsia="Arial" w:hAnsi="Arial"/>
          <w:sz w:val="16"/>
          <w:szCs w:val="16"/>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ectPr>
          <w:pgSz w:w="11900" w:h="16838" w:orient="portrait"/>
          <w:cols w:equalWidth="0" w:num="1">
            <w:col w:w="11400"/>
          </w:cols>
          <w:pgMar w:left="240" w:top="125" w:right="259" w:bottom="0" w:gutter="0" w:footer="0" w:header="0"/>
        </w:sectPr>
      </w:pPr>
    </w:p>
    <w:bookmarkStart w:id="93" w:name="page94"/>
    <w:bookmarkEnd w:id="93"/>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means any Person who shall have acquired a Partnership Group Interest or Class B Units pursuant to a Permitted Transfer.</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Profits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for each Taxable Year, an amount equal to the Partnership’s net taxable income or loss for a taxable year, determined in accordance with Section 703(a) of the Code (for this purpose, all items of income, gain, loss or deduction required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to be stated separately pursuant to Section 703(a)(1) of the Code shall be included in computing such taxable income or loss), with the following adjustments:</w:t>
      </w:r>
    </w:p>
    <w:p>
      <w:pPr>
        <w:spacing w:after="0" w:line="248" w:lineRule="exact"/>
        <w:rPr>
          <w:sz w:val="20"/>
          <w:szCs w:val="20"/>
          <w:color w:val="auto"/>
        </w:rPr>
      </w:pPr>
    </w:p>
    <w:p>
      <w:pPr>
        <w:ind w:firstLine="1305"/>
        <w:spacing w:after="0" w:line="277" w:lineRule="auto"/>
        <w:tabs>
          <w:tab w:leader="none" w:pos="194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income of the Partnership that is exempt from federal income tax and not otherwise taken into account in computing Profits or Losses shall be added to such taxable income or loss;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expenditures of the Partnership described in Section 705(a)(2)(B) of the Code or treated as Code Section 705(a)(2)</w:t>
      </w:r>
    </w:p>
    <w:p>
      <w:pPr>
        <w:spacing w:after="0" w:line="34" w:lineRule="exact"/>
        <w:rPr>
          <w:rFonts w:ascii="Arial" w:cs="Arial" w:eastAsia="Arial" w:hAnsi="Arial"/>
          <w:sz w:val="17"/>
          <w:szCs w:val="17"/>
          <w:color w:val="auto"/>
        </w:rPr>
      </w:pPr>
    </w:p>
    <w:p>
      <w:pPr>
        <w:ind w:right="40" w:firstLine="8"/>
        <w:spacing w:after="0" w:line="261" w:lineRule="auto"/>
        <w:tabs>
          <w:tab w:leader="none" w:pos="28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expenditures pursuant to Regulation Section 1.704-1(b)(2)(iv)(i), and not otherwise taken into account in computing Profits or Losses, shall be subtracted from such taxable income or loss;</w:t>
      </w:r>
    </w:p>
    <w:p>
      <w:pPr>
        <w:spacing w:after="0" w:line="183" w:lineRule="exact"/>
        <w:rPr>
          <w:rFonts w:ascii="Arial" w:cs="Arial" w:eastAsia="Arial" w:hAnsi="Arial"/>
          <w:sz w:val="18"/>
          <w:szCs w:val="18"/>
          <w:color w:val="auto"/>
        </w:rPr>
      </w:pPr>
    </w:p>
    <w:p>
      <w:pPr>
        <w:jc w:val="both"/>
        <w:ind w:right="100" w:firstLine="1305"/>
        <w:spacing w:after="0" w:line="259" w:lineRule="auto"/>
        <w:tabs>
          <w:tab w:leader="none" w:pos="195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86" w:lineRule="exact"/>
        <w:rPr>
          <w:rFonts w:ascii="Arial" w:cs="Arial" w:eastAsia="Arial" w:hAnsi="Arial"/>
          <w:sz w:val="18"/>
          <w:szCs w:val="18"/>
          <w:color w:val="auto"/>
        </w:rPr>
      </w:pPr>
    </w:p>
    <w:p>
      <w:pPr>
        <w:ind w:right="260" w:firstLine="1305"/>
        <w:spacing w:after="0" w:line="264" w:lineRule="auto"/>
        <w:tabs>
          <w:tab w:leader="none" w:pos="195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81" w:lineRule="exact"/>
        <w:rPr>
          <w:rFonts w:ascii="Arial" w:cs="Arial" w:eastAsia="Arial" w:hAnsi="Arial"/>
          <w:sz w:val="18"/>
          <w:szCs w:val="18"/>
          <w:color w:val="auto"/>
        </w:rPr>
      </w:pPr>
    </w:p>
    <w:p>
      <w:pPr>
        <w:ind w:right="100" w:firstLine="1305"/>
        <w:spacing w:after="0" w:line="308" w:lineRule="auto"/>
        <w:tabs>
          <w:tab w:leader="none" w:pos="195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In lieu of the depreciation, amortization, and other cost recovery deductions taken into account in computing such taxable income or loss, there shall be taken into account Depreciation for such Taxable Year, computed in accordance with the definition of Depreciation;</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To the extent an adjustment to the adjusted tax basis of any Partnership asset pursuant to Code Section 734(b) or Code</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spacing w:after="0" w:line="190" w:lineRule="exact"/>
        <w:rPr>
          <w:sz w:val="20"/>
          <w:szCs w:val="20"/>
          <w:color w:val="auto"/>
        </w:rPr>
      </w:pPr>
    </w:p>
    <w:p>
      <w:pPr>
        <w:ind w:left="1980" w:hanging="675"/>
        <w:spacing w:after="0"/>
        <w:tabs>
          <w:tab w:leader="none" w:pos="1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Profits and Losses shall not include any items specially allocated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Partnership may own or otherwise have an interest in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7.9(h)</w:t>
      </w:r>
      <w:r>
        <w:rPr>
          <w:rFonts w:ascii="Arial" w:cs="Arial" w:eastAsia="Arial" w:hAnsi="Arial"/>
          <w:sz w:val="18"/>
          <w:szCs w:val="18"/>
          <w:color w:val="auto"/>
        </w:rPr>
        <w: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date established by Holdings GP for determining the identity of holders of PAGP Class A Shares entitled to receive any cash distribution made in accordance with the PAGP LP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7.11(b)</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means an agreement, substantially in the form of Exhibit A hereto, between the MLP and the other parties thereto, as such agreement may be amended, modified, supplemented or restated from time to time in accordance with the terms thereof.</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United States Securities and Exchange Commission under the Securities Act of 1933, as amended, to register the offering and sale of the Class A Shares in the Initial Offering.</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Regulations</w:t>
      </w:r>
      <w:r>
        <w:rPr>
          <w:rFonts w:ascii="Arial" w:cs="Arial" w:eastAsia="Arial" w:hAnsi="Arial"/>
          <w:sz w:val="18"/>
          <w:szCs w:val="18"/>
          <w:color w:val="auto"/>
        </w:rPr>
        <w:t>” means the regulations, including temporary regulations, promulgated by the United States Department of Treasury with respect to the Code, as such regulations are amended from time to time, or corresponding provisions of future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ectPr>
          <w:pgSz w:w="11900" w:h="16874" w:orient="portrait"/>
          <w:cols w:equalWidth="0" w:num="1">
            <w:col w:w="11400"/>
          </w:cols>
          <w:pgMar w:left="240" w:top="125" w:right="259" w:bottom="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Revocation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Seventh A&amp;R Limited Partnership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Simplification Agreement</w:t>
      </w:r>
      <w:r>
        <w:rPr>
          <w:rFonts w:ascii="Arial" w:cs="Arial" w:eastAsia="Arial" w:hAnsi="Arial"/>
          <w:sz w:val="18"/>
          <w:szCs w:val="18"/>
          <w:color w:val="auto"/>
        </w:rPr>
        <w:t>” means the Simplification Agreement, by and among the Partnership, the General Partner, PAGP, Holdings GP, PAA GP and the MLP, dated as of July 11, 2016.</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Grant Date</w:t>
      </w:r>
      <w:r>
        <w:rPr>
          <w:rFonts w:ascii="Arial" w:cs="Arial" w:eastAsia="Arial" w:hAnsi="Arial"/>
          <w:sz w:val="18"/>
          <w:szCs w:val="18"/>
          <w:color w:val="auto"/>
        </w:rPr>
        <w:t>” means any date on which any Class B Units are granted following the date of the initial grant of Class B Units (as set forth in the books and records of the Partnership).</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Grant Date Partnership Capital</w:t>
      </w:r>
      <w:r>
        <w:rPr>
          <w:rFonts w:ascii="Arial" w:cs="Arial" w:eastAsia="Arial" w:hAnsi="Arial"/>
          <w:sz w:val="18"/>
          <w:szCs w:val="18"/>
          <w:color w:val="auto"/>
        </w:rPr>
        <w:t>” means, with respect to any Subsequent Grant Date, an amount equal to the aggregate Capital Account balances as of such date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Class A Partners and the Class B Partners, which amount shall be determined by the General Partner in good faith and reflected on a schedule maintained by the General Partner.</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with respect to the Partnership, each of PAA GP and the MLP, and each of their respective Subsidiaries, shall be a Subsidiary of the Partnership.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Taxable Year</w:t>
      </w:r>
      <w:r>
        <w:rPr>
          <w:rFonts w:ascii="Arial" w:cs="Arial" w:eastAsia="Arial" w:hAnsi="Arial"/>
          <w:sz w:val="18"/>
          <w:szCs w:val="18"/>
          <w:color w:val="auto"/>
        </w:rPr>
        <w:t>” shall mean the calendar year.</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Transferred</w:t>
      </w:r>
      <w:r>
        <w:rPr>
          <w:rFonts w:ascii="Arial" w:cs="Arial" w:eastAsia="Arial" w:hAnsi="Arial"/>
          <w:sz w:val="16"/>
          <w:szCs w:val="16"/>
          <w:color w:val="auto"/>
        </w:rPr>
        <w:t>” means to give, sell, exchange, assign, transfer, pledge, mortgage, hypothecate, bequeath, devise or otherwise dispose of or subject to any Encumbrance, voluntarily or involuntarily, by operation of law or otherwise. When referring to Partnership Group Interests or Class B Units,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Transfer of such Partnership Group Interests or Class B Units whether of record, beneficially, by participation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Unit</w:t>
      </w:r>
      <w:r>
        <w:rPr>
          <w:rFonts w:ascii="Arial" w:cs="Arial" w:eastAsia="Arial" w:hAnsi="Arial"/>
          <w:sz w:val="18"/>
          <w:szCs w:val="18"/>
          <w:color w:val="auto"/>
        </w:rPr>
        <w:t>” means a Class B Unit that constitutes a “Vested Unit” under the Class B Restricted Unit Agreement pursuant to which such Class B Unit was issued.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ORGANIZATION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Formation of Limited Partnership</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General Partner has previously formed the Partnership as a limited partnership pursuant to the provisions of the Act and the parties hereto hereby agree to amend and restate the Seventh A&amp;R Limited Partnership Agreement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Name of Partnership</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name of the Partnership is Plains AAP, L.P. or such other name as the General Partner may hereafter adopt from time to time. The General Partner shall execute and file in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proper offices such certificates as may be required by any assumed name act or similar law in effect in the jurisdictions in which the Partnership may elect to conduct business.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Principal Office; Registered Office</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principal office address of the Partnership is located at 333 Clay Street, Suite 1600,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Term of Partnership</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The term of the Partnership commenced on May 21, 2001 and shall continue until dissolved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The legal existence of the Partnership as a separate legal entity continues until the cancellation of the Certificate.</w:t>
      </w:r>
    </w:p>
    <w:p>
      <w:pPr>
        <w:sectPr>
          <w:pgSz w:w="11900" w:h="16838" w:orient="portrait"/>
          <w:cols w:equalWidth="0" w:num="1">
            <w:col w:w="11400"/>
          </w:cols>
          <w:pgMar w:left="240" w:top="341" w:right="259" w:bottom="0" w:gutter="0" w:footer="0" w:header="0"/>
        </w:sectPr>
      </w:pPr>
    </w:p>
    <w:bookmarkStart w:id="95" w:name="page96"/>
    <w:bookmarkEnd w:id="95"/>
    <w:p>
      <w:pPr>
        <w:spacing w:after="0" w:line="1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Purpose of Partnership</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Partnership is formed for the object and purpose of, and the nature of the business to be conducted and promoted by the Partnership is (a) acting as the sole member of the limited liability company that acts as the general partner of the MLP pursuant to the MLP Agreement, (b) holding partnership interests in the MLP, (c) engaging directly or indirectly in any business activity that is approved by the General Partner and that lawfully may be conducted by a limited partnership organized pursuant to the Act and (d) engaging in any and all activities necessary or incidental to the foregoing.</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Actions by Partnership</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Partnership may execute, deliver and perform all contracts, agreements and other undertakings and engage in all activities and transactions as may in the opinion of the General Partner be necessary or advisable to carry out its objects.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Reliance by Third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Persons dealing with the Partnership are entitled to rely conclusively upon the power and authority of the General Partner as herein set forth.</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Capital Contributions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As of the date hereof, there are [624,026,124](1) Class A Units outstanding and [31,585,596] Class B Units outstanding.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sets forth the ownership of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300" w:hanging="292"/>
        <w:spacing w:after="0"/>
        <w:tabs>
          <w:tab w:leader="none" w:pos="300" w:val="left"/>
        </w:tabs>
        <w:numPr>
          <w:ilvl w:val="0"/>
          <w:numId w:val="2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Note to Draft: </w:t>
      </w:r>
      <w:r>
        <w:rPr>
          <w:rFonts w:ascii="Arial" w:cs="Arial" w:eastAsia="Arial" w:hAnsi="Arial"/>
          <w:sz w:val="18"/>
          <w:szCs w:val="18"/>
          <w:i w:val="1"/>
          <w:iCs w:val="1"/>
          <w:color w:val="auto"/>
        </w:rPr>
        <w:t>Unit amounts to be updated prior to closing.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Class A Units and Class B Units, and may be amended from time to time by the Partnership to reflect the issuance of additional Class A Units or Class B Units.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Additional Capital Contributions</w:t>
      </w:r>
    </w:p>
    <w:p>
      <w:pPr>
        <w:spacing w:after="0" w:line="225" w:lineRule="exact"/>
        <w:rPr>
          <w:sz w:val="20"/>
          <w:szCs w:val="20"/>
          <w:color w:val="auto"/>
        </w:rPr>
      </w:pPr>
    </w:p>
    <w:p>
      <w:pPr>
        <w:ind w:left="1300" w:hanging="644"/>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Partner shall be required to make any additional Capital Contribution.</w:t>
      </w:r>
    </w:p>
    <w:p>
      <w:pPr>
        <w:spacing w:after="0" w:line="225" w:lineRule="exact"/>
        <w:rPr>
          <w:rFonts w:ascii="Arial" w:cs="Arial" w:eastAsia="Arial" w:hAnsi="Arial"/>
          <w:sz w:val="18"/>
          <w:szCs w:val="18"/>
          <w:color w:val="auto"/>
        </w:rPr>
      </w:pPr>
    </w:p>
    <w:p>
      <w:pPr>
        <w:ind w:firstLine="656"/>
        <w:spacing w:after="0" w:line="264" w:lineRule="auto"/>
        <w:tabs>
          <w:tab w:leader="none" w:pos="130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Subject to the restrictions contained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Class B Restricted Unit Agreement, the Partnership may issue additional Partnership Interests to any Person with the approval of the General Partner. The names, addresses and Capital Contributions of the Partners shall be reflected in the books and records of the Partnership.</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Loans</w:t>
      </w:r>
    </w:p>
    <w:p>
      <w:pPr>
        <w:spacing w:after="0" w:line="225" w:lineRule="exact"/>
        <w:rPr>
          <w:sz w:val="20"/>
          <w:szCs w:val="20"/>
          <w:color w:val="auto"/>
        </w:rPr>
      </w:pPr>
    </w:p>
    <w:p>
      <w:pPr>
        <w:ind w:right="120" w:firstLine="656"/>
        <w:spacing w:after="0" w:line="264" w:lineRule="auto"/>
        <w:tabs>
          <w:tab w:leader="none" w:pos="129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Partner shall be obligated to loan funds to the Partnership. Loans by a Partner to the Partnership shall not be considered Capital Contributions. The amount of any such loan shall be a debt of the Partnership owed to such Partner in accordance with the terms and conditions upon which such loan is made.</w:t>
      </w:r>
    </w:p>
    <w:p>
      <w:pPr>
        <w:spacing w:after="0" w:line="181"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Maintenance of Capital Accounts</w:t>
      </w:r>
    </w:p>
    <w:p>
      <w:pPr>
        <w:spacing w:after="0" w:line="225" w:lineRule="exact"/>
        <w:rPr>
          <w:sz w:val="20"/>
          <w:szCs w:val="20"/>
          <w:color w:val="auto"/>
        </w:rPr>
      </w:pPr>
    </w:p>
    <w:p>
      <w:pPr>
        <w:ind w:right="180" w:firstLine="656"/>
        <w:spacing w:after="0" w:line="277" w:lineRule="auto"/>
        <w:tabs>
          <w:tab w:leader="none" w:pos="129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Partnership shall maintain for each Partner a separate Capital Account with respect to the Limited Partnership Interest owned by such Partner in accordance with the following provisions:</w:t>
      </w:r>
    </w:p>
    <w:p>
      <w:pPr>
        <w:spacing w:after="0" w:line="170" w:lineRule="exact"/>
        <w:rPr>
          <w:rFonts w:ascii="Arial" w:cs="Arial" w:eastAsia="Arial" w:hAnsi="Arial"/>
          <w:sz w:val="18"/>
          <w:szCs w:val="18"/>
          <w:color w:val="auto"/>
        </w:rPr>
      </w:pPr>
    </w:p>
    <w:p>
      <w:pPr>
        <w:ind w:left="660" w:right="20" w:firstLine="645"/>
        <w:spacing w:after="0" w:line="255" w:lineRule="auto"/>
        <w:tabs>
          <w:tab w:leader="none" w:pos="197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credited (A) such Partner’s Capital Contributions, (B) such Partner’s share of Profits and items of income and gain allocated to such Partner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 note or until (and only to the extent) principal payments are made on the note, all in accordance with Regulation Section 1.704-1(b)(2)(iv)(d)(2);</w:t>
      </w:r>
    </w:p>
    <w:p>
      <w:pPr>
        <w:spacing w:after="0" w:line="189" w:lineRule="exact"/>
        <w:rPr>
          <w:rFonts w:ascii="Arial" w:cs="Arial" w:eastAsia="Arial" w:hAnsi="Arial"/>
          <w:sz w:val="18"/>
          <w:szCs w:val="18"/>
          <w:color w:val="auto"/>
        </w:rPr>
      </w:pPr>
    </w:p>
    <w:p>
      <w:pPr>
        <w:ind w:left="660" w:right="400" w:firstLine="645"/>
        <w:spacing w:after="0" w:line="259" w:lineRule="auto"/>
        <w:tabs>
          <w:tab w:leader="none" w:pos="198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(B) such Partner’s share of Losses and items of loss and deduction allocated to such Partner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and (C) the amount of any liabilities of such Partner assumed by the Partnership or which are secured by any Property contributed by such Partner to the Partnership;</w:t>
      </w:r>
    </w:p>
    <w:p>
      <w:pPr>
        <w:sectPr>
          <w:pgSz w:w="11900" w:h="16942" w:orient="portrait"/>
          <w:cols w:equalWidth="0" w:num="1">
            <w:col w:w="11420"/>
          </w:cols>
          <w:pgMar w:left="240" w:top="125" w:right="239" w:bottom="0" w:gutter="0" w:footer="0" w:header="0"/>
        </w:sectPr>
      </w:pPr>
    </w:p>
    <w:bookmarkStart w:id="96" w:name="page97"/>
    <w:bookmarkEnd w:id="96"/>
    <w:p>
      <w:pPr>
        <w:ind w:left="660" w:right="180" w:firstLine="645"/>
        <w:spacing w:after="0" w:line="308" w:lineRule="auto"/>
        <w:tabs>
          <w:tab w:leader="none" w:pos="199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spacing w:after="0" w:line="146" w:lineRule="exact"/>
        <w:rPr>
          <w:rFonts w:ascii="Arial" w:cs="Arial" w:eastAsia="Arial" w:hAnsi="Arial"/>
          <w:sz w:val="17"/>
          <w:szCs w:val="17"/>
          <w:color w:val="auto"/>
        </w:rPr>
      </w:pPr>
    </w:p>
    <w:p>
      <w:pPr>
        <w:ind w:left="660" w:right="620" w:firstLine="645"/>
        <w:spacing w:after="0" w:line="277" w:lineRule="auto"/>
        <w:tabs>
          <w:tab w:leader="none" w:pos="197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In determining the amount of any liability for purposes of </w:t>
      </w:r>
      <w:r>
        <w:rPr>
          <w:rFonts w:ascii="Arial" w:cs="Arial" w:eastAsia="Arial" w:hAnsi="Arial"/>
          <w:sz w:val="18"/>
          <w:szCs w:val="18"/>
          <w:u w:val="single" w:color="auto"/>
          <w:color w:val="auto"/>
        </w:rPr>
        <w:t>Sections 3.4(a)(i)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there shall be taken into account Code Section 752(c) and any other applicable provisions of the Code and Regulations.</w:t>
      </w:r>
    </w:p>
    <w:p>
      <w:pPr>
        <w:spacing w:after="0" w:line="170" w:lineRule="exact"/>
        <w:rPr>
          <w:rFonts w:ascii="Arial" w:cs="Arial" w:eastAsia="Arial" w:hAnsi="Arial"/>
          <w:sz w:val="18"/>
          <w:szCs w:val="18"/>
          <w:color w:val="auto"/>
        </w:rPr>
      </w:pPr>
    </w:p>
    <w:p>
      <w:pPr>
        <w:ind w:right="20" w:firstLine="656"/>
        <w:spacing w:after="0" w:line="273" w:lineRule="auto"/>
        <w:tabs>
          <w:tab w:leader="none" w:pos="1304"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The foregoing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 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Capital Withdrawal Rights, Interest and Priority</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Class B Partners Profits Interests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Class B Units have been, and may in the future be, issued for zero consideration in order to provide additional incentives for the Class B Partners to build value for the Partnership and achieve its business goals. Each Class B Unit represents an interest in the Partnership of the nature commonly referred to as a “profits interest” (as described in Revenue Procedure 93-27, 1993-2 C.B. 343 and Revenue Procedure 2001-43, 2001-2 C.B. 191), and represents an interest in future Partnership profits and losses from operations, current distributions from operations, and an interest in future appreciation or depreciation in the Partnership asset values as set forth in this Agreement, but which does not represent an interest in Initial Grant Date Partnership Capital or Subsequent Grant Date Partnership Capital (as applicable) as determined on the date such Class B Unit is or was issued.</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General Partner Interest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General Partner Interest is a non-economic interest and does not include any rights to profits or losses or any rights to receive distributions from operations or upon the liquidation or winding-up of the Partnership.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Splits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Any distribution, subdivision or combination of the Class A Units shall be accompanied by a simultaneous and proportionate distribution, subdivision or combination of the Class B Units pursuant to this Agreement, the General Partner Units pursuant to the Holdings GP LLC Agreement, and the PAGP Class A Shares, PAGP Class B Shares and PAGP Class C Shares pursuant to the PAGP LP Agreement, and vice versa. This provision shall not be amended unless corresponding changes are made the Holdings GP LLC Agreement and the PAGP LP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Distributions of Available Cash</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 amount equal to 100% of Available Cash with respect to each fiscal quarter of the Partnership shall be distributed to the Partners, pro rata based on the number of Class A Units, Earned Units and/or Vested Units held, within forty-five days after the end of such quarter, assuming in the case of Earned Units and Vested Units, the conversion of such Units into Class A Units based on the Conversion Factor.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Persons Entitled to Distributions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Except as provided below, all distributions of Available Cash to Partners for a fiscal quarter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made to the Partners shown on the records of the Partnership to be entitled thereto as of the Record Date with respect to such quarter. For the avoidance of doubt, no distribution shall be paid with respect to any outstanding Class B Unit that is not either an Earned Unit or a Vested Unit.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Limitations on Distributions</w:t>
      </w:r>
    </w:p>
    <w:p>
      <w:pPr>
        <w:spacing w:after="0" w:line="225"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no distributions shall be made except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no distribution hereunder shall be permitted if such distribution would violate Section 17-607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ALLOCATIONS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Profits and Losses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Following the application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8.3</w:t>
      </w:r>
      <w:r>
        <w:rPr>
          <w:rFonts w:ascii="Arial" w:cs="Arial" w:eastAsia="Arial" w:hAnsi="Arial"/>
          <w:sz w:val="18"/>
          <w:szCs w:val="18"/>
          <w:color w:val="auto"/>
        </w:rPr>
        <w:t>, Profits and Losses for each Taxable Year shall be allocated among the Partners, pro rata based on the number of Class A Units and Vested Units held, assuming in the case of Earned Units and Vested Units, the conversion of such Units into Class A Units based on the Conversion Factor.</w:t>
      </w:r>
    </w:p>
    <w:p>
      <w:pPr>
        <w:sectPr>
          <w:pgSz w:w="11900" w:h="16838" w:orient="portrait"/>
          <w:cols w:equalWidth="0" w:num="1">
            <w:col w:w="11400"/>
          </w:cols>
          <w:pgMar w:left="240" w:top="341" w:right="259" w:bottom="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Regulatory and Special Allocations</w:t>
      </w:r>
    </w:p>
    <w:p>
      <w:pPr>
        <w:spacing w:after="0" w:line="225" w:lineRule="exact"/>
        <w:rPr>
          <w:sz w:val="20"/>
          <w:szCs w:val="20"/>
          <w:color w:val="auto"/>
        </w:rPr>
      </w:pPr>
    </w:p>
    <w:p>
      <w:pPr>
        <w:ind w:left="1300" w:hanging="644"/>
        <w:spacing w:after="0"/>
        <w:tabs>
          <w:tab w:leader="none" w:pos="130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Gross Income Allocations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645"/>
        <w:spacing w:after="0" w:line="259" w:lineRule="auto"/>
        <w:tabs>
          <w:tab w:leader="none" w:pos="1978"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In the event any Partner has an Adjusted Capital Account Deficit at the end of any Taxable Year, such Partner shall be specially allocated items of Partnership income and gain in the amount of such deficit balance as quickly as possible;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allocation pursuant to this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be made only if and to the extent that such Partner would have an Adjusted Capital Account Deficit balance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made.</w:t>
      </w:r>
    </w:p>
    <w:p>
      <w:pPr>
        <w:spacing w:after="0" w:line="186" w:lineRule="exact"/>
        <w:rPr>
          <w:rFonts w:ascii="Arial" w:cs="Arial" w:eastAsia="Arial" w:hAnsi="Arial"/>
          <w:sz w:val="18"/>
          <w:szCs w:val="18"/>
          <w:color w:val="auto"/>
        </w:rPr>
      </w:pPr>
    </w:p>
    <w:p>
      <w:pPr>
        <w:ind w:left="660" w:right="140" w:firstLine="645"/>
        <w:spacing w:after="0" w:line="277" w:lineRule="auto"/>
        <w:tabs>
          <w:tab w:leader="none" w:pos="198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Holders of Class B Units that are Earned Units, but not Vested Units shall be specially allocated items of Partnership income and gain in the amount equal to any distributions made with respect to such Earned Units.</w:t>
      </w:r>
    </w:p>
    <w:p>
      <w:pPr>
        <w:spacing w:after="0" w:line="170" w:lineRule="exact"/>
        <w:rPr>
          <w:rFonts w:ascii="Arial" w:cs="Arial" w:eastAsia="Arial" w:hAnsi="Arial"/>
          <w:sz w:val="18"/>
          <w:szCs w:val="18"/>
          <w:color w:val="auto"/>
        </w:rPr>
      </w:pPr>
    </w:p>
    <w:p>
      <w:pPr>
        <w:ind w:right="20" w:firstLine="656"/>
        <w:spacing w:after="0" w:line="276" w:lineRule="auto"/>
        <w:tabs>
          <w:tab w:leader="none" w:pos="1304"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Qualified Income Offset</w:t>
      </w:r>
      <w:r>
        <w:rPr>
          <w:rFonts w:ascii="Arial" w:cs="Arial" w:eastAsia="Arial" w:hAnsi="Arial"/>
          <w:sz w:val="17"/>
          <w:szCs w:val="17"/>
          <w:color w:val="auto"/>
        </w:rPr>
        <w:t xml:space="preserve">. In the event any Partner unexpectedly receives any adjustments, allocations or distributions described in Regulation Sections 1.704-1(b)(2)(ii)(d)(4), 1.704-1(b)(2)(ii)(d)(5) or 1.704-1(b)(2)(ii)(d)(6), items of Partnership income and gain shall be specially allocated to such Partner in an amount and manner sufficient to eliminate, to the extent required by the Regulations, the Adjusted Capital Account Deficit of such Partner as quickly as possible,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allocation pursuant to this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shall be made only if and to the extent that such Partner would have an Adjusted Capital Account Deficit after all other allocations provided for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have been made.</w:t>
      </w:r>
    </w:p>
    <w:p>
      <w:pPr>
        <w:spacing w:after="0" w:line="172" w:lineRule="exact"/>
        <w:rPr>
          <w:rFonts w:ascii="Arial" w:cs="Arial" w:eastAsia="Arial" w:hAnsi="Arial"/>
          <w:sz w:val="17"/>
          <w:szCs w:val="17"/>
          <w:color w:val="auto"/>
        </w:rPr>
      </w:pPr>
    </w:p>
    <w:p>
      <w:pPr>
        <w:ind w:right="20" w:firstLine="656"/>
        <w:spacing w:after="0" w:line="257" w:lineRule="auto"/>
        <w:tabs>
          <w:tab w:leader="none" w:pos="1307"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Limitations on Allocations of Losses</w:t>
      </w:r>
      <w:r>
        <w:rPr>
          <w:rFonts w:ascii="Arial" w:cs="Arial" w:eastAsia="Arial" w:hAnsi="Arial"/>
          <w:sz w:val="18"/>
          <w:szCs w:val="18"/>
          <w:color w:val="auto"/>
        </w:rPr>
        <w:t xml:space="preserve">. Notwithstanding any provision hereof to the contrary, no Losses or other items of loss or expense shall be allocated to any Partner to the extent that such allocation would cause or increase an Adjusted Capital Account Deficit with respect to such Partner. All Losses and other items of loss and expense in excess of the limitation set forth in this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shall be allocated to the other Partners not having an Adjusted Capital Account Deficit pro rata based on the number of Class A Units, Earned Units and/or Vested Units held to the extent not otherwise limited by the preceding sentence.</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Revaluation Income and Gain</w:t>
      </w:r>
      <w:r>
        <w:rPr>
          <w:rFonts w:ascii="Arial" w:cs="Arial" w:eastAsia="Arial" w:hAnsi="Arial"/>
          <w:sz w:val="16"/>
          <w:szCs w:val="16"/>
          <w:color w:val="auto"/>
        </w:rPr>
        <w:t>. In the event the Gross Asset Value of any Partnership asset is adjusted pursuant to subparagraphs (b) or</w:t>
      </w:r>
    </w:p>
    <w:p>
      <w:pPr>
        <w:spacing w:after="0" w:line="46" w:lineRule="exact"/>
        <w:rPr>
          <w:rFonts w:ascii="Arial" w:cs="Arial" w:eastAsia="Arial" w:hAnsi="Arial"/>
          <w:sz w:val="16"/>
          <w:szCs w:val="16"/>
          <w:color w:val="auto"/>
        </w:rPr>
      </w:pPr>
    </w:p>
    <w:p>
      <w:pPr>
        <w:ind w:firstLine="8"/>
        <w:spacing w:after="0" w:line="261" w:lineRule="auto"/>
        <w:tabs>
          <w:tab w:leader="none" w:pos="24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of the definition of Gross Asset Value during any Tax Year beginning on or after January 1, 2016, any resulting items of income and gain shall be specially allocated:</w:t>
      </w:r>
    </w:p>
    <w:p>
      <w:pPr>
        <w:spacing w:after="0" w:line="183" w:lineRule="exact"/>
        <w:rPr>
          <w:rFonts w:ascii="Arial" w:cs="Arial" w:eastAsia="Arial" w:hAnsi="Arial"/>
          <w:sz w:val="18"/>
          <w:szCs w:val="18"/>
          <w:color w:val="auto"/>
        </w:rPr>
      </w:pPr>
    </w:p>
    <w:p>
      <w:pPr>
        <w:ind w:left="660" w:right="160" w:firstLine="645"/>
        <w:spacing w:after="0" w:line="277" w:lineRule="auto"/>
        <w:tabs>
          <w:tab w:leader="none" w:pos="1978" w:val="left"/>
        </w:tabs>
        <w:numPr>
          <w:ilvl w:val="2"/>
          <w:numId w:val="238"/>
        </w:numPr>
        <w:rPr>
          <w:rFonts w:ascii="Arial" w:cs="Arial" w:eastAsia="Arial" w:hAnsi="Arial"/>
          <w:sz w:val="18"/>
          <w:szCs w:val="18"/>
          <w:color w:val="auto"/>
        </w:rPr>
      </w:pPr>
      <w:r>
        <w:rPr>
          <w:rFonts w:ascii="Arial" w:cs="Arial" w:eastAsia="Arial" w:hAnsi="Arial"/>
          <w:sz w:val="18"/>
          <w:szCs w:val="18"/>
          <w:color w:val="auto"/>
        </w:rPr>
        <w:t>first, to holders of Converted Class A Units in accordance with their relative Converted Class A Target Deficit Amounts until the Capital Account associated with such Converted Class A Units equals the Class A Per Unit Capital Account; and</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87" w:val="left"/>
        </w:tabs>
        <w:numPr>
          <w:ilvl w:val="2"/>
          <w:numId w:val="238"/>
        </w:numPr>
        <w:rPr>
          <w:rFonts w:ascii="Arial" w:cs="Arial" w:eastAsia="Arial" w:hAnsi="Arial"/>
          <w:sz w:val="18"/>
          <w:szCs w:val="18"/>
          <w:color w:val="auto"/>
        </w:rPr>
      </w:pPr>
      <w:r>
        <w:rPr>
          <w:rFonts w:ascii="Arial" w:cs="Arial" w:eastAsia="Arial" w:hAnsi="Arial"/>
          <w:sz w:val="18"/>
          <w:szCs w:val="18"/>
          <w:color w:val="auto"/>
        </w:rPr>
        <w:t>second, to the holders of Vested Units in accordance with their relative Class B Target Deficit Amounts until the Class B Per Unit Capital Account attributable to each Vested Unit equals the Class B Per Unit Target Capital.</w:t>
      </w:r>
    </w:p>
    <w:p>
      <w:pPr>
        <w:spacing w:after="0" w:line="170" w:lineRule="exact"/>
        <w:rPr>
          <w:rFonts w:ascii="Arial" w:cs="Arial" w:eastAsia="Arial" w:hAnsi="Arial"/>
          <w:sz w:val="18"/>
          <w:szCs w:val="18"/>
          <w:color w:val="auto"/>
        </w:rPr>
      </w:pPr>
    </w:p>
    <w:p>
      <w:pPr>
        <w:ind w:right="460" w:firstLine="656"/>
        <w:spacing w:after="0" w:line="342" w:lineRule="auto"/>
        <w:tabs>
          <w:tab w:leader="none" w:pos="1307"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Curative Allocations</w:t>
      </w:r>
      <w:r>
        <w:rPr>
          <w:rFonts w:ascii="Arial" w:cs="Arial" w:eastAsia="Arial" w:hAnsi="Arial"/>
          <w:sz w:val="16"/>
          <w:szCs w:val="16"/>
          <w:color w:val="auto"/>
        </w:rPr>
        <w:t xml:space="preserve">. The allocations set forth in </w:t>
      </w:r>
      <w:r>
        <w:rPr>
          <w:rFonts w:ascii="Arial" w:cs="Arial" w:eastAsia="Arial" w:hAnsi="Arial"/>
          <w:sz w:val="16"/>
          <w:szCs w:val="16"/>
          <w:u w:val="single" w:color="auto"/>
          <w:color w:val="auto"/>
        </w:rPr>
        <w:t>Sections 5.2(a)(i)</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(the “</w:t>
      </w:r>
      <w:r>
        <w:rPr>
          <w:rFonts w:ascii="Arial" w:cs="Arial" w:eastAsia="Arial" w:hAnsi="Arial"/>
          <w:sz w:val="16"/>
          <w:szCs w:val="16"/>
          <w:b w:val="1"/>
          <w:bCs w:val="1"/>
          <w:i w:val="1"/>
          <w:iCs w:val="1"/>
          <w:color w:val="auto"/>
        </w:rPr>
        <w:t>Regulatory Allocations</w:t>
      </w:r>
      <w:r>
        <w:rPr>
          <w:rFonts w:ascii="Arial" w:cs="Arial" w:eastAsia="Arial" w:hAnsi="Arial"/>
          <w:sz w:val="16"/>
          <w:szCs w:val="16"/>
          <w:color w:val="auto"/>
        </w:rPr>
        <w:t>”) are intended to comply with certain requirements of the Regulations. It is the intent of the Partners that, to the extent possible, all Regulatory Allocations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shall be offset either with other Regulatory Allocations or with special allocations of other items of Partnership income, gain, loss or deduction pursuant to this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Therefore, notwithstanding any other provision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5.2(d)</w:t>
      </w:r>
      <w:r>
        <w:rPr>
          <w:rFonts w:ascii="Arial" w:cs="Arial" w:eastAsia="Arial" w:hAnsi="Arial"/>
          <w:sz w:val="18"/>
          <w:szCs w:val="18"/>
          <w:color w:val="auto"/>
        </w:rPr>
        <w:t xml:space="preserve"> without regard to the Regulatory Allocations.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Tax Allocations: Code Section 704(c)</w:t>
      </w:r>
    </w:p>
    <w:p>
      <w:pPr>
        <w:spacing w:after="0" w:line="225" w:lineRule="exact"/>
        <w:rPr>
          <w:sz w:val="20"/>
          <w:szCs w:val="20"/>
          <w:color w:val="auto"/>
        </w:rPr>
      </w:pPr>
    </w:p>
    <w:p>
      <w:pPr>
        <w:ind w:right="220" w:firstLine="656"/>
        <w:spacing w:after="0" w:line="291" w:lineRule="auto"/>
        <w:tabs>
          <w:tab w:leader="none" w:pos="129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for federal income tax purposes, (i) each item of income, gain, loss and deduction shall be allocated among the Partners in the same manner as its correlative item of “book” income, gain, loss or deduction is allocated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w:t>
      </w:r>
      <w:r>
        <w:rPr>
          <w:rFonts w:ascii="Arial" w:cs="Arial" w:eastAsia="Arial" w:hAnsi="Arial"/>
          <w:sz w:val="16"/>
          <w:szCs w:val="16"/>
          <w:color w:val="auto"/>
        </w:rPr>
        <w:t>, and</w:t>
      </w:r>
    </w:p>
    <w:p>
      <w:pPr>
        <w:ind w:right="640" w:firstLine="8"/>
        <w:spacing w:after="0" w:line="261" w:lineRule="auto"/>
        <w:tabs>
          <w:tab w:leader="none" w:pos="26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each tax credit shall be allocated to the Partners in the same manner as the receipt or expenditure giving rise to such credit is allocated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40" w:firstLine="656"/>
        <w:spacing w:after="0" w:line="259" w:lineRule="auto"/>
        <w:tabs>
          <w:tab w:leader="none" w:pos="130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herein of “</w:t>
      </w:r>
      <w:r>
        <w:rPr>
          <w:rFonts w:ascii="Arial" w:cs="Arial" w:eastAsia="Arial" w:hAnsi="Arial"/>
          <w:sz w:val="18"/>
          <w:szCs w:val="18"/>
          <w:b w:val="1"/>
          <w:bCs w:val="1"/>
          <w:i w:val="1"/>
          <w:iCs w:val="1"/>
          <w:color w:val="auto"/>
        </w:rPr>
        <w:t>Gross Asset Value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40" w:firstLine="656"/>
        <w:spacing w:after="0" w:line="312" w:lineRule="auto"/>
        <w:tabs>
          <w:tab w:leader="none" w:pos="130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In the event the Gross Asset Value of any Partnership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146" w:lineRule="exact"/>
        <w:rPr>
          <w:rFonts w:ascii="Arial" w:cs="Arial" w:eastAsia="Arial" w:hAnsi="Arial"/>
          <w:sz w:val="16"/>
          <w:szCs w:val="16"/>
          <w:color w:val="auto"/>
        </w:rPr>
      </w:pPr>
    </w:p>
    <w:p>
      <w:pPr>
        <w:ind w:right="40" w:firstLine="656"/>
        <w:spacing w:after="0" w:line="272" w:lineRule="auto"/>
        <w:tabs>
          <w:tab w:leader="none" w:pos="1304" w:val="left"/>
        </w:tabs>
        <w:numPr>
          <w:ilvl w:val="1"/>
          <w:numId w:val="240"/>
        </w:numPr>
        <w:rPr>
          <w:rFonts w:ascii="Arial" w:cs="Arial" w:eastAsia="Arial" w:hAnsi="Arial"/>
          <w:sz w:val="17"/>
          <w:szCs w:val="17"/>
          <w:color w:val="auto"/>
        </w:rPr>
      </w:pPr>
      <w:r>
        <w:rPr>
          <w:rFonts w:ascii="Arial" w:cs="Arial" w:eastAsia="Arial" w:hAnsi="Arial"/>
          <w:sz w:val="17"/>
          <w:szCs w:val="17"/>
          <w:color w:val="auto"/>
        </w:rPr>
        <w:t xml:space="preserve">Any elections or other decisions relating to such allocations shall be made by the General Partner in any manner that reasonably reflects the purpose and intention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solely for purposes of federal, state, and local taxes and shall not affect, or in any way be taken into account in computing, any Partner’s Capital Account or share of Profits, Losses, other items, or distributions pursuant to any provision of this Agreement.</w:t>
      </w:r>
    </w:p>
    <w:p>
      <w:pPr>
        <w:sectPr>
          <w:pgSz w:w="11900" w:h="16838" w:orient="portrait"/>
          <w:cols w:equalWidth="0" w:num="1">
            <w:col w:w="11400"/>
          </w:cols>
          <w:pgMar w:left="240" w:top="125" w:right="259" w:bottom="0" w:gutter="0" w:footer="0" w:header="0"/>
        </w:sectPr>
      </w:pPr>
    </w:p>
    <w:bookmarkStart w:id="98" w:name="page99"/>
    <w:bookmarkEnd w:id="98"/>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Change in Partnership Interest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the event that the Partners’ interests in the Partnership change during a Taxable Year, allocations shall be made taking into account the Partners’ varying interests for such Taxable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Year, determined on a daily, monthly or other basis as determined by the General Partner, using any permissible method under Code Section 706 and the Regulations thereunder.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Withholding</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 distributions to which such Partner would otherwise be subsequently entitled. The withholdings referred to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be made at the maximum applicable statutory rate under applicable tax law unless the General Partner shall have received an opinion of counsel or other evidence, satisfactory to the General Partner, to the effect that a lower rate is applicable, or that no withholding is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Duties and Powers of the General Partner</w:t>
      </w:r>
    </w:p>
    <w:p>
      <w:pPr>
        <w:spacing w:after="0" w:line="225" w:lineRule="exact"/>
        <w:rPr>
          <w:sz w:val="20"/>
          <w:szCs w:val="20"/>
          <w:color w:val="auto"/>
        </w:rPr>
      </w:pPr>
    </w:p>
    <w:p>
      <w:pPr>
        <w:ind w:right="140" w:firstLine="656"/>
        <w:spacing w:after="0" w:line="272" w:lineRule="auto"/>
        <w:tabs>
          <w:tab w:leader="none" w:pos="129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business and affairs of the Partnership shall be managed by the General Partner. Except for situations in which the approval of the Limited Partners is expressly required 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spacing w:after="0" w:line="177" w:lineRule="exact"/>
        <w:rPr>
          <w:rFonts w:ascii="Arial" w:cs="Arial" w:eastAsia="Arial" w:hAnsi="Arial"/>
          <w:sz w:val="17"/>
          <w:szCs w:val="17"/>
          <w:color w:val="auto"/>
        </w:rPr>
      </w:pPr>
    </w:p>
    <w:p>
      <w:pPr>
        <w:ind w:right="40" w:firstLine="656"/>
        <w:spacing w:after="0" w:line="279" w:lineRule="auto"/>
        <w:tabs>
          <w:tab w:leader="none" w:pos="130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Without limiting the foregoing, each Limited Partner hereby irrevocably appoints the General Partner as its proxy and attorney-in-fact (with full power of substitution and resubstitution) to vote or act by written consent with respect to its Partnership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as a Limited Partner as determined by the General Partner on all matters requiring the vote, approval or consent of the Limited Partners. The Partners acknowledge that such proxy is coupled with an interest and is irrevocable.</w:t>
      </w:r>
    </w:p>
    <w:p>
      <w:pPr>
        <w:spacing w:after="0" w:line="170" w:lineRule="exact"/>
        <w:rPr>
          <w:sz w:val="20"/>
          <w:szCs w:val="20"/>
          <w:color w:val="auto"/>
        </w:rPr>
      </w:pPr>
    </w:p>
    <w:p>
      <w:pPr>
        <w:ind w:right="180" w:firstLine="656"/>
        <w:spacing w:after="0" w:line="264" w:lineRule="auto"/>
        <w:tabs>
          <w:tab w:leader="none" w:pos="130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General Partner is the tax matters partner for purposes of Section 6231 of the Code and analogous provisions of state law. The tax matters partner has the exclusive authority and discretion to make any elections required or permitted to be made by the Partnership under any provisions of the Code or any other applicable laws.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Limitation of Liability</w:t>
      </w:r>
    </w:p>
    <w:p>
      <w:pPr>
        <w:spacing w:after="0" w:line="225" w:lineRule="exact"/>
        <w:rPr>
          <w:sz w:val="20"/>
          <w:szCs w:val="20"/>
          <w:color w:val="auto"/>
        </w:rPr>
      </w:pPr>
    </w:p>
    <w:p>
      <w:pPr>
        <w:ind w:firstLine="656"/>
        <w:spacing w:after="0" w:line="286" w:lineRule="auto"/>
        <w:tabs>
          <w:tab w:leader="none" w:pos="129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no Indemnitee shall be liable for monetary damages to the Partnership or the Limited Partners or any other Persons who have acquired interests in Partnership Interests for losses sustained or liabilities incurred as a result of any act or omission of an Indemnitee in connection with the conduct of the business or affairs of the Partnership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Partnership’s debts, obligations, and liabilities, whether arising in contract, tort or otherwise, shall be solely the debts, obligations and liabilities of the Partnership, and no Indemnitee shall be personally responsible for any such debt, obligation or liability of the Partnership solely by reason of being an Indemnitee. No Partner shall be responsible for any debts, obligations or liabilities, whether arising in contract, tort or otherwise, of any other Partner. The provisions of this Agreement, to the extent that they restrict, eliminate or otherwise modify the duties and liabilities, including fiduciary duties, of any Indemnitee otherwise existing at law or in equity, are agreed by the Partners to replace such duties and liabilities of such Indemnitee. To the fullest extent permitted by law, in connection with any action or inaction of, or determination made by, any Indemnitee with respect to any matter relating to the Partnership, it shall be presumed that the Indemnitee acted in a manner that satisfied the contractual standards set forth in this Agreement, and in any proceeding brought by any Partner or by or on behalf of such Partner or any other Partner or the Partnership challenging any such action or inaction of, or determination made by, any Indemnitee, the Person bringing or prosecuting such proceeding shall have the burden of overcoming such presumption.</w:t>
      </w:r>
    </w:p>
    <w:p>
      <w:pPr>
        <w:spacing w:after="0" w:line="171" w:lineRule="exact"/>
        <w:rPr>
          <w:rFonts w:ascii="Arial" w:cs="Arial" w:eastAsia="Arial" w:hAnsi="Arial"/>
          <w:sz w:val="16"/>
          <w:szCs w:val="16"/>
          <w:color w:val="auto"/>
        </w:rPr>
      </w:pPr>
    </w:p>
    <w:p>
      <w:pPr>
        <w:ind w:right="100" w:firstLine="656"/>
        <w:spacing w:after="0" w:line="264" w:lineRule="auto"/>
        <w:tabs>
          <w:tab w:leader="none" w:pos="130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ectPr>
          <w:pgSz w:w="11900" w:h="16838" w:orient="portrait"/>
          <w:cols w:equalWidth="0" w:num="1">
            <w:col w:w="11420"/>
          </w:cols>
          <w:pgMar w:left="240" w:top="125" w:right="239" w:bottom="0" w:gutter="0" w:footer="0" w:header="0"/>
        </w:sectPr>
      </w:pPr>
    </w:p>
    <w:bookmarkStart w:id="99" w:name="page100"/>
    <w:bookmarkEnd w:id="99"/>
    <w:p>
      <w:pPr>
        <w:spacing w:after="0" w:line="36" w:lineRule="exact"/>
        <w:rPr>
          <w:sz w:val="20"/>
          <w:szCs w:val="20"/>
          <w:color w:val="auto"/>
        </w:rPr>
      </w:pPr>
    </w:p>
    <w:p>
      <w:pPr>
        <w:ind w:right="220" w:firstLine="656"/>
        <w:spacing w:after="0" w:line="279" w:lineRule="auto"/>
        <w:tabs>
          <w:tab w:leader="none" w:pos="130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Indemnification</w:t>
      </w:r>
    </w:p>
    <w:p>
      <w:pPr>
        <w:spacing w:after="0" w:line="225" w:lineRule="exact"/>
        <w:rPr>
          <w:sz w:val="20"/>
          <w:szCs w:val="20"/>
          <w:color w:val="auto"/>
        </w:rPr>
      </w:pPr>
    </w:p>
    <w:p>
      <w:pPr>
        <w:ind w:right="100" w:firstLine="656"/>
        <w:spacing w:after="0" w:line="291" w:lineRule="auto"/>
        <w:tabs>
          <w:tab w:leader="none" w:pos="129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Partnership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Partnership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right="40" w:firstLine="656"/>
        <w:spacing w:after="0" w:line="259" w:lineRule="auto"/>
        <w:tabs>
          <w:tab w:leader="none" w:pos="13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shall, from time to time, be advanced by the Partnership prior to the final disposition of such claim, demand, action, suit or proceeding upon receipt by the Partnership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656"/>
        <w:spacing w:after="0" w:line="257" w:lineRule="auto"/>
        <w:tabs>
          <w:tab w:leader="none" w:pos="13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indemnification provided by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The Partnership shall not be required to indemnify any Partner in connection with any losses, claims, demands, actions, disputes, suits or proceedings, of any Partner against any other Partner.</w:t>
      </w:r>
    </w:p>
    <w:p>
      <w:pPr>
        <w:spacing w:after="0" w:line="188"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Partnership may purchase and maintain directors and officers insurance or similar coverage for the directors or officers of the General Partner in such amounts and with such deductibles or self-insured retentions as determined by the Board.</w:t>
      </w:r>
    </w:p>
    <w:p>
      <w:pPr>
        <w:spacing w:after="0" w:line="170"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Partnership, and the Partners shall not be subject to personal liability by reason of the indemnification provisions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0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Arial" w:cs="Arial" w:eastAsia="Arial" w:hAnsi="Arial"/>
          <w:sz w:val="17"/>
          <w:szCs w:val="17"/>
          <w:color w:val="auto"/>
        </w:rPr>
      </w:pPr>
    </w:p>
    <w:p>
      <w:pPr>
        <w:ind w:right="420" w:firstLine="656"/>
        <w:spacing w:after="0" w:line="308" w:lineRule="auto"/>
        <w:tabs>
          <w:tab w:leader="none" w:pos="131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7" w:lineRule="auto"/>
        <w:tabs>
          <w:tab w:leader="none" w:pos="13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Partnership or any Affiliate of the Partnership, nor the obligations of the Partnership or such Affiliate to indemnify any such Indemnitee under and in accordance with the provisions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Rights of Limited Partners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have any liability for the repayment or discharge of the debts and obligations of the Partnership except to the extent provided herein or as required by law. The Limited Partners in their capacities as such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color w:val="auto"/>
        </w:rPr>
        <w:t>Class B Partners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expressly provided in this Agreement, the Class B Partners, in their capacities as such, shall have no voting rights or rights to participate in the management of the Partnership.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TRANSFERS OF PARTNERSHIP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Transfer of Limited Partnership Interests</w:t>
      </w:r>
    </w:p>
    <w:p>
      <w:pPr>
        <w:spacing w:after="0" w:line="225"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 Limited Partner may Transfer all or any part of such Partner’s Partnership Interest or Partnership Group Interest to any Person except:</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to a Permitted Transferee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100" w:name="page101"/>
    <w:bookmarkEnd w:id="100"/>
    <w:p>
      <w:pPr>
        <w:spacing w:after="0" w:line="90" w:lineRule="exact"/>
        <w:rPr>
          <w:sz w:val="20"/>
          <w:szCs w:val="20"/>
          <w:color w:val="auto"/>
        </w:rPr>
      </w:pPr>
    </w:p>
    <w:p>
      <w:pPr>
        <w:ind w:left="2000" w:hanging="695"/>
        <w:spacing w:after="0"/>
        <w:tabs>
          <w:tab w:leader="none" w:pos="20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7.10</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any such Transfer under (i)-(v) above shall comply with the terms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7.1(b)</w:t>
      </w:r>
      <w:r>
        <w:rPr>
          <w:rFonts w:ascii="Arial" w:cs="Arial" w:eastAsia="Arial" w:hAnsi="Arial"/>
          <w:sz w:val="18"/>
          <w:szCs w:val="18"/>
          <w:color w:val="auto"/>
        </w:rPr>
        <w:t>. Any purported Transfer of all or any portion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Interest or Partnership Group Interest in violation of the terms of this Agreement shall be null and void and of no force and effect. Except upon a Transfer of all of a Limited Partner’s Partnership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no Limited Partner shall have the right to withdraw as a Partner of the Partnership.</w:t>
      </w:r>
    </w:p>
    <w:p>
      <w:pPr>
        <w:spacing w:after="0" w:line="225" w:lineRule="exact"/>
        <w:rPr>
          <w:sz w:val="20"/>
          <w:szCs w:val="20"/>
          <w:color w:val="auto"/>
        </w:rPr>
      </w:pPr>
    </w:p>
    <w:p>
      <w:pPr>
        <w:ind w:right="40" w:firstLine="656"/>
        <w:spacing w:after="0" w:line="270" w:lineRule="auto"/>
        <w:tabs>
          <w:tab w:leader="none" w:pos="130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As a condition to a Transfer by a Class A Partner (other than PAGP or the General Partner) of any Class A Units to a transferee as permitted under </w:t>
      </w:r>
      <w:r>
        <w:rPr>
          <w:rFonts w:ascii="Arial" w:cs="Arial" w:eastAsia="Arial" w:hAnsi="Arial"/>
          <w:sz w:val="17"/>
          <w:szCs w:val="17"/>
          <w:u w:val="single" w:color="auto"/>
          <w:color w:val="auto"/>
        </w:rPr>
        <w:t>Section 7.1(a)(i)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Partnership Transfer</w:t>
      </w:r>
      <w:r>
        <w:rPr>
          <w:rFonts w:ascii="Arial" w:cs="Arial" w:eastAsia="Arial" w:hAnsi="Arial"/>
          <w:sz w:val="17"/>
          <w:szCs w:val="17"/>
          <w:color w:val="auto"/>
        </w:rPr>
        <w:t>”), such Class A Partner shall simultaneously Transfer to such transferee the same number of PAGP Class B Shares and the same number of Holdings GP Units (each group of one Class A Unit, one PAGP Class B Share and one Holdings GP Unit collectively being referred to herein as a “</w:t>
      </w:r>
      <w:r>
        <w:rPr>
          <w:rFonts w:ascii="Arial" w:cs="Arial" w:eastAsia="Arial" w:hAnsi="Arial"/>
          <w:sz w:val="17"/>
          <w:szCs w:val="17"/>
          <w:b w:val="1"/>
          <w:bCs w:val="1"/>
          <w:i w:val="1"/>
          <w:iCs w:val="1"/>
          <w:color w:val="auto"/>
        </w:rPr>
        <w:t>Partnership Group Interest</w:t>
      </w:r>
      <w:r>
        <w:rPr>
          <w:rFonts w:ascii="Arial" w:cs="Arial" w:eastAsia="Arial" w:hAnsi="Arial"/>
          <w:sz w:val="17"/>
          <w:szCs w:val="17"/>
          <w:color w:val="auto"/>
        </w:rPr>
        <w:t xml:space="preserve">”). For the avoidance of doubt, it is intended that the Class A Units (other than those held by PAGP or the General Partner) may only be Transferred together with the same number of PAGP Class B Shares and the same number of Holdings GP Units (subject to the last sentence of this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that if for any reason the Transfer of such PAGP Class B Shares and Holdings GP Units does not occur simultaneously with the Partnership Transfer, then the Partnership Transfer shall be null and void and of no force and effect. Notwithstanding any other provision of this Agreement, (x) Converted Class A Units may be Transferred without a simultaneous Transfer of Holdings GP Units and (y) Class A Units shall be Transferred to the Partnership pursuant to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only with the simultaneous cancellation of the corresponding PAGP Class B Shares and Transfer by such Member to PAGP of the corresponding Holdings GP Units.</w:t>
      </w:r>
    </w:p>
    <w:p>
      <w:pPr>
        <w:spacing w:after="0" w:line="177" w:lineRule="exact"/>
        <w:rPr>
          <w:rFonts w:ascii="Arial" w:cs="Arial" w:eastAsia="Arial" w:hAnsi="Arial"/>
          <w:sz w:val="17"/>
          <w:szCs w:val="17"/>
          <w:color w:val="auto"/>
        </w:rPr>
      </w:pPr>
    </w:p>
    <w:p>
      <w:pPr>
        <w:ind w:right="440" w:firstLine="656"/>
        <w:spacing w:after="0" w:line="277" w:lineRule="auto"/>
        <w:tabs>
          <w:tab w:leader="none" w:pos="130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Limited Partner may pledge, mortgage or otherwise subject its Partnership Group Interests or Class B Units to any voluntary Encumbrance.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Permitted Transferees</w:t>
      </w:r>
    </w:p>
    <w:p>
      <w:pPr>
        <w:spacing w:after="0" w:line="225" w:lineRule="exact"/>
        <w:rPr>
          <w:sz w:val="20"/>
          <w:szCs w:val="20"/>
          <w:color w:val="auto"/>
        </w:rPr>
      </w:pPr>
    </w:p>
    <w:p>
      <w:pPr>
        <w:ind w:firstLine="656"/>
        <w:spacing w:after="0" w:line="286" w:lineRule="auto"/>
        <w:tabs>
          <w:tab w:leader="none" w:pos="129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each Limited Partner shall, subject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have the right to Transfer (but not to substitute the transferee as a substitute Partner in such Partner’s place, except in accordance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by a written instrument, all or any part of a Limited Partner’s Partnership Group Interest or Class B Units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Arial" w:cs="Arial" w:eastAsia="Arial" w:hAnsi="Arial"/>
          <w:sz w:val="16"/>
          <w:szCs w:val="16"/>
          <w:b w:val="1"/>
          <w:bCs w:val="1"/>
          <w:i w:val="1"/>
          <w:iCs w:val="1"/>
          <w:color w:val="auto"/>
        </w:rPr>
        <w:t>Non-Qualifying Transferee</w:t>
      </w:r>
      <w:r>
        <w:rPr>
          <w:rFonts w:ascii="Arial" w:cs="Arial" w:eastAsia="Arial" w:hAnsi="Arial"/>
          <w:sz w:val="16"/>
          <w:szCs w:val="16"/>
          <w:color w:val="auto"/>
        </w:rPr>
        <w:t xml:space="preserve">”), such Transfer shall be deemed to not be a Permitted Transfer and shall be subject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with respect to such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purchase price for such Transfer for purposes of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shall be the Agreed Value of the Partnership Group Interests subject to the Transfer as of the close of business on the date the transferee ceased to be an Affiliate of such transferring Limited Partner or such Transfer or such Permitted Transferee ceases to qualify under clause (a) of the definition herein of “Permitted Transfer” (such date, the “</w:t>
      </w:r>
      <w:r>
        <w:rPr>
          <w:rFonts w:ascii="Arial" w:cs="Arial" w:eastAsia="Arial" w:hAnsi="Arial"/>
          <w:sz w:val="16"/>
          <w:szCs w:val="16"/>
          <w:b w:val="1"/>
          <w:bCs w:val="1"/>
          <w:i w:val="1"/>
          <w:iCs w:val="1"/>
          <w:color w:val="auto"/>
        </w:rPr>
        <w:t>Non-Qualifying Date”</w:t>
      </w:r>
      <w:r>
        <w:rPr>
          <w:rFonts w:ascii="Arial" w:cs="Arial" w:eastAsia="Arial" w:hAnsi="Arial"/>
          <w:sz w:val="16"/>
          <w:szCs w:val="16"/>
          <w:color w:val="auto"/>
        </w:rPr>
        <w:t>). In the event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the Non-Qualifying Date is not a Business Day, the Non-Qualifying Date shall be deemed to have occurred on the first Business Day following such original Non-Qualifying Date. If such transferring Limited Partner fails to comply with all the terms of </w:t>
      </w:r>
      <w:r>
        <w:rPr>
          <w:rFonts w:ascii="Arial" w:cs="Arial" w:eastAsia="Arial" w:hAnsi="Arial"/>
          <w:sz w:val="17"/>
          <w:szCs w:val="17"/>
          <w:u w:val="single" w:color="auto"/>
          <w:color w:val="auto"/>
        </w:rPr>
        <w:t>Section 7.8</w:t>
      </w:r>
      <w:r>
        <w:rPr>
          <w:rFonts w:ascii="Arial" w:cs="Arial" w:eastAsia="Arial" w:hAnsi="Arial"/>
          <w:sz w:val="17"/>
          <w:szCs w:val="17"/>
          <w:color w:val="auto"/>
        </w:rPr>
        <w:t>, such Transfer shall be null and void and of no force and effect. No Non-Qualifying Transferee shall be entitled to receive any distributions from the Partnership with respect to any period on or after the Non-Qualifying Date and any distributions made in respect of the Partnership Interests with respect to any period on or after the Non-Qualifying Date and held by such Non-Qualifying Transferee shall be paid to the Limited Partner who attempted to transfer such Partnership Group Interests or otherwise to the rightful owner thereof as reasonably determined by the General Partner.</w:t>
      </w:r>
    </w:p>
    <w:p>
      <w:pPr>
        <w:spacing w:after="0" w:line="178" w:lineRule="exact"/>
        <w:rPr>
          <w:sz w:val="20"/>
          <w:szCs w:val="20"/>
          <w:color w:val="auto"/>
        </w:rPr>
      </w:pPr>
    </w:p>
    <w:p>
      <w:pPr>
        <w:ind w:right="20" w:firstLine="656"/>
        <w:spacing w:after="0" w:line="271" w:lineRule="auto"/>
        <w:tabs>
          <w:tab w:leader="none" w:pos="130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Limited Partner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 transferee of a Limited Partner’s Partnership Group Interests or Class B Units, in whole or in part, shall be an assignee with respect to the Transferred Partnership Interest comprising the Transferred part of such Partnership Group Interests or Class B Units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 of the Partnership Interests Transferred to such transferee, the share of distributions and profits to which the transferor would otherwise be entitled with respect to the Transferred Partnership Interest. Subject to the provisions of </w:t>
      </w:r>
      <w:r>
        <w:rPr>
          <w:rFonts w:ascii="Arial" w:cs="Arial" w:eastAsia="Arial" w:hAnsi="Arial"/>
          <w:sz w:val="17"/>
          <w:szCs w:val="17"/>
          <w:u w:val="single" w:color="auto"/>
          <w:color w:val="auto"/>
        </w:rPr>
        <w:t>Section 6.1(b)</w:t>
      </w:r>
      <w:r>
        <w:rPr>
          <w:rFonts w:ascii="Arial" w:cs="Arial" w:eastAsia="Arial" w:hAnsi="Arial"/>
          <w:sz w:val="17"/>
          <w:szCs w:val="17"/>
          <w:color w:val="auto"/>
        </w:rPr>
        <w:t>, the transferor shall have the right to vote such Transferred Partnership Interest until the transferee is admitted to the Partnership as a substitute Limited Partner with respect to the Transferred Partnership Interest.</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Substitute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transferee of all or part of a Limited Partner’s Partnership Interest shall become a substitute Limited Partner in place of the transferor unless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until:</w:t>
      </w:r>
    </w:p>
    <w:p>
      <w:pPr>
        <w:spacing w:after="0" w:line="211" w:lineRule="exact"/>
        <w:rPr>
          <w:sz w:val="20"/>
          <w:szCs w:val="20"/>
          <w:color w:val="auto"/>
        </w:rPr>
      </w:pPr>
    </w:p>
    <w:p>
      <w:pPr>
        <w:ind w:left="1300" w:hanging="64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General Partner accepting and adopting, and agreeing to be bound by, the terms and provisions of the Certificate and this Agreement; and</w:t>
      </w:r>
    </w:p>
    <w:p>
      <w:pPr>
        <w:sectPr>
          <w:pgSz w:w="11900" w:h="16929" w:orient="portrait"/>
          <w:cols w:equalWidth="0" w:num="1">
            <w:col w:w="11420"/>
          </w:cols>
          <w:pgMar w:left="240" w:top="341" w:right="239" w:bottom="0" w:gutter="0" w:footer="0" w:header="0"/>
        </w:sectPr>
      </w:pPr>
    </w:p>
    <w:bookmarkStart w:id="101" w:name="page102"/>
    <w:bookmarkEnd w:id="101"/>
    <w:p>
      <w:pPr>
        <w:ind w:right="540" w:firstLine="656"/>
        <w:spacing w:after="0" w:line="277" w:lineRule="auto"/>
        <w:tabs>
          <w:tab w:leader="none" w:pos="130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Partnership in connection with the admission of the transferee as a substitute Limited Partner.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 Notwithstanding the foregoing, the admission of the General Partner as a Limited Partner in connection with the transactions contemplated by the Simplification Agreement is hereby confirmed.</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Effect of Admission as a Substitute Limited Partner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transferee who has become a substitute Limited Partner has, to the extent of the Transferred Partnership Interest, all the rights, powers and benefits of, and is subject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 to the extent of such Transferred Partnership Interest. In connection with any Exchange or exercise of the Call Right with respect to Class A Units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PAGP shall upon completion of such transaction automatically be admitted as a substitute Limited Partner with respect to the Class A Units that are the subject of such transaction.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color w:val="auto"/>
        </w:rPr>
        <w:t>Consent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Each Partner hereby agrees that upon satisfaction of the terms and conditions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any proposed Transfer, the transferee may be admitted as a Partner without any further action by a Partner 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No Dissolution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If a Limited Partner Transfers all of its Partnership Interest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the transferee of such Partnership Interest is admitted as a Limited Partner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such Person shall be admitted to the Partnership as a Partner effective on the effective date of the Transfer and the Partnership shall not dissolve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Additional Limited Partners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any Person acceptable to the General Partner may become an additional Limited Partner of the Partnership for such consideration as the General Partner shall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Limited Partner complies with all the requirements of a transferee under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Right of First Refusal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 A Partners shall have the following right of first refusal:</w:t>
      </w:r>
    </w:p>
    <w:p>
      <w:pPr>
        <w:spacing w:after="0" w:line="225" w:lineRule="exact"/>
        <w:rPr>
          <w:sz w:val="20"/>
          <w:szCs w:val="20"/>
          <w:color w:val="auto"/>
        </w:rPr>
      </w:pPr>
    </w:p>
    <w:p>
      <w:pPr>
        <w:ind w:right="240" w:firstLine="656"/>
        <w:spacing w:after="0" w:line="255" w:lineRule="auto"/>
        <w:tabs>
          <w:tab w:leader="none" w:pos="129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at any time any of the Class A Partners (a “</w:t>
      </w:r>
      <w:r>
        <w:rPr>
          <w:rFonts w:ascii="Arial" w:cs="Arial" w:eastAsia="Arial" w:hAnsi="Arial"/>
          <w:sz w:val="18"/>
          <w:szCs w:val="18"/>
          <w:b w:val="1"/>
          <w:bCs w:val="1"/>
          <w:i w:val="1"/>
          <w:iCs w:val="1"/>
          <w:color w:val="auto"/>
        </w:rPr>
        <w:t>Selling Partner</w:t>
      </w:r>
      <w:r>
        <w:rPr>
          <w:rFonts w:ascii="Arial" w:cs="Arial" w:eastAsia="Arial" w:hAnsi="Arial"/>
          <w:sz w:val="18"/>
          <w:szCs w:val="18"/>
          <w:color w:val="auto"/>
        </w:rPr>
        <w:t>”) has received and wishes to accept a bona fide offer (the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for cash from a third party (the “</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for all or part of such Selling Partner’s Partnership Group Interests, such Selling Partner shall give Notice thereof (the “</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to each of the other Partners, other than any Non-Purchasing Partners and any Class B Partners, and the Partnership. The First Refusal Notice shall state the number of Partnership Group Interests that the Selling Partner wishes to sell (the “</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the price and all other material terms of the Offer, the name of the Offeror, and certification from the Selling Partner affirming that the Offer is bona fide and that the description thereof is true and correct, and that the Offeror has stated that it will purchase the Optioned Interest if the rights of first refusal herein described are not exercised.</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Each Class A Partner (and, in the case of PAGP, PAGP or its designee) other than the Selling Partner and any Non-Purchasing Partner (each, a “</w:t>
      </w:r>
      <w:r>
        <w:rPr>
          <w:rFonts w:ascii="Arial" w:cs="Arial" w:eastAsia="Arial" w:hAnsi="Arial"/>
          <w:sz w:val="18"/>
          <w:szCs w:val="18"/>
          <w:b w:val="1"/>
          <w:bCs w:val="1"/>
          <w:i w:val="1"/>
          <w:iCs w:val="1"/>
          <w:color w:val="auto"/>
        </w:rPr>
        <w:t>Non-Selling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Partner</w:t>
      </w:r>
      <w:r>
        <w:rPr>
          <w:rFonts w:ascii="Arial" w:cs="Arial" w:eastAsia="Arial" w:hAnsi="Arial"/>
          <w:sz w:val="18"/>
          <w:szCs w:val="18"/>
          <w:color w:val="auto"/>
        </w:rPr>
        <w:t>”) shall have the right exercisable by Notice (an “</w:t>
      </w:r>
      <w:r>
        <w:rPr>
          <w:rFonts w:ascii="Arial" w:cs="Arial" w:eastAsia="Arial" w:hAnsi="Arial"/>
          <w:sz w:val="18"/>
          <w:szCs w:val="18"/>
          <w:b w:val="1"/>
          <w:bCs w:val="1"/>
          <w:i w:val="1"/>
          <w:iCs w:val="1"/>
          <w:color w:val="auto"/>
        </w:rPr>
        <w:t>Acceptance Notice</w:t>
      </w:r>
      <w:r>
        <w:rPr>
          <w:rFonts w:ascii="Arial" w:cs="Arial" w:eastAsia="Arial" w:hAnsi="Arial"/>
          <w:sz w:val="18"/>
          <w:szCs w:val="18"/>
          <w:color w:val="auto"/>
        </w:rPr>
        <w:t>”) given to the Selling Partner and the Partnership within 20 days after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First Refusal Notice, to agree that it will purchase up to 100% of the Optioned Interest on the terms set forth in the First Refusal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Non-Selling Partners in the aggregate desire to purchase more than 100% of the Optioned Interest, each such Non-Selling Partner’s right to purchase the Optioned Interest shall be reduced (pro rata based on the percentage of the Optioned Interest for which such Non-Selling Partner has exercised its right to purchase hereunder compared to all other Non-Selling Partners, but not below such Non-Selling Partner’s pro rata share (based on the number of Class A Units held by such Non-Selling Partner and the aggregate number of Class A Units held by all Non-Selling Partners who have exercised their right to purchase) so that such Non-Selling Partners purchase no more than 100% of the Optioned Interest. In the event that (i) PAGP exercises its right to designate its right of first refusal to a designee and (ii) the price indicated in the Offer is less than the Agreed Value (determined pursuant to clause (i) of such definition) of the Partnership Group Interest as of the date of the Offer, then in connection with such designee’s delivery of any Acceptance Notice hereunder, PAGP’s designee must agree with respect to the portion of the Partnership Group Interest that it is entitled to purchase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(excluding any such portion related to any oversubscription by such designee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to pay such Agreed Value (determined pursuant to clause (i) of such definition) of such Partnership Group Interest as of the date of the Offer. For the avoidance of doubt, any other Class A Partner (including PAGP) exercising its right of first refusal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not be required to pay a higher price than the price included in the Offer. If a Non-Selling Partner does not submit an Acceptance Notice within the 20-day period set forth in this </w:t>
      </w:r>
      <w:r>
        <w:rPr>
          <w:rFonts w:ascii="Arial" w:cs="Arial" w:eastAsia="Arial" w:hAnsi="Arial"/>
          <w:sz w:val="17"/>
          <w:szCs w:val="17"/>
          <w:u w:val="single" w:color="auto"/>
          <w:color w:val="auto"/>
        </w:rPr>
        <w:t>Section 7.8(b)</w:t>
      </w:r>
      <w:r>
        <w:rPr>
          <w:rFonts w:ascii="Arial" w:cs="Arial" w:eastAsia="Arial" w:hAnsi="Arial"/>
          <w:sz w:val="17"/>
          <w:szCs w:val="17"/>
          <w:color w:val="auto"/>
        </w:rPr>
        <w:t>, such Non-Selling Partner shall be deemed to have rejected the offer to purchase any portion of the Optioned Interest.</w:t>
      </w:r>
    </w:p>
    <w:p>
      <w:pPr>
        <w:sectPr>
          <w:pgSz w:w="11900" w:h="16838" w:orient="portrait"/>
          <w:cols w:equalWidth="0" w:num="1">
            <w:col w:w="11420"/>
          </w:cols>
          <w:pgMar w:left="240" w:top="341" w:right="239" w:bottom="0" w:gutter="0" w:footer="0" w:header="0"/>
        </w:sectPr>
      </w:pPr>
    </w:p>
    <w:bookmarkStart w:id="102" w:name="page103"/>
    <w:bookmarkEnd w:id="102"/>
    <w:p>
      <w:pPr>
        <w:spacing w:after="0" w:line="88" w:lineRule="exact"/>
        <w:rPr>
          <w:sz w:val="20"/>
          <w:szCs w:val="20"/>
          <w:color w:val="auto"/>
        </w:rPr>
      </w:pPr>
    </w:p>
    <w:p>
      <w:pPr>
        <w:jc w:val="both"/>
        <w:ind w:right="20" w:firstLine="656"/>
        <w:spacing w:after="0" w:line="302" w:lineRule="auto"/>
        <w:tabs>
          <w:tab w:leader="none" w:pos="130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If the Non-Selling Partners do not in the aggregate exercise the right to purchase all of the Optioned Interest by the expiration of the 20-day period set forth in </w:t>
      </w:r>
      <w:r>
        <w:rPr>
          <w:rFonts w:ascii="Arial" w:cs="Arial" w:eastAsia="Arial" w:hAnsi="Arial"/>
          <w:sz w:val="16"/>
          <w:szCs w:val="16"/>
          <w:u w:val="single" w:color="auto"/>
          <w:color w:val="auto"/>
        </w:rPr>
        <w:t>Section 7.8(b)</w:t>
      </w:r>
      <w:r>
        <w:rPr>
          <w:rFonts w:ascii="Arial" w:cs="Arial" w:eastAsia="Arial" w:hAnsi="Arial"/>
          <w:sz w:val="16"/>
          <w:szCs w:val="16"/>
          <w:color w:val="auto"/>
        </w:rPr>
        <w:t>, then any Acceptance Notice shall be void and of no effect, and the Selling Partner shall be entitled to complete the proposed sale at any time in the 30-day period commencing on the date of the First Refusal Notice, but only upon the terms set forth in the First Refusal Notice. If no such sale is completed in such 30-day period, the provisions hereof shall apply again to any proposed sale of the Optioned Interest.</w:t>
      </w:r>
    </w:p>
    <w:p>
      <w:pPr>
        <w:spacing w:after="0" w:line="154" w:lineRule="exact"/>
        <w:rPr>
          <w:rFonts w:ascii="Arial" w:cs="Arial" w:eastAsia="Arial" w:hAnsi="Arial"/>
          <w:sz w:val="16"/>
          <w:szCs w:val="16"/>
          <w:color w:val="auto"/>
        </w:rPr>
      </w:pPr>
    </w:p>
    <w:p>
      <w:pPr>
        <w:ind w:right="160" w:firstLine="656"/>
        <w:spacing w:after="0" w:line="257" w:lineRule="auto"/>
        <w:tabs>
          <w:tab w:leader="none" w:pos="130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any Non-Selling Partner exercises the right to purchase the Optioned Interest as provided herein and such Non-Selling Partner(s) have elected to purchase all of the Optioned Interest, the purchase of such Optioned Interest shall be completed within the 30-day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 (y) such Non-Selling Partner shall be deemed a “</w:t>
      </w:r>
      <w:r>
        <w:rPr>
          <w:rFonts w:ascii="Arial" w:cs="Arial" w:eastAsia="Arial" w:hAnsi="Arial"/>
          <w:sz w:val="18"/>
          <w:szCs w:val="18"/>
          <w:b w:val="1"/>
          <w:bCs w:val="1"/>
          <w:i w:val="1"/>
          <w:iCs w:val="1"/>
          <w:color w:val="auto"/>
        </w:rPr>
        <w:t>Non-Purchasing Partner</w:t>
      </w:r>
      <w:r>
        <w:rPr>
          <w:rFonts w:ascii="Arial" w:cs="Arial" w:eastAsia="Arial" w:hAnsi="Arial"/>
          <w:sz w:val="18"/>
          <w:szCs w:val="18"/>
          <w:color w:val="auto"/>
        </w:rPr>
        <w:t>” for the duration of this Agreement.</w:t>
      </w:r>
    </w:p>
    <w:p>
      <w:pPr>
        <w:spacing w:after="0" w:line="188"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no Class B Partner in its capacity as such shall have any right or obligation to Transfer any Class B Units or any right to purchase any Class A Units pursuant to this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656"/>
        <w:spacing w:after="0" w:line="277" w:lineRule="auto"/>
        <w:tabs>
          <w:tab w:leader="none" w:pos="130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For the avoidance of doubt, the right of first refusal shall not apply to a Transfer in connection with an Exchange, Redemption or exercise of the Call Right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Exchange of Class A Units</w:t>
      </w:r>
    </w:p>
    <w:p>
      <w:pPr>
        <w:spacing w:after="0" w:line="225" w:lineRule="exact"/>
        <w:rPr>
          <w:sz w:val="20"/>
          <w:szCs w:val="20"/>
          <w:color w:val="auto"/>
        </w:rPr>
      </w:pPr>
    </w:p>
    <w:p>
      <w:pPr>
        <w:ind w:firstLine="656"/>
        <w:spacing w:after="0" w:line="286" w:lineRule="auto"/>
        <w:tabs>
          <w:tab w:leader="none" w:pos="129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 Subject to adjustment as provided in </w:t>
      </w:r>
      <w:r>
        <w:rPr>
          <w:rFonts w:ascii="Arial" w:cs="Arial" w:eastAsia="Arial" w:hAnsi="Arial"/>
          <w:sz w:val="16"/>
          <w:szCs w:val="16"/>
          <w:u w:val="single" w:color="auto"/>
          <w:color w:val="auto"/>
        </w:rPr>
        <w:t>Section 7.9(d)</w:t>
      </w:r>
      <w:r>
        <w:rPr>
          <w:rFonts w:ascii="Arial" w:cs="Arial" w:eastAsia="Arial" w:hAnsi="Arial"/>
          <w:sz w:val="16"/>
          <w:szCs w:val="16"/>
          <w:color w:val="auto"/>
        </w:rPr>
        <w:t xml:space="preserve"> and subject to PAGP’s rights described in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each of the Class A Partners other than PAGP or the General Partner shall be entitled to exchange with the Partnership, at any time and from time to time, any or all of such Partner’s Class A Units (together with the same number of PAGP Class B Shares and, unless the last sentence of this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applies, the same number of Holdings GP Units) for an equivalent number of PAGP Class A Shares (an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or, at the Partnership’s election made in accordance with</w:t>
      </w:r>
    </w:p>
    <w:p>
      <w:pPr>
        <w:spacing w:after="0" w:line="1"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Section 7.9(a)(ii)</w:t>
      </w:r>
      <w:r>
        <w:rPr>
          <w:rFonts w:ascii="Arial" w:cs="Arial" w:eastAsia="Arial" w:hAnsi="Arial"/>
          <w:sz w:val="16"/>
          <w:szCs w:val="16"/>
          <w:color w:val="auto"/>
        </w:rPr>
        <w:t xml:space="preserve">, cash equal to the Cash Election Amount calculated with respect to such Exchange. To the extent the consideration for an Exchange is provided by PAGP, such Exchange shall be treated for U.S. federal income tax purposes as a sale of the Exchanging Partner’s Class A Units (together with the same number of PAGP Class B Shares and, unless the last sentence of this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applies, the same number of Holdings GP Units) to PAGP in exchange for PAGP Class A Shares or cash, as applicable. For the avoidance of doubt, any Partner owning Converted Class A Units pursuant to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shall be entitled to make an Exchange with respect to such Converted Class A Units without surrendering Holdings GP Units to the Partnership.</w:t>
      </w:r>
    </w:p>
    <w:p>
      <w:pPr>
        <w:spacing w:after="0" w:line="162" w:lineRule="exact"/>
        <w:rPr>
          <w:rFonts w:ascii="Arial" w:cs="Arial" w:eastAsia="Arial" w:hAnsi="Arial"/>
          <w:sz w:val="16"/>
          <w:szCs w:val="16"/>
          <w:color w:val="auto"/>
        </w:rPr>
      </w:pPr>
    </w:p>
    <w:p>
      <w:pPr>
        <w:ind w:right="20" w:firstLine="1305"/>
        <w:spacing w:after="0" w:line="255" w:lineRule="auto"/>
        <w:tabs>
          <w:tab w:leader="none" w:pos="1561" w:val="left"/>
        </w:tabs>
        <w:numPr>
          <w:ilvl w:val="1"/>
          <w:numId w:val="256"/>
        </w:numPr>
        <w:rPr>
          <w:rFonts w:ascii="Arial" w:cs="Arial" w:eastAsia="Arial" w:hAnsi="Arial"/>
          <w:sz w:val="18"/>
          <w:szCs w:val="18"/>
          <w:color w:val="auto"/>
        </w:rPr>
      </w:pPr>
      <w:r>
        <w:rPr>
          <w:rFonts w:ascii="Arial" w:cs="Arial" w:eastAsia="Arial" w:hAnsi="Arial"/>
          <w:sz w:val="18"/>
          <w:szCs w:val="18"/>
          <w:color w:val="auto"/>
        </w:rPr>
        <w:t>Upon receipt of an Exchange Notice, the Partnership shall be entitled to elect (a “</w:t>
      </w:r>
      <w:r>
        <w:rPr>
          <w:rFonts w:ascii="Arial" w:cs="Arial" w:eastAsia="Arial" w:hAnsi="Arial"/>
          <w:sz w:val="18"/>
          <w:szCs w:val="18"/>
          <w:b w:val="1"/>
          <w:bCs w:val="1"/>
          <w:i w:val="1"/>
          <w:iCs w:val="1"/>
          <w:color w:val="auto"/>
        </w:rPr>
        <w:t>Cash Election</w:t>
      </w:r>
      <w:r>
        <w:rPr>
          <w:rFonts w:ascii="Arial" w:cs="Arial" w:eastAsia="Arial" w:hAnsi="Arial"/>
          <w:sz w:val="18"/>
          <w:szCs w:val="18"/>
          <w:color w:val="auto"/>
        </w:rPr>
        <w:t>”) to settle the Exchange by the delivery to the Exchanging Partner, in lieu of the applicable number of PAGP Class A Shares that would be received in such Exchange, an amount of cash equal to the Cash Election Amount for such Exchange. In order to make a Cash Election with respect to an Exchange, the Partnership must provide written notice of such election to the Exchanging Partner prior to 1:00 pm, Houston time, on the Business Day after the date on which the Exchange Notice shall have been received by the Partnership. If the Partnership fails to provide such written notice prior to such time, it shall not be entitled to make a Cash Election with respect to such Exchange.</w:t>
      </w:r>
    </w:p>
    <w:p>
      <w:pPr>
        <w:spacing w:after="0" w:line="193" w:lineRule="exact"/>
        <w:rPr>
          <w:rFonts w:ascii="Arial" w:cs="Arial" w:eastAsia="Arial" w:hAnsi="Arial"/>
          <w:sz w:val="18"/>
          <w:szCs w:val="18"/>
          <w:color w:val="auto"/>
        </w:rPr>
      </w:pPr>
    </w:p>
    <w:p>
      <w:pPr>
        <w:ind w:right="40" w:firstLine="656"/>
        <w:spacing w:after="0" w:line="290" w:lineRule="auto"/>
        <w:tabs>
          <w:tab w:leader="none" w:pos="130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In order to exercise the exchange right under </w:t>
      </w:r>
      <w:r>
        <w:rPr>
          <w:rFonts w:ascii="Arial" w:cs="Arial" w:eastAsia="Arial" w:hAnsi="Arial"/>
          <w:sz w:val="16"/>
          <w:szCs w:val="16"/>
          <w:u w:val="single" w:color="auto"/>
          <w:color w:val="auto"/>
        </w:rPr>
        <w:t>Section 7.9(a)</w:t>
      </w:r>
      <w:r>
        <w:rPr>
          <w:rFonts w:ascii="Arial" w:cs="Arial" w:eastAsia="Arial" w:hAnsi="Arial"/>
          <w:sz w:val="16"/>
          <w:szCs w:val="16"/>
          <w:color w:val="auto"/>
        </w:rPr>
        <w:t>, the exchanging Class A Partner (the “</w:t>
      </w:r>
      <w:r>
        <w:rPr>
          <w:rFonts w:ascii="Arial" w:cs="Arial" w:eastAsia="Arial" w:hAnsi="Arial"/>
          <w:sz w:val="16"/>
          <w:szCs w:val="16"/>
          <w:b w:val="1"/>
          <w:bCs w:val="1"/>
          <w:i w:val="1"/>
          <w:iCs w:val="1"/>
          <w:color w:val="auto"/>
        </w:rPr>
        <w:t>Exchanging Partner</w:t>
      </w:r>
      <w:r>
        <w:rPr>
          <w:rFonts w:ascii="Arial" w:cs="Arial" w:eastAsia="Arial" w:hAnsi="Arial"/>
          <w:sz w:val="16"/>
          <w:szCs w:val="16"/>
          <w:color w:val="auto"/>
        </w:rPr>
        <w:t>”) shall provide written notice (the “</w:t>
      </w:r>
      <w:r>
        <w:rPr>
          <w:rFonts w:ascii="Arial" w:cs="Arial" w:eastAsia="Arial" w:hAnsi="Arial"/>
          <w:sz w:val="16"/>
          <w:szCs w:val="16"/>
          <w:b w:val="1"/>
          <w:bCs w:val="1"/>
          <w:i w:val="1"/>
          <w:iCs w:val="1"/>
          <w:color w:val="auto"/>
        </w:rPr>
        <w:t>Exchange Notice</w:t>
      </w:r>
      <w:r>
        <w:rPr>
          <w:rFonts w:ascii="Arial" w:cs="Arial" w:eastAsia="Arial" w:hAnsi="Arial"/>
          <w:sz w:val="16"/>
          <w:szCs w:val="16"/>
          <w:color w:val="auto"/>
        </w:rPr>
        <w:t>”) to the Partnership and PAGP, stating that the Exchanging Partner elects to exchange with the Partnership a stated (and equal) number of Class A Units, PAGP Class B Shares and, if applicable, Holdings GP Units represented, if applicable, by a certificate or certificates, to the extent specified in such notice, and if the PAGP Class A Shares to be received are to be issued other than in the name of the Exchanging Partner, specifying the name(s) of the Person(s) in whose name or on whose order the PAGP Class A Shares are to be issued, and shall present and surrender the certificate or certificates representing such Class A Units, PAGP Class B Shares and, if applicable, Holdings GP Units (in each case, if certificated) during normal business hours at the principal executive offices of the Partnership, or if any agent for the registration or transfer of PAGP Class A Shares is then duly appointed and acting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at the office of the Transfer Agent with respect to such PAGP Class A Shares.</w:t>
      </w:r>
    </w:p>
    <w:p>
      <w:pPr>
        <w:spacing w:after="0" w:line="166" w:lineRule="exact"/>
        <w:rPr>
          <w:rFonts w:ascii="Arial" w:cs="Arial" w:eastAsia="Arial" w:hAnsi="Arial"/>
          <w:sz w:val="16"/>
          <w:szCs w:val="16"/>
          <w:color w:val="auto"/>
        </w:rPr>
      </w:pPr>
    </w:p>
    <w:p>
      <w:pPr>
        <w:ind w:right="360" w:firstLine="656"/>
        <w:spacing w:after="0" w:line="259" w:lineRule="auto"/>
        <w:tabs>
          <w:tab w:leader="none" w:pos="130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required by PAGP, any certificate for Class A Units, PAGP Class B Shares and the Holdings GP Units (in each case, if certificated) surrendered for exchange with the Partnership shall be accompanied by instruments of transfer, in form reasonably satisfactory to PAGP and the Transfer Agent, duly executed by the Exchanging Partner or the Exchanging Partner’s duly authorized representative. If the Partnership has not made a valid Cash Election,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then as promptly as practicable after the receipt of the Exchange Notice and the surrender to the Partnership of the certificate or certificates, if any, representing such Class A Units, PAGP Class B Shares and Holdings GP Units (but in any event by the Exchange Date, as defined below), PAGP shall issue and contribute to the Partnership, and the Partnership shall deliver to the Exchanging Partner, or on the Exchanging Partner’s written order, a certificate or certificates, if applicable, for the number of PAGP Class A Shares issuable upon the Exchange, and the Partnership shall deliver such Class A Units, PAGP Class B Shares and Holdings GP Units to PAGP in exchange for no additional consideration. If the Partnership has made a valid Cash Election, then as promptly as practicable after the receipt of the Exchange Notice (but in no event more than 90 days after receipt of the Exchange Notice), upon surrender to the Partnership of the certificate or certificates, if any, representing such Class A Units, PAGP Class B Shares and Holdings GP Units, the Partnership shall deliver to the Exchanging Partner as directed by the Exchanging Partner by wire transfer of immediately available funds the Cash Election Amount payable upon the Exchange, and the Partnership shall deliver such Class A Units, PAGP Class B Shares and Holdings GP Units to PAGP. Each Exchange shall be deemed to have been effected on (i) (x) the Business Day after the date on which the Exchange Notice shall have been received by the Partnership, PAGP or the Transfer Agent, as applicable (subject to receipt by the Partnership, PAGP or the Transfer Agent, as applicable, within three Business Days thereafter of any required instruments of transfer as aforesaid) if the Partnership has not made a valid Cash Election with respect to such Exchange or (y) if the Partnership has made a valid Cash Election with respect to such Exchange, the first Business Day on which the Partnership has available funds to pay the Cash Election Amount (but in no event more than 90 days after receipt of the Exchange Notice), or (ii) such later date specified in or pursuant to the Exchange Notice (such date identified in clause (i) or (ii), as applicable, the “</w:t>
      </w:r>
      <w:r>
        <w:rPr>
          <w:rFonts w:ascii="Arial" w:cs="Arial" w:eastAsia="Arial" w:hAnsi="Arial"/>
          <w:sz w:val="16"/>
          <w:szCs w:val="16"/>
          <w:b w:val="1"/>
          <w:bCs w:val="1"/>
          <w:i w:val="1"/>
          <w:iCs w:val="1"/>
          <w:color w:val="auto"/>
        </w:rPr>
        <w:t>Exchange Date</w:t>
      </w:r>
      <w:r>
        <w:rPr>
          <w:rFonts w:ascii="Arial" w:cs="Arial" w:eastAsia="Arial" w:hAnsi="Arial"/>
          <w:sz w:val="16"/>
          <w:szCs w:val="16"/>
          <w:color w:val="auto"/>
        </w:rPr>
        <w:t>”). If the Partnership has not made a valid Cash Election, and the Person or Persons in whose name or names any certificate or certificates for PAGP Class A Shares (which certificates shall bear any legends as may be required in accordance with applicable Law) shall be issuable upon such Exchange as aforesaid shall be deemed to have become, on the Exchange Date, the holder or holders of record of the shares represented thereby. Notwithstanding anything herein to the contrary, unless the Partnership has made a valid Cash Election, any Exchanging</w:t>
      </w:r>
    </w:p>
    <w:p>
      <w:pPr>
        <w:sectPr>
          <w:pgSz w:w="11900" w:h="16926" w:orient="portrait"/>
          <w:cols w:equalWidth="0" w:num="1">
            <w:col w:w="11420"/>
          </w:cols>
          <w:pgMar w:left="240" w:top="125" w:right="239" w:bottom="0" w:gutter="0" w:footer="0" w:header="0"/>
        </w:sectPr>
      </w:pPr>
    </w:p>
    <w:bookmarkStart w:id="103" w:name="page104"/>
    <w:bookmarkEnd w:id="103"/>
    <w:p>
      <w:pPr>
        <w:ind w:right="20"/>
        <w:spacing w:after="0" w:line="270" w:lineRule="auto"/>
        <w:rPr>
          <w:sz w:val="20"/>
          <w:szCs w:val="20"/>
          <w:color w:val="auto"/>
        </w:rPr>
      </w:pPr>
      <w:r>
        <w:rPr>
          <w:rFonts w:ascii="Arial" w:cs="Arial" w:eastAsia="Arial" w:hAnsi="Arial"/>
          <w:sz w:val="17"/>
          <w:szCs w:val="17"/>
          <w:color w:val="auto"/>
        </w:rPr>
        <w:t>Partner may withdraw or amend an Exchange request, in whole or in part, prior to the effectiveness of the applicable Exchange, at any time prior to 5:00 p.m., New York City time, on the Business Day immediately preceding the Exchange Date (or any such later time as may be required by applicable law) by delivery of a written notice of withdrawal to the Partnership, PAGP or the Transfer Agent, specifying (1) the certificate numbers of the withdrawn Class A Units, PAGP Class B Shares and Holdings GP Units, (2) if any, the number of Class A Units, PAGP Class B Shares and Holdings GP Units as to which the Exchange Notice remains in effect and (3) if the Exchanging Partner so determines, a new Exchange Date or any other new or revised information permitted in an Exchange Notice. An Exchange Notice may specify that the Exchange is to be contingent (including as to timing) upon the consummation of a purchase by another Person (whether in a tender or exchange offer, an underwritten offering or otherwise) of the PAGP Class A Shares into which the Class A Units, PAGP Class B Shares and Holdings GP Units are exchangeable, or contingent (including as to timing) upon the closing of an announced merger, consolidation or other transaction or event in which the PAGP Class A Shares would be exchanged or converted or become exchangeable for or convertible into cash or other securities or property, provided that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foregoing shall not apply to any Exchange with respect to which the Partnership has made a valid Cash Election.</w:t>
      </w:r>
    </w:p>
    <w:p>
      <w:pPr>
        <w:spacing w:after="0" w:line="225" w:lineRule="exact"/>
        <w:rPr>
          <w:sz w:val="20"/>
          <w:szCs w:val="20"/>
          <w:color w:val="auto"/>
        </w:rPr>
      </w:pPr>
    </w:p>
    <w:p>
      <w:pPr>
        <w:ind w:firstLine="656"/>
        <w:spacing w:after="0" w:line="285" w:lineRule="auto"/>
        <w:tabs>
          <w:tab w:leader="none" w:pos="130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If (i) there is any reclassification, reorganization, recapitalization or other similar transaction pursuant to which the PAGP Class A Shares are converted or changed into another security, securities or other property, or (ii) PAGP shall, by dividend or otherwise, distribute to all holders of the PAGP Class A Shares evidences of its indebtedness or assets, including securities (including PAGP Class A Shares and any rights, options or warrants to all holders of the PAGP Class A Shares to subscribe for or to purchase or to otherwise acquire PAGP Class A Shares, or other securities or rights convertible into, exchangeable for or exercisable for PAGP Class A Shares) but excluding any cash dividend or distribution as well as any such distribution of indebtedness or assets received by PAGP from AAP in respect of the Class A Units, then upon any subsequent Exchange, in addition to the PAGP Class A Shares or the Cash Election Amount, as applicable, each Class A Partner shall be entitled to receive the amount of such security, securities or other property that such Class A Partner would have received if such Exchange had occurred immediately prior to the effective date of such reclassification, reorganization, recapitalization, other similar transaction dividend or other distribution,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PAGP Class A Shares are converted or changed into another security, securities or other property, or any dividend or distribution (other than an excluded dividend or distribution, as described above),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continue to be applicable, mutatis mutandis, with respect to such security or other property. This Agreement shall apply to the Class A Units held by the Class A Partners and their Permitted Transferees as of the date hereof, as well as any Class A Units hereafter acquired by a Class A Partner and his or her or its Permitted Transferees.</w:t>
      </w:r>
    </w:p>
    <w:p>
      <w:pPr>
        <w:spacing w:after="0" w:line="177" w:lineRule="exact"/>
        <w:rPr>
          <w:rFonts w:ascii="Arial" w:cs="Arial" w:eastAsia="Arial" w:hAnsi="Arial"/>
          <w:sz w:val="16"/>
          <w:szCs w:val="16"/>
          <w:color w:val="auto"/>
        </w:rPr>
      </w:pPr>
    </w:p>
    <w:p>
      <w:pPr>
        <w:ind w:right="80" w:firstLine="656"/>
        <w:spacing w:after="0" w:line="255" w:lineRule="auto"/>
        <w:tabs>
          <w:tab w:leader="none" w:pos="130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PAGP shall at all times keep available, solely for the purpose of issuance upon an Exchange, such number of PAGP Class A Shares that shall be issuable upon the Exchange of all such outstanding Class A Units (which, for purposes of this </w:t>
      </w:r>
      <w:r>
        <w:rPr>
          <w:rFonts w:ascii="Arial" w:cs="Arial" w:eastAsia="Arial" w:hAnsi="Arial"/>
          <w:sz w:val="18"/>
          <w:szCs w:val="18"/>
          <w:u w:val="single" w:color="auto"/>
          <w:color w:val="auto"/>
        </w:rPr>
        <w:t>Section 7.9(e)</w:t>
      </w:r>
      <w:r>
        <w:rPr>
          <w:rFonts w:ascii="Arial" w:cs="Arial" w:eastAsia="Arial" w:hAnsi="Arial"/>
          <w:sz w:val="18"/>
          <w:szCs w:val="18"/>
          <w:color w:val="auto"/>
        </w:rPr>
        <w:t xml:space="preserve">, shall include the Class A Units into which the outstanding Class B Units may be exchanged in accordance with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hereof). PAGP covenants that all PAGP Class A Shares that shall be issued upon an Exchange shall, upon issuance thereof, be validly issued, fully paid and non-assessable (except as such non-assessability may be affected by Sections 17-303, 17-607 and 17-804 of the Act). In addition, for so long as the PAGP Class A Shares are listed on a National Securities Exchange, PAGP shall use its reasonable best efforts to cause all PAGP Class A Shares issued upon an Exchange to be listed on such National Securities Exchange at the time of such issuance.</w:t>
      </w:r>
    </w:p>
    <w:p>
      <w:pPr>
        <w:spacing w:after="0" w:line="189" w:lineRule="exact"/>
        <w:rPr>
          <w:rFonts w:ascii="Arial" w:cs="Arial" w:eastAsia="Arial" w:hAnsi="Arial"/>
          <w:sz w:val="18"/>
          <w:szCs w:val="18"/>
          <w:color w:val="auto"/>
        </w:rPr>
      </w:pPr>
    </w:p>
    <w:p>
      <w:pPr>
        <w:jc w:val="both"/>
        <w:ind w:right="260" w:firstLine="656"/>
        <w:spacing w:after="0" w:line="259" w:lineRule="auto"/>
        <w:tabs>
          <w:tab w:leader="none" w:pos="130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issuance of PAGP Class A Shares upon an Exchange shall be made without charge to the Exchanging Partner for any stamp or other similar tax in respect of such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such shares are to be issued in a name other than that of the Exchanging Partner, then the Person or Persons in whose name the shares are to be issued shall pay to PAGP the amount of any tax that may be payable in respect of any transfer involved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issuance or shall establish to the satisfaction of PAGP that such tax has been paid or is not payable.</w:t>
      </w:r>
    </w:p>
    <w:p>
      <w:pPr>
        <w:spacing w:after="0" w:line="225" w:lineRule="exact"/>
        <w:rPr>
          <w:sz w:val="20"/>
          <w:szCs w:val="20"/>
          <w:color w:val="auto"/>
        </w:rPr>
      </w:pPr>
    </w:p>
    <w:p>
      <w:pPr>
        <w:ind w:right="40" w:firstLine="656"/>
        <w:spacing w:after="0" w:line="288" w:lineRule="auto"/>
        <w:tabs>
          <w:tab w:leader="none" w:pos="131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(i) Notwithstanding anything to the contrary in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but subject to </w:t>
      </w:r>
      <w:r>
        <w:rPr>
          <w:rFonts w:ascii="Arial" w:cs="Arial" w:eastAsia="Arial" w:hAnsi="Arial"/>
          <w:sz w:val="16"/>
          <w:szCs w:val="16"/>
          <w:u w:val="single" w:color="auto"/>
          <w:color w:val="auto"/>
        </w:rPr>
        <w:t>Section 7.9(h)</w:t>
      </w:r>
      <w:r>
        <w:rPr>
          <w:rFonts w:ascii="Arial" w:cs="Arial" w:eastAsia="Arial" w:hAnsi="Arial"/>
          <w:sz w:val="16"/>
          <w:szCs w:val="16"/>
          <w:color w:val="auto"/>
        </w:rPr>
        <w:t xml:space="preserve">, an Exchanging Partner shall be deemed to have offered to sell its Class A Units, PAGP Class B Shares and, if applicable, Holdings GP Units as described in the Exchange Notice to PAGP, and PAGP may, in its sole discretion, by means of delivery of Call Election Notices and/or Revocation Notices in accordance with, and subject to the terms of, this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elect to purchase directly and acquire such Class A Units, PAGP Class B Shares and, if applicable, Holdings GP Units on the Exchange Date by paying to the Exchanging Partner (or, on the Exchanging Partner’s written order, its designee) that number of PAGP Class A Shares the Exchanging Partner (or its designee) would otherwise receive pursuant to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Call Right</w:t>
      </w:r>
      <w:r>
        <w:rPr>
          <w:rFonts w:ascii="Arial" w:cs="Arial" w:eastAsia="Arial" w:hAnsi="Arial"/>
          <w:sz w:val="16"/>
          <w:szCs w:val="16"/>
          <w:color w:val="auto"/>
        </w:rPr>
        <w:t>”), whereupon PAGP shall acquire the Class A Units, PAGP Class B Shares and, if applicable, Holdings GP Units offered for exchange by the Exchanging Partner and shall be treated for all purposes of this Agreement as the owner of such Class A Units, PAGP Class B Shares and, if applicable, Holdings GP Units. In the event PAGP shall exercise the Call Right, each of the Exchanging Partner, the Partnership and PAGP, as the case may be, shall treat the transaction between Holdings and the Exchanging Partner for federal income tax purposes as a sale of the Exchanging Partner’s Class A Units, PAGP Class B Shares and Holdings GP Units to PAGP.</w:t>
      </w:r>
    </w:p>
    <w:p>
      <w:pPr>
        <w:spacing w:after="0" w:line="169" w:lineRule="exact"/>
        <w:rPr>
          <w:rFonts w:ascii="Arial" w:cs="Arial" w:eastAsia="Arial" w:hAnsi="Arial"/>
          <w:sz w:val="16"/>
          <w:szCs w:val="16"/>
          <w:color w:val="auto"/>
        </w:rPr>
      </w:pPr>
    </w:p>
    <w:p>
      <w:pPr>
        <w:ind w:firstLine="1305"/>
        <w:spacing w:after="0" w:line="288" w:lineRule="auto"/>
        <w:tabs>
          <w:tab w:leader="none" w:pos="1976" w:val="left"/>
        </w:tabs>
        <w:numPr>
          <w:ilvl w:val="1"/>
          <w:numId w:val="258"/>
        </w:numPr>
        <w:rPr>
          <w:rFonts w:ascii="Arial" w:cs="Arial" w:eastAsia="Arial" w:hAnsi="Arial"/>
          <w:sz w:val="16"/>
          <w:szCs w:val="16"/>
          <w:color w:val="auto"/>
        </w:rPr>
      </w:pPr>
      <w:r>
        <w:rPr>
          <w:rFonts w:ascii="Arial" w:cs="Arial" w:eastAsia="Arial" w:hAnsi="Arial"/>
          <w:sz w:val="16"/>
          <w:szCs w:val="16"/>
          <w:color w:val="auto"/>
        </w:rPr>
        <w:t>PAGP may at any time in its sole discretion deliver written notice (a “</w:t>
      </w:r>
      <w:r>
        <w:rPr>
          <w:rFonts w:ascii="Arial" w:cs="Arial" w:eastAsia="Arial" w:hAnsi="Arial"/>
          <w:sz w:val="16"/>
          <w:szCs w:val="16"/>
          <w:b w:val="1"/>
          <w:bCs w:val="1"/>
          <w:i w:val="1"/>
          <w:iCs w:val="1"/>
          <w:color w:val="auto"/>
        </w:rPr>
        <w:t>Call Election Notice</w:t>
      </w:r>
      <w:r>
        <w:rPr>
          <w:rFonts w:ascii="Arial" w:cs="Arial" w:eastAsia="Arial" w:hAnsi="Arial"/>
          <w:sz w:val="16"/>
          <w:szCs w:val="16"/>
          <w:color w:val="auto"/>
        </w:rPr>
        <w:t xml:space="preserve">”) to each other Class A Partner setting forth its election to exercise its Call Right as contemplated by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with respect to future Exchanges (without needing to provide further notice of its intention to exercise its Call Right). Subject to the remainder of this </w:t>
      </w:r>
      <w:r>
        <w:rPr>
          <w:rFonts w:ascii="Arial" w:cs="Arial" w:eastAsia="Arial" w:hAnsi="Arial"/>
          <w:sz w:val="16"/>
          <w:szCs w:val="16"/>
          <w:u w:val="single" w:color="auto"/>
          <w:color w:val="auto"/>
        </w:rPr>
        <w:t>Section 7.9(g)(ii)</w:t>
      </w:r>
      <w:r>
        <w:rPr>
          <w:rFonts w:ascii="Arial" w:cs="Arial" w:eastAsia="Arial" w:hAnsi="Arial"/>
          <w:sz w:val="16"/>
          <w:szCs w:val="16"/>
          <w:color w:val="auto"/>
        </w:rPr>
        <w:t>, a Call Election Notice will be effective until such time as PAGP amends such Call Election Notice with a superseding Call Election Notice or revokes such Call Election Notice by delivery of a written notice of revocation delivered to each other Class A Partner or, with respect to a particular Exchange, the Partnership exercises its Cash Election (a “</w:t>
      </w:r>
      <w:r>
        <w:rPr>
          <w:rFonts w:ascii="Arial" w:cs="Arial" w:eastAsia="Arial" w:hAnsi="Arial"/>
          <w:sz w:val="16"/>
          <w:szCs w:val="16"/>
          <w:b w:val="1"/>
          <w:bCs w:val="1"/>
          <w:i w:val="1"/>
          <w:iCs w:val="1"/>
          <w:color w:val="auto"/>
        </w:rPr>
        <w:t>Revocation Notice</w:t>
      </w:r>
      <w:r>
        <w:rPr>
          <w:rFonts w:ascii="Arial" w:cs="Arial" w:eastAsia="Arial" w:hAnsi="Arial"/>
          <w:sz w:val="16"/>
          <w:szCs w:val="16"/>
          <w:color w:val="auto"/>
        </w:rPr>
        <w:t xml:space="preserve">”). A Call Election Notice may be amended or revoked by PAGP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Exchange Notice delivered by a Class A Partner will not, without such Class A Partner’s written consent, be affected by the subsequent delivery of a Revocation Notice or by an Exchange Notice that is not effective until after the Exchange Date. Following delivery of a Revocation Notice, PAGP may deliver a new Call Election Notice pursuant to this </w:t>
      </w:r>
      <w:r>
        <w:rPr>
          <w:rFonts w:ascii="Arial" w:cs="Arial" w:eastAsia="Arial" w:hAnsi="Arial"/>
          <w:sz w:val="16"/>
          <w:szCs w:val="16"/>
          <w:u w:val="single" w:color="auto"/>
          <w:color w:val="auto"/>
        </w:rPr>
        <w:t>Section 7.9(g)</w:t>
      </w:r>
      <w:r>
        <w:rPr>
          <w:rFonts w:ascii="Arial" w:cs="Arial" w:eastAsia="Arial" w:hAnsi="Arial"/>
          <w:sz w:val="16"/>
          <w:szCs w:val="16"/>
          <w:color w:val="auto"/>
        </w:rPr>
        <w:t>. Any amendment of a Call Election Notice will not be effective until the Business Day after its delivery to each Class A Partner (other than PAGP or the General Partner). Each Call Election Notice shall specify the date from which it shall be effective (which shall be no earlier than the Business Day after delivery).</w:t>
      </w:r>
    </w:p>
    <w:p>
      <w:pPr>
        <w:sectPr>
          <w:pgSz w:w="11900" w:h="16838" w:orient="portrait"/>
          <w:cols w:equalWidth="0" w:num="1">
            <w:col w:w="11420"/>
          </w:cols>
          <w:pgMar w:left="240" w:top="125" w:right="239" w:bottom="0" w:gutter="0" w:footer="0" w:header="0"/>
        </w:sectPr>
      </w:pPr>
    </w:p>
    <w:bookmarkStart w:id="104" w:name="page105"/>
    <w:bookmarkEnd w:id="104"/>
    <w:p>
      <w:pPr>
        <w:spacing w:after="0" w:line="96" w:lineRule="exact"/>
        <w:rPr>
          <w:sz w:val="20"/>
          <w:szCs w:val="20"/>
          <w:color w:val="auto"/>
        </w:rPr>
      </w:pPr>
    </w:p>
    <w:p>
      <w:pPr>
        <w:ind w:right="160" w:firstLine="656"/>
        <w:spacing w:after="0" w:line="297" w:lineRule="auto"/>
        <w:tabs>
          <w:tab w:leader="none" w:pos="130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PAGP Class A Shares (a “</w:t>
      </w:r>
      <w:r>
        <w:rPr>
          <w:rFonts w:ascii="Arial" w:cs="Arial" w:eastAsia="Arial" w:hAnsi="Arial"/>
          <w:sz w:val="16"/>
          <w:szCs w:val="16"/>
          <w:b w:val="1"/>
          <w:bCs w:val="1"/>
          <w:i w:val="1"/>
          <w:iCs w:val="1"/>
          <w:color w:val="auto"/>
        </w:rPr>
        <w:t>Pubco Offer</w:t>
      </w:r>
      <w:r>
        <w:rPr>
          <w:rFonts w:ascii="Arial" w:cs="Arial" w:eastAsia="Arial" w:hAnsi="Arial"/>
          <w:sz w:val="16"/>
          <w:szCs w:val="16"/>
          <w:color w:val="auto"/>
        </w:rPr>
        <w:t xml:space="preserve">”) is proposed by PAGP or is proposed to PAGP or its partners and approved by the board of directors of Holdings GP or is otherwise effected or to be effected with the consent or approval of the board of directors of Holdings GP, the Class A Partners (other than PAGP or the General Partner) shall be permitted to participate in such Pubco Offer by delivery of a contingent Exchange Notice in accordance with the last sentence of </w:t>
      </w:r>
      <w:r>
        <w:rPr>
          <w:rFonts w:ascii="Arial" w:cs="Arial" w:eastAsia="Arial" w:hAnsi="Arial"/>
          <w:sz w:val="16"/>
          <w:szCs w:val="16"/>
          <w:u w:val="single" w:color="auto"/>
          <w:color w:val="auto"/>
        </w:rPr>
        <w:t>Section 7.9(c)</w:t>
      </w:r>
      <w:r>
        <w:rPr>
          <w:rFonts w:ascii="Arial" w:cs="Arial" w:eastAsia="Arial" w:hAnsi="Arial"/>
          <w:sz w:val="16"/>
          <w:szCs w:val="16"/>
          <w:color w:val="auto"/>
        </w:rPr>
        <w:t>. In the case of a Pubco Offer proposed by PAGP, PAGP will use its reasonable best efforts expeditiously and in good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faith to take all such actions and do all such things as are necessary or desirable to enable and permit the Class A Partners to participate in such Pubco Offer to the same extent or on an economically equivalent basis as the holders of PAGP Class A Shares without discrimination;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limiting the generality of this sentence, PAGP will use its reasonable best efforts expeditiously and in good faith to ensure that such Class A Partners may participate in each such Pubco Offer without being required to exchange Class A Units, PAGP Class B Shares and Holdings GP Units (or, if so required, to ensure that any such Exchange shall be effective only upon, and shall be conditional upon, the closing of such Pubco Offer and only to the extent necessary to tender or deposit to the Pubco Offer in accordance with the last sentence of </w:t>
      </w:r>
      <w:r>
        <w:rPr>
          <w:rFonts w:ascii="Arial" w:cs="Arial" w:eastAsia="Arial" w:hAnsi="Arial"/>
          <w:sz w:val="16"/>
          <w:szCs w:val="16"/>
          <w:u w:val="single" w:color="auto"/>
          <w:color w:val="auto"/>
        </w:rPr>
        <w:t>Section 7.9(c)</w:t>
      </w:r>
      <w:r>
        <w:rPr>
          <w:rFonts w:ascii="Arial" w:cs="Arial" w:eastAsia="Arial" w:hAnsi="Arial"/>
          <w:sz w:val="16"/>
          <w:szCs w:val="16"/>
          <w:color w:val="auto"/>
        </w:rPr>
        <w:t>, or, as applicable, to the extent necessary to exchange the number of Class A Units, PAGP Class B Shares and Holdings GP Units being repurchased). For the avoidance of doubt, in no event shall the Class A Partners (other than PAGP or the General Partner) be entitled to receive in such Pubco Offer aggregate consideration for each Class A Unit and corresponding PAGP Class B Share and Holdings GP Unit that is greater than the consideration payable in respect of each PAGP Class A Share in connection with a Pubco Offer.</w:t>
      </w:r>
    </w:p>
    <w:p>
      <w:pPr>
        <w:spacing w:after="0" w:line="167" w:lineRule="exact"/>
        <w:rPr>
          <w:sz w:val="20"/>
          <w:szCs w:val="20"/>
          <w:color w:val="auto"/>
        </w:rPr>
      </w:pPr>
    </w:p>
    <w:p>
      <w:pPr>
        <w:ind w:right="160" w:firstLine="656"/>
        <w:spacing w:after="0" w:line="257" w:lineRule="auto"/>
        <w:tabs>
          <w:tab w:leader="none" w:pos="131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Exchange shall impair the right of the Exchanging Partner to receive any distributions payable on the Class A Units so exchanged in respect of a Record Date that occurs prior to the Exchange Date for such Exchange. For the avoidance of doubt, no Exchanging Partner, or a Person designated by an Exchanging Partner to receive PAGP Class A Shares, shall be entitled to receive, with respect to the same fiscal quarter, distributions or dividends both on Class A Units exchanged by such Exchanging Partner and on PAGP Class A Shares received by such Exchanging Partner, or other Person so designated, if applicable, in such Exchange.</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Conversion of Class B Units</w:t>
      </w:r>
    </w:p>
    <w:p>
      <w:pPr>
        <w:spacing w:after="0" w:line="225" w:lineRule="exact"/>
        <w:rPr>
          <w:sz w:val="20"/>
          <w:szCs w:val="20"/>
          <w:color w:val="auto"/>
        </w:rPr>
      </w:pPr>
    </w:p>
    <w:p>
      <w:pPr>
        <w:jc w:val="both"/>
        <w:ind w:right="200" w:firstLine="656"/>
        <w:spacing w:after="0" w:line="259" w:lineRule="auto"/>
        <w:tabs>
          <w:tab w:leader="none" w:pos="129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and in accordance with the applicable Class B Restricted Unit Agreement, if at any time after December 31, 2015, the PAGP Class A Shares are publicly traded, each of the Class B Partners shall be entitled to exchange (a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any or all of such Class B Partner’s Vested Units for a number of Class A Units (the “</w:t>
      </w:r>
      <w:r>
        <w:rPr>
          <w:rFonts w:ascii="Arial" w:cs="Arial" w:eastAsia="Arial" w:hAnsi="Arial"/>
          <w:sz w:val="18"/>
          <w:szCs w:val="18"/>
          <w:b w:val="1"/>
          <w:bCs w:val="1"/>
          <w:i w:val="1"/>
          <w:iCs w:val="1"/>
          <w:color w:val="auto"/>
        </w:rPr>
        <w:t>Converted Class A Units</w:t>
      </w:r>
      <w:r>
        <w:rPr>
          <w:rFonts w:ascii="Arial" w:cs="Arial" w:eastAsia="Arial" w:hAnsi="Arial"/>
          <w:sz w:val="18"/>
          <w:szCs w:val="18"/>
          <w:color w:val="auto"/>
        </w:rPr>
        <w:t>”) equal to the product of the number of Vested Units being exchanged multiplied by the Conversion Factor.</w:t>
      </w:r>
    </w:p>
    <w:p>
      <w:pPr>
        <w:spacing w:after="0" w:line="186" w:lineRule="exact"/>
        <w:rPr>
          <w:rFonts w:ascii="Arial" w:cs="Arial" w:eastAsia="Arial" w:hAnsi="Arial"/>
          <w:sz w:val="18"/>
          <w:szCs w:val="18"/>
          <w:color w:val="auto"/>
        </w:rPr>
      </w:pPr>
    </w:p>
    <w:p>
      <w:pPr>
        <w:ind w:right="240" w:firstLine="656"/>
        <w:spacing w:after="0" w:line="342" w:lineRule="auto"/>
        <w:tabs>
          <w:tab w:leader="none" w:pos="130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In order to effect a Conversion, the exchanging Class B Partner (the “</w:t>
      </w:r>
      <w:r>
        <w:rPr>
          <w:rFonts w:ascii="Arial" w:cs="Arial" w:eastAsia="Arial" w:hAnsi="Arial"/>
          <w:sz w:val="16"/>
          <w:szCs w:val="16"/>
          <w:b w:val="1"/>
          <w:bCs w:val="1"/>
          <w:i w:val="1"/>
          <w:iCs w:val="1"/>
          <w:color w:val="auto"/>
        </w:rPr>
        <w:t>Converting Partner</w:t>
      </w:r>
      <w:r>
        <w:rPr>
          <w:rFonts w:ascii="Arial" w:cs="Arial" w:eastAsia="Arial" w:hAnsi="Arial"/>
          <w:sz w:val="16"/>
          <w:szCs w:val="16"/>
          <w:color w:val="auto"/>
        </w:rPr>
        <w:t>”) shall deliver written notice (the “</w:t>
      </w: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the Partnership and PAGP stating that the Converting Partner elects to exchange a stated number of Class B Units as specified in such notice.</w:t>
      </w:r>
    </w:p>
    <w:p>
      <w:pPr>
        <w:spacing w:after="0" w:line="123" w:lineRule="exact"/>
        <w:rPr>
          <w:rFonts w:ascii="Arial" w:cs="Arial" w:eastAsia="Arial" w:hAnsi="Arial"/>
          <w:sz w:val="16"/>
          <w:szCs w:val="16"/>
          <w:color w:val="auto"/>
        </w:rPr>
      </w:pPr>
    </w:p>
    <w:p>
      <w:pPr>
        <w:ind w:right="20" w:firstLine="656"/>
        <w:spacing w:after="0" w:line="273" w:lineRule="auto"/>
        <w:tabs>
          <w:tab w:leader="none" w:pos="130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As promptly as practicable after the receipt of the Conversion Notice, PAGP shall issue and contribute to the Partnership a number of PAGP Class B Shares in the same amount as the Converted Class A Units, and the Partnership shall deliver such PAGP Class B Shares to the Converting Partner, and the Partnership shall issue and deliver to the Converting Partner the Converted Class A Units. Each Conversion shall be deemed to have been effected on the Business Day after the date on which the Conversion Notice shall have been received by the Partnership and PAGP (the “</w:t>
      </w:r>
      <w:r>
        <w:rPr>
          <w:rFonts w:ascii="Arial" w:cs="Arial" w:eastAsia="Arial" w:hAnsi="Arial"/>
          <w:sz w:val="17"/>
          <w:szCs w:val="17"/>
          <w:b w:val="1"/>
          <w:bCs w:val="1"/>
          <w:i w:val="1"/>
          <w:iCs w:val="1"/>
          <w:color w:val="auto"/>
        </w:rPr>
        <w:t>Conversion Date</w:t>
      </w:r>
      <w:r>
        <w:rPr>
          <w:rFonts w:ascii="Arial" w:cs="Arial" w:eastAsia="Arial" w:hAnsi="Arial"/>
          <w:sz w:val="17"/>
          <w:szCs w:val="17"/>
          <w:color w:val="auto"/>
        </w:rPr>
        <w:t>”), and the applicable Converting Partner shall be deemed to have become, on the Conversion Date, the holder or holders of record of the Converted Class A Units together with an equivalent number of PAGP Class B Shares.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Converted Class A Units shall, upon issuance thereof, be validly issued, fully paid and non-assessable, except as such non-assessability may be affected by Sections 17-303, 17-607 and 17-804 of the Act and as provided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0" w:lineRule="exact"/>
        <w:rPr>
          <w:sz w:val="20"/>
          <w:szCs w:val="20"/>
          <w:color w:val="auto"/>
        </w:rPr>
      </w:pPr>
    </w:p>
    <w:p>
      <w:pPr>
        <w:ind w:right="260" w:firstLine="656"/>
        <w:spacing w:after="0" w:line="264" w:lineRule="auto"/>
        <w:tabs>
          <w:tab w:leader="none" w:pos="130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Upon receipt of the Converted Class A Units, the Converting Partner shall become a Class A Partner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and shall have all rights, powers and benefits of, and is subject to the obligations, restrictions and liabilities of a Class A Partner under, the Certificate, this Agreement and the Act.</w:t>
      </w:r>
    </w:p>
    <w:p>
      <w:pPr>
        <w:spacing w:after="0" w:line="181" w:lineRule="exact"/>
        <w:rPr>
          <w:rFonts w:ascii="Arial" w:cs="Arial" w:eastAsia="Arial" w:hAnsi="Arial"/>
          <w:sz w:val="18"/>
          <w:szCs w:val="18"/>
          <w:color w:val="auto"/>
        </w:rPr>
      </w:pPr>
    </w:p>
    <w:p>
      <w:pPr>
        <w:ind w:right="200" w:firstLine="656"/>
        <w:spacing w:after="0" w:line="259" w:lineRule="auto"/>
        <w:tabs>
          <w:tab w:leader="none" w:pos="130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 Conversion shall impair the right of the Converting Partner to receive any distributions payable on the Class B Units so converted in respect of a record date that occurs prior to the Conversion Date for such Conversion. For the avoidance of doubt, no Converting Partner shall be entitled to receive, in respect of the same fiscal quarter, distributions both on Class B Units converted by such Converting Partner and on the Converted Class A Units received in such Conversion.</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Redemption of Class A Units</w:t>
      </w:r>
    </w:p>
    <w:p>
      <w:pPr>
        <w:spacing w:after="0" w:line="225" w:lineRule="exact"/>
        <w:rPr>
          <w:sz w:val="20"/>
          <w:szCs w:val="20"/>
          <w:color w:val="auto"/>
        </w:rPr>
      </w:pPr>
    </w:p>
    <w:p>
      <w:pPr>
        <w:ind w:right="100" w:firstLine="656"/>
        <w:spacing w:after="0" w:line="290" w:lineRule="auto"/>
        <w:tabs>
          <w:tab w:leader="none" w:pos="129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7.11(g)</w:t>
      </w:r>
      <w:r>
        <w:rPr>
          <w:rFonts w:ascii="Arial" w:cs="Arial" w:eastAsia="Arial" w:hAnsi="Arial"/>
          <w:sz w:val="16"/>
          <w:szCs w:val="16"/>
          <w:color w:val="auto"/>
        </w:rPr>
        <w:t>, each of the Class A Partners other than PAGP or the General Partner shall be entitled, at any time and from time to time, to cause the Partnership to (i) redeem all or any portion of such Partner’s Class A Units and (ii) in consideration therefor distribute to such Class A Partner one MLP Common Unit for each Class A Unit being redeemed (such transactions,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such MLP Common Units, the “</w:t>
      </w:r>
      <w:r>
        <w:rPr>
          <w:rFonts w:ascii="Arial" w:cs="Arial" w:eastAsia="Arial" w:hAnsi="Arial"/>
          <w:sz w:val="16"/>
          <w:szCs w:val="16"/>
          <w:b w:val="1"/>
          <w:bCs w:val="1"/>
          <w:i w:val="1"/>
          <w:iCs w:val="1"/>
          <w:color w:val="auto"/>
        </w:rPr>
        <w:t>Consideration Units</w:t>
      </w:r>
      <w:r>
        <w:rPr>
          <w:rFonts w:ascii="Arial" w:cs="Arial" w:eastAsia="Arial" w:hAnsi="Arial"/>
          <w:sz w:val="16"/>
          <w:szCs w:val="16"/>
          <w:color w:val="auto"/>
        </w:rPr>
        <w:t xml:space="preserve">”). In connection with any such Redemption, the Redeeming Partner shall also transfer to PAGP an equivalent number of PAGP Class B Shares and Holdings GP Units (unless such Redeeming Partner is a former Class B Partner who did not receive any Holdings GP Units upon the conversion of the applicable Class B Units). Notwithstanding the foregoing, the right of a holder of Converted Class A Units to redeem such Converted Class A Units shall be limited to the extent necessary to prevent the Redemption of such Converted Class A Units from causing (or increasing) an Adjusted Capital Account Deficit for such holder (after taking into account any allocations pursuant to </w:t>
      </w:r>
      <w:r>
        <w:rPr>
          <w:rFonts w:ascii="Arial" w:cs="Arial" w:eastAsia="Arial" w:hAnsi="Arial"/>
          <w:sz w:val="16"/>
          <w:szCs w:val="16"/>
          <w:u w:val="single" w:color="auto"/>
          <w:color w:val="auto"/>
        </w:rPr>
        <w:t>Section 5.2(d)</w:t>
      </w:r>
      <w:r>
        <w:rPr>
          <w:rFonts w:ascii="Arial" w:cs="Arial" w:eastAsia="Arial" w:hAnsi="Arial"/>
          <w:sz w:val="16"/>
          <w:szCs w:val="16"/>
          <w:color w:val="auto"/>
        </w:rPr>
        <w:t>) associated with such Redemption.</w:t>
      </w:r>
    </w:p>
    <w:p>
      <w:pPr>
        <w:spacing w:after="0" w:line="166" w:lineRule="exact"/>
        <w:rPr>
          <w:rFonts w:ascii="Arial" w:cs="Arial" w:eastAsia="Arial" w:hAnsi="Arial"/>
          <w:sz w:val="16"/>
          <w:szCs w:val="16"/>
          <w:color w:val="auto"/>
        </w:rPr>
      </w:pPr>
    </w:p>
    <w:p>
      <w:pPr>
        <w:ind w:right="40" w:firstLine="656"/>
        <w:spacing w:after="0" w:line="293" w:lineRule="auto"/>
        <w:tabs>
          <w:tab w:leader="none" w:pos="130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In order to exercise the redemption right under </w:t>
      </w:r>
      <w:r>
        <w:rPr>
          <w:rFonts w:ascii="Arial" w:cs="Arial" w:eastAsia="Arial" w:hAnsi="Arial"/>
          <w:sz w:val="16"/>
          <w:szCs w:val="16"/>
          <w:u w:val="single" w:color="auto"/>
          <w:color w:val="auto"/>
        </w:rPr>
        <w:t>Section 7.11(a)</w:t>
      </w:r>
      <w:r>
        <w:rPr>
          <w:rFonts w:ascii="Arial" w:cs="Arial" w:eastAsia="Arial" w:hAnsi="Arial"/>
          <w:sz w:val="16"/>
          <w:szCs w:val="16"/>
          <w:color w:val="auto"/>
        </w:rPr>
        <w:t>, the redeeming Class A Partner (the “</w:t>
      </w:r>
      <w:r>
        <w:rPr>
          <w:rFonts w:ascii="Arial" w:cs="Arial" w:eastAsia="Arial" w:hAnsi="Arial"/>
          <w:sz w:val="16"/>
          <w:szCs w:val="16"/>
          <w:b w:val="1"/>
          <w:bCs w:val="1"/>
          <w:i w:val="1"/>
          <w:iCs w:val="1"/>
          <w:color w:val="auto"/>
        </w:rPr>
        <w:t>Redeeming Partner</w:t>
      </w:r>
      <w:r>
        <w:rPr>
          <w:rFonts w:ascii="Arial" w:cs="Arial" w:eastAsia="Arial" w:hAnsi="Arial"/>
          <w:sz w:val="16"/>
          <w:szCs w:val="16"/>
          <w:color w:val="auto"/>
        </w:rPr>
        <w:t>”) shall provide written notice (the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to the Partnership stating that the Redeeming Partner elects to cause the Partnership to redeem a stated number of Class A Units, represented, if applicable, by a certificate or certificates, to the extent specified in such notice. In connection with the delivery of such notice, the Redeeming Partner shall deliver an instrument of transfer (i) to the Partnership conveying to the Partnership the applicable Class A Units and (ii) to PAGP conveying to PAGP the associated PAGP Class B Shares and Holdings GP Units, as applicable, and present and surrender the certificate or certificates representing such Class A Units, if applicable, during normal business hours at the principal executive offices of the Partnership or PAGP, as applicable. The</w:t>
      </w:r>
    </w:p>
    <w:p>
      <w:pPr>
        <w:sectPr>
          <w:pgSz w:w="11900" w:h="16934" w:orient="portrait"/>
          <w:cols w:equalWidth="0" w:num="1">
            <w:col w:w="11420"/>
          </w:cols>
          <w:pgMar w:left="240" w:top="125" w:right="239" w:bottom="0" w:gutter="0" w:footer="0" w:header="0"/>
        </w:sectPr>
      </w:pPr>
    </w:p>
    <w:bookmarkStart w:id="105" w:name="page106"/>
    <w:bookmarkEnd w:id="105"/>
    <w:p>
      <w:pPr>
        <w:ind w:right="60"/>
        <w:spacing w:after="0" w:line="277" w:lineRule="auto"/>
        <w:rPr>
          <w:sz w:val="20"/>
          <w:szCs w:val="20"/>
          <w:color w:val="auto"/>
        </w:rPr>
      </w:pPr>
      <w:r>
        <w:rPr>
          <w:rFonts w:ascii="Arial" w:cs="Arial" w:eastAsia="Arial" w:hAnsi="Arial"/>
          <w:sz w:val="18"/>
          <w:szCs w:val="18"/>
          <w:color w:val="auto"/>
        </w:rPr>
        <w:t>instrument of transfer delivered by the Redeeming Partner pursuant to the foregoing sentence shall be in a form reasonably satisfactory to the Partnership and duly executed by the Redeeming Partner or the Redeeming Partner’s duly authorized representative.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As promptly as practicable after the receipt of (i) the Redemption Notice, (ii) the instrument of transfer described in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firstLine="8"/>
        <w:spacing w:after="0" w:line="290" w:lineRule="auto"/>
        <w:tabs>
          <w:tab w:leader="none" w:pos="31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the certificate or certificates, if any, representing such Class A Units (but in any event by the Redemption Date, as defined below), the Partnership shall transfer and deliver the Consideration Units to the Redeeming Partner, which transfer shall be made pursuant to an instrument of transfer in a form reasonably acceptable to the Partnership and the Redeeming Member. Each Redemption shall be deemed to have been effected upon the Business Day following receipt by the Partnership of the required instruments of transfer or other documents required pursuant to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7.11(c)</w:t>
      </w:r>
      <w:r>
        <w:rPr>
          <w:rFonts w:ascii="Arial" w:cs="Arial" w:eastAsia="Arial" w:hAnsi="Arial"/>
          <w:sz w:val="16"/>
          <w:szCs w:val="16"/>
          <w:color w:val="auto"/>
        </w:rPr>
        <w:t xml:space="preserve"> (such effective date,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On the Redemption Date, the Redeeming Partner shall be deemed to have become the holder of record of the Consideration Units, and the Class A Units redeemed in connection with the Redemption shall be automatically cancelled by the Partnership, without further action of any Person.</w:t>
      </w:r>
    </w:p>
    <w:p>
      <w:pPr>
        <w:spacing w:after="0" w:line="164" w:lineRule="exact"/>
        <w:rPr>
          <w:rFonts w:ascii="Arial" w:cs="Arial" w:eastAsia="Arial" w:hAnsi="Arial"/>
          <w:sz w:val="16"/>
          <w:szCs w:val="16"/>
          <w:color w:val="auto"/>
        </w:rPr>
      </w:pPr>
    </w:p>
    <w:p>
      <w:pPr>
        <w:ind w:right="120" w:firstLine="656"/>
        <w:spacing w:after="0" w:line="286" w:lineRule="auto"/>
        <w:tabs>
          <w:tab w:leader="none" w:pos="1304" w:val="left"/>
        </w:tabs>
        <w:numPr>
          <w:ilvl w:val="1"/>
          <w:numId w:val="265"/>
        </w:numPr>
        <w:rPr>
          <w:rFonts w:ascii="Arial" w:cs="Arial" w:eastAsia="Arial" w:hAnsi="Arial"/>
          <w:sz w:val="17"/>
          <w:szCs w:val="17"/>
          <w:color w:val="auto"/>
        </w:rPr>
      </w:pPr>
      <w:r>
        <w:rPr>
          <w:rFonts w:ascii="Arial" w:cs="Arial" w:eastAsia="Arial" w:hAnsi="Arial"/>
          <w:sz w:val="17"/>
          <w:szCs w:val="17"/>
          <w:color w:val="auto"/>
        </w:rPr>
        <w:t xml:space="preserve">The Partnership shall at all times keep available, solely for the purpose of distribution upon a Redemption, such number of MLP Common Units that shall be distributable upon the Redemption of all such outstanding Class A Units (which, for purposes of this </w:t>
      </w:r>
      <w:r>
        <w:rPr>
          <w:rFonts w:ascii="Arial" w:cs="Arial" w:eastAsia="Arial" w:hAnsi="Arial"/>
          <w:sz w:val="17"/>
          <w:szCs w:val="17"/>
          <w:u w:val="single" w:color="auto"/>
          <w:color w:val="auto"/>
        </w:rPr>
        <w:t>Section 7.11(d)</w:t>
      </w:r>
      <w:r>
        <w:rPr>
          <w:rFonts w:ascii="Arial" w:cs="Arial" w:eastAsia="Arial" w:hAnsi="Arial"/>
          <w:sz w:val="17"/>
          <w:szCs w:val="17"/>
          <w:color w:val="auto"/>
        </w:rPr>
        <w:t xml:space="preserve">, shall include the Class A Units into which the outstanding Vested Units or Earned Units may be converted in accordance with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ind w:right="40" w:firstLine="656"/>
        <w:spacing w:after="0" w:line="277" w:lineRule="auto"/>
        <w:tabs>
          <w:tab w:leader="none" w:pos="130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distribution of MLP Common Units upon a Redemption shall be made without charge to the Redeeming Partner for any stamp or other similar tax in respect of such distribution.</w:t>
      </w:r>
    </w:p>
    <w:p>
      <w:pPr>
        <w:spacing w:after="0" w:line="170" w:lineRule="exact"/>
        <w:rPr>
          <w:rFonts w:ascii="Arial" w:cs="Arial" w:eastAsia="Arial" w:hAnsi="Arial"/>
          <w:sz w:val="18"/>
          <w:szCs w:val="18"/>
          <w:color w:val="auto"/>
        </w:rPr>
      </w:pPr>
    </w:p>
    <w:p>
      <w:pPr>
        <w:ind w:right="120" w:firstLine="656"/>
        <w:spacing w:after="0" w:line="259" w:lineRule="auto"/>
        <w:tabs>
          <w:tab w:leader="none" w:pos="130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 Redemption shall impair the right of the Redeeming Partner to receive any distributions payable on the Class A Units so redeemed in respect of a Record Date that occurs prior to the Redemption Date for such Redemption. For the avoidance of doubt, no Redeeming Partner shall be entitled to receive, with respect to the same fiscal quarter, distributions or dividends both on Class A Units redeemed by such Redeeming Partner and on MLP Common Units received by such Redeeming Partner in such Redemption.</w:t>
      </w:r>
    </w:p>
    <w:p>
      <w:pPr>
        <w:spacing w:after="0" w:line="186" w:lineRule="exact"/>
        <w:rPr>
          <w:rFonts w:ascii="Arial" w:cs="Arial" w:eastAsia="Arial" w:hAnsi="Arial"/>
          <w:sz w:val="18"/>
          <w:szCs w:val="18"/>
          <w:color w:val="auto"/>
        </w:rPr>
      </w:pPr>
    </w:p>
    <w:p>
      <w:pPr>
        <w:ind w:right="40" w:firstLine="656"/>
        <w:spacing w:after="0" w:line="269" w:lineRule="auto"/>
        <w:tabs>
          <w:tab w:leader="none" w:pos="1317" w:val="left"/>
        </w:tabs>
        <w:numPr>
          <w:ilvl w:val="1"/>
          <w:numId w:val="265"/>
        </w:numPr>
        <w:rPr>
          <w:rFonts w:ascii="Arial" w:cs="Arial" w:eastAsia="Arial" w:hAnsi="Arial"/>
          <w:sz w:val="17"/>
          <w:szCs w:val="17"/>
          <w:color w:val="auto"/>
        </w:rPr>
      </w:pPr>
      <w:r>
        <w:rPr>
          <w:rFonts w:ascii="Arial" w:cs="Arial" w:eastAsia="Arial" w:hAnsi="Arial"/>
          <w:sz w:val="17"/>
          <w:szCs w:val="17"/>
          <w:color w:val="auto"/>
        </w:rPr>
        <w:t>Until the first anniversary of the date hereof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neither Gregory L. Armstrong nor Harry N. Pefanis may exercise any Redemption rights with respect to any Class A Units owned by such individuals, (ii) PAA Management, L.P. may not exercise its Redemption right with respect to any Class A Units attributable to the interests of Messrs. Armstrong and Pefanis in such entity and (iii) no other Class A Partner (including PAA Management, L.P. with respect to any Class A Units attributable to the interests of owners other than Messrs. Armstrong and Pefanis) may exercise its Redemption right if such exercise would result in the Redemption (when taken together with all previous Redemptions by such Class A Partner) of more than 78% of the Class A Units owned by such Class A Partner as of the date hereof (the “</w:t>
      </w:r>
      <w:r>
        <w:rPr>
          <w:rFonts w:ascii="Arial" w:cs="Arial" w:eastAsia="Arial" w:hAnsi="Arial"/>
          <w:sz w:val="17"/>
          <w:szCs w:val="17"/>
          <w:b w:val="1"/>
          <w:bCs w:val="1"/>
          <w:i w:val="1"/>
          <w:iCs w:val="1"/>
          <w:color w:val="auto"/>
        </w:rPr>
        <w:t>Lock-Up Threshold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Class A Partner (other than Messrs. Armstrong and Pefanis and PAA Management, L.P. with respect to any Class A Units attributable to the interests of Messrs. Armstrong and Pefanis in such entity) may redeem Class A Units pursuant to this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in excess of its Lock-Up Threshold if (A) one or more Class A Partners agrees in writing pursuant to documents reasonably acceptable to the Partnership in form and content to forbear from exercising its Redemption right during the Lock-Up Period with respect to an equal number of Class A Units in excess of its Lock-Up Threshold and (B) such Class A Partners promptly provide the Partnership notice of such agreement and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deliver executed copies of such documents to the Partnership promptly following their execution. The foregoing restriction will immediately terminate and be of no further force or effect upon the MLP experiencing a technical tax termination notwithstanding the foregoing restriction. In addition, each holder of Class A Units agrees that, for so long as such holder is subject to a restriction on the exercise of its Redemption right with respect to any portion of its Class A Units pursuant to this </w:t>
      </w:r>
      <w:r>
        <w:rPr>
          <w:rFonts w:ascii="Arial" w:cs="Arial" w:eastAsia="Arial" w:hAnsi="Arial"/>
          <w:sz w:val="16"/>
          <w:szCs w:val="16"/>
          <w:u w:val="single" w:color="auto"/>
          <w:color w:val="auto"/>
        </w:rPr>
        <w:t>Section 7.11(g)</w:t>
      </w:r>
      <w:r>
        <w:rPr>
          <w:rFonts w:ascii="Arial" w:cs="Arial" w:eastAsia="Arial" w:hAnsi="Arial"/>
          <w:sz w:val="16"/>
          <w:szCs w:val="16"/>
          <w:color w:val="auto"/>
        </w:rPr>
        <w:t xml:space="preserve">, such holder agrees not to consummate a Transfer of all or any part of such holder’s Partnership Group Interest pursuant to </w:t>
      </w:r>
      <w:r>
        <w:rPr>
          <w:rFonts w:ascii="Arial" w:cs="Arial" w:eastAsia="Arial" w:hAnsi="Arial"/>
          <w:sz w:val="16"/>
          <w:szCs w:val="16"/>
          <w:u w:val="single" w:color="auto"/>
          <w:color w:val="auto"/>
        </w:rPr>
        <w:t>Sections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7.8</w:t>
      </w:r>
      <w:r>
        <w:rPr>
          <w:rFonts w:ascii="Arial" w:cs="Arial" w:eastAsia="Arial" w:hAnsi="Arial"/>
          <w:sz w:val="16"/>
          <w:szCs w:val="16"/>
          <w:color w:val="auto"/>
        </w:rPr>
        <w:t xml:space="preserve"> hereof if, after giving effect thereto, such holder would own less than (x) 100% of the Class A Units owned as of the date hereof in the case of Messrs. Armstrong and Pefanis (including both their direct holdings and any indirect holdings through their respective interests in PAA Management, L.P.) or (y) 22% of such holder’s Class A Units as of the date hereof in the case of all other holders, in each case unless the applicable Transferee agrees in writing pursuant to documents reasonably acceptable to the Partnership in form and content to forbear from exercising the Redemption right with respect to the applicable Class A Units being Transferred to the extent required to comply with the provisions of this </w:t>
      </w:r>
      <w:r>
        <w:rPr>
          <w:rFonts w:ascii="Arial" w:cs="Arial" w:eastAsia="Arial" w:hAnsi="Arial"/>
          <w:sz w:val="16"/>
          <w:szCs w:val="16"/>
          <w:u w:val="single" w:color="auto"/>
          <w:color w:val="auto"/>
        </w:rPr>
        <w:t>Section 7.11(g)</w:t>
      </w:r>
      <w:r>
        <w:rPr>
          <w:rFonts w:ascii="Arial" w:cs="Arial" w:eastAsia="Arial" w:hAnsi="Arial"/>
          <w:sz w:val="16"/>
          <w:szCs w:val="16"/>
          <w:color w:val="auto"/>
        </w:rPr>
        <w: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Dissolution of Partnership</w:t>
      </w:r>
    </w:p>
    <w:p>
      <w:pPr>
        <w:spacing w:after="0" w:line="225"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Partnership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written election of the General Partner, in its sole discretion, to dissolve the Partnership;</w:t>
      </w:r>
    </w:p>
    <w:p>
      <w:pPr>
        <w:spacing w:after="0" w:line="225" w:lineRule="exact"/>
        <w:rPr>
          <w:rFonts w:ascii="Arial" w:cs="Arial" w:eastAsia="Arial" w:hAnsi="Arial"/>
          <w:sz w:val="18"/>
          <w:szCs w:val="18"/>
          <w:color w:val="auto"/>
        </w:rPr>
      </w:pPr>
    </w:p>
    <w:p>
      <w:pPr>
        <w:ind w:left="660" w:right="20" w:firstLine="645"/>
        <w:spacing w:after="0" w:line="255" w:lineRule="auto"/>
        <w:tabs>
          <w:tab w:leader="none" w:pos="198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the occurrence of any event that results in the General Partner ceasing to be the general partner of the Partnership under the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Partnership will not be dissolved and required to be wound up in connection with any such event if (A)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such event there is at least one remaining general partner of the Partnership who is hereby authorized to and does carry on the business of the Partnership, or (B) within 90 days after the occurrence of such event, all of the Class A Partners agree in writing to continue the business of the Partnership and to the appointment, effective as of the date of such event, if required, of one or more additional general partners of the Partnership;</w:t>
      </w:r>
    </w:p>
    <w:p>
      <w:pPr>
        <w:spacing w:after="0" w:line="193" w:lineRule="exact"/>
        <w:rPr>
          <w:rFonts w:ascii="Arial" w:cs="Arial" w:eastAsia="Arial" w:hAnsi="Arial"/>
          <w:sz w:val="18"/>
          <w:szCs w:val="18"/>
          <w:color w:val="auto"/>
        </w:rPr>
      </w:pPr>
    </w:p>
    <w:p>
      <w:pPr>
        <w:ind w:left="2000" w:hanging="695"/>
        <w:spacing w:after="0"/>
        <w:tabs>
          <w:tab w:leader="none" w:pos="200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Transfer of all or substantially all of the assets of the Partnership and the receipt and distribution of all the proceeds therefrom;</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at any time that there are no limited partners of the Partnership, unless the business of the Partnership is continued in accordance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with the Act;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17-802 of the Act.</w:t>
      </w:r>
    </w:p>
    <w:p>
      <w:pPr>
        <w:sectPr>
          <w:pgSz w:w="11900" w:h="16838" w:orient="portrait"/>
          <w:cols w:equalWidth="0" w:num="1">
            <w:col w:w="11400"/>
          </w:cols>
          <w:pgMar w:left="240" w:top="125" w:right="259" w:bottom="0" w:gutter="0" w:footer="0" w:header="0"/>
        </w:sectPr>
      </w:pPr>
    </w:p>
    <w:bookmarkStart w:id="106" w:name="page107"/>
    <w:bookmarkEnd w:id="106"/>
    <w:p>
      <w:pPr>
        <w:spacing w:after="0" w:line="106" w:lineRule="exact"/>
        <w:rPr>
          <w:sz w:val="20"/>
          <w:szCs w:val="20"/>
          <w:color w:val="auto"/>
        </w:rPr>
      </w:pPr>
    </w:p>
    <w:p>
      <w:pPr>
        <w:ind w:right="780" w:firstLine="656"/>
        <w:spacing w:after="0" w:line="277" w:lineRule="auto"/>
        <w:tabs>
          <w:tab w:leader="none" w:pos="13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withdrawal, death, dissolution, retirement, resignation, expulsion, liquidation or bankruptcy of a Partner, the admission to the Partnership of a new General Partner or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Partner, the withdrawal of a Partner from the Partnership, or the transfer by a Partner of its Partnership Interest to a third party shall not, in and of itself, cause the Partnership to dissolve.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Final Accounting</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Distributions Following Dissolution and Termination</w:t>
      </w:r>
    </w:p>
    <w:p>
      <w:pPr>
        <w:spacing w:after="0" w:line="225" w:lineRule="exact"/>
        <w:rPr>
          <w:sz w:val="20"/>
          <w:szCs w:val="20"/>
          <w:color w:val="auto"/>
        </w:rPr>
      </w:pPr>
    </w:p>
    <w:p>
      <w:pPr>
        <w:ind w:firstLine="656"/>
        <w:spacing w:after="0" w:line="269" w:lineRule="auto"/>
        <w:tabs>
          <w:tab w:leader="none" w:pos="1294"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Liquidating Trustee</w:t>
      </w:r>
      <w:r>
        <w:rPr>
          <w:rFonts w:ascii="Arial" w:cs="Arial" w:eastAsia="Arial" w:hAnsi="Arial"/>
          <w:sz w:val="17"/>
          <w:szCs w:val="17"/>
          <w:color w:val="auto"/>
        </w:rPr>
        <w:t>. Upon the dissolution of the Partnership, such party as is designated by the General Partner will act as liquidating trustee of the Partnership (the “</w:t>
      </w:r>
      <w:r>
        <w:rPr>
          <w:rFonts w:ascii="Arial" w:cs="Arial" w:eastAsia="Arial" w:hAnsi="Arial"/>
          <w:sz w:val="17"/>
          <w:szCs w:val="17"/>
          <w:b w:val="1"/>
          <w:bCs w:val="1"/>
          <w:i w:val="1"/>
          <w:iCs w:val="1"/>
          <w:color w:val="auto"/>
        </w:rPr>
        <w:t>Liquidating Trustee</w:t>
      </w:r>
      <w:r>
        <w:rPr>
          <w:rFonts w:ascii="Arial" w:cs="Arial" w:eastAsia="Arial" w:hAnsi="Arial"/>
          <w:sz w:val="17"/>
          <w:szCs w:val="17"/>
          <w:color w:val="auto"/>
        </w:rPr>
        <w:t xml:space="preserve">”) and proceed to wind up the business and affairs of the Partnership in accordance with the terms of this Agreement and applicable law. The Liquidating Trustee will use its reasonable best efforts to sell all Partnership assets (except cash) in the exercise of its best 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 reasonable amount of time shall be allowed for the period of winding up in light of prevailing market conditions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pursuant to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hereunder.</w:t>
      </w:r>
    </w:p>
    <w:p>
      <w:pPr>
        <w:spacing w:after="0" w:line="179" w:lineRule="exact"/>
        <w:rPr>
          <w:rFonts w:ascii="Arial" w:cs="Arial" w:eastAsia="Arial" w:hAnsi="Arial"/>
          <w:sz w:val="17"/>
          <w:szCs w:val="17"/>
          <w:color w:val="auto"/>
        </w:rPr>
      </w:pPr>
    </w:p>
    <w:p>
      <w:pPr>
        <w:ind w:right="160" w:firstLine="656"/>
        <w:spacing w:after="0" w:line="264" w:lineRule="auto"/>
        <w:tabs>
          <w:tab w:leader="none" w:pos="1304"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Accounting</w:t>
      </w:r>
      <w:r>
        <w:rPr>
          <w:rFonts w:ascii="Arial" w:cs="Arial" w:eastAsia="Arial" w:hAnsi="Arial"/>
          <w:sz w:val="18"/>
          <w:szCs w:val="18"/>
          <w:color w:val="auto"/>
        </w:rPr>
        <w:t>. The Liquidating Trustee will then cause proper accounting to be made of the Capital Account of each Partner, including recognition of any unrealized gain or loss on any asset to be distributed in kind as if such asset had been sold for consideration equal to the fair market value of the asset at the time of the distribution.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Liquidating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7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 settling accounts after dissolution of the Partnership, the assets of the Partnership shall be paid to creditors of the Partnership and distributed to the Partners in the following order:</w:t>
      </w:r>
    </w:p>
    <w:p>
      <w:pPr>
        <w:spacing w:after="0" w:line="170" w:lineRule="exact"/>
        <w:rPr>
          <w:rFonts w:ascii="Arial" w:cs="Arial" w:eastAsia="Arial" w:hAnsi="Arial"/>
          <w:sz w:val="18"/>
          <w:szCs w:val="18"/>
          <w:color w:val="auto"/>
        </w:rPr>
      </w:pPr>
    </w:p>
    <w:p>
      <w:pPr>
        <w:ind w:right="60" w:firstLine="2601"/>
        <w:spacing w:after="0" w:line="259" w:lineRule="auto"/>
        <w:tabs>
          <w:tab w:leader="none" w:pos="326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distributed in such manner and at such times as the Liquidating Trustee, in its discretion, deems reasonably advisable;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Arial" w:cs="Arial" w:eastAsia="Arial" w:hAnsi="Arial"/>
          <w:sz w:val="17"/>
          <w:szCs w:val="17"/>
          <w:u w:val="single" w:color="auto"/>
          <w:color w:val="auto"/>
        </w:rPr>
        <w:t>Section 8.3(c)(ii)</w:t>
      </w:r>
      <w:r>
        <w:rPr>
          <w:rFonts w:ascii="Arial" w:cs="Arial" w:eastAsia="Arial" w:hAnsi="Arial"/>
          <w:sz w:val="17"/>
          <w:szCs w:val="17"/>
          <w:color w:val="auto"/>
        </w:rPr>
        <w:t>; and then</w:t>
      </w:r>
    </w:p>
    <w:p>
      <w:pPr>
        <w:spacing w:after="0" w:line="166" w:lineRule="exact"/>
        <w:rPr>
          <w:sz w:val="20"/>
          <w:szCs w:val="20"/>
          <w:color w:val="auto"/>
        </w:rPr>
      </w:pPr>
    </w:p>
    <w:p>
      <w:pPr>
        <w:ind w:left="3260" w:hanging="659"/>
        <w:spacing w:after="0"/>
        <w:tabs>
          <w:tab w:leader="none" w:pos="3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First, an amount equal to Initial Grant Date Partnership Capital, to the Class A Partners pro rata based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on the number of Class A Units held; and</w:t>
      </w:r>
    </w:p>
    <w:p>
      <w:pPr>
        <w:spacing w:after="0" w:line="211" w:lineRule="exact"/>
        <w:rPr>
          <w:sz w:val="20"/>
          <w:szCs w:val="20"/>
          <w:color w:val="auto"/>
        </w:rPr>
      </w:pPr>
    </w:p>
    <w:p>
      <w:pPr>
        <w:ind w:right="20" w:firstLine="2601"/>
        <w:spacing w:after="0" w:line="273" w:lineRule="auto"/>
        <w:tabs>
          <w:tab w:leader="none" w:pos="3248" w:val="left"/>
        </w:tabs>
        <w:numPr>
          <w:ilvl w:val="2"/>
          <w:numId w:val="270"/>
        </w:numPr>
        <w:rPr>
          <w:rFonts w:ascii="Arial" w:cs="Arial" w:eastAsia="Arial" w:hAnsi="Arial"/>
          <w:sz w:val="17"/>
          <w:szCs w:val="17"/>
          <w:color w:val="auto"/>
        </w:rPr>
      </w:pPr>
      <w:r>
        <w:rPr>
          <w:rFonts w:ascii="Arial" w:cs="Arial" w:eastAsia="Arial" w:hAnsi="Arial"/>
          <w:sz w:val="17"/>
          <w:szCs w:val="17"/>
          <w:color w:val="auto"/>
        </w:rPr>
        <w:t>Second, with respect to each Subsequent Grant Date (determined in order of Subsequent Grant Date), an amount equal to the difference, if any, between the Subsequent Grant Date Partnership Capital for such Subsequent Grant Date and the Subsequent Grant Date Capital for the immediately preceding Subsequent Grant Date or, if there is no previous Subsequent Grant Date, the Initial Grant Date Partnership Capital, to the Class A Partners and the Class B Partners, pro rata, based on the number of Class A Units held and the number of Earned Units and/or Vested Units held (to the extent of Class B Units held prior to the Subsequent Grant Date for which such determination is being made), assuming in the case of Earned Units and Vested Units, the conversion of such Units into Class A Units based on the Conversion Factor; and</w:t>
      </w:r>
    </w:p>
    <w:p>
      <w:pPr>
        <w:spacing w:after="0" w:line="178" w:lineRule="exact"/>
        <w:rPr>
          <w:rFonts w:ascii="Arial" w:cs="Arial" w:eastAsia="Arial" w:hAnsi="Arial"/>
          <w:sz w:val="17"/>
          <w:szCs w:val="17"/>
          <w:color w:val="auto"/>
        </w:rPr>
      </w:pPr>
    </w:p>
    <w:p>
      <w:pPr>
        <w:jc w:val="both"/>
        <w:ind w:right="20" w:firstLine="2601"/>
        <w:spacing w:after="0" w:line="264" w:lineRule="auto"/>
        <w:tabs>
          <w:tab w:leader="none" w:pos="3248"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Third, any remaining amounts, to the Class A Partners and the Class B Partners, pro rata, based on the number of Class A Units, Earned Units and/or Vested Units held, assuming in the case of Earned Units and Vested Units, the conversion of such Units into Class A Units based on the Conversion Factor.</w:t>
      </w:r>
    </w:p>
    <w:p>
      <w:pPr>
        <w:spacing w:after="0" w:line="181" w:lineRule="exact"/>
        <w:rPr>
          <w:rFonts w:ascii="Arial" w:cs="Arial" w:eastAsia="Arial" w:hAnsi="Arial"/>
          <w:sz w:val="18"/>
          <w:szCs w:val="18"/>
          <w:color w:val="auto"/>
        </w:rPr>
      </w:pPr>
    </w:p>
    <w:p>
      <w:pPr>
        <w:ind w:left="660" w:right="80" w:firstLine="645"/>
        <w:spacing w:after="0" w:line="297" w:lineRule="auto"/>
        <w:tabs>
          <w:tab w:leader="none" w:pos="198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Any distribution to the Partners in liquidation of the Partnership shall be made by the later of the end of the taxable year in which the liquidation occurs or 90 days after the date of such liquidation. For purposes of the preceding sentence, the term “liquidation”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spacing w:after="0" w:line="158" w:lineRule="exact"/>
        <w:rPr>
          <w:rFonts w:ascii="Arial" w:cs="Arial" w:eastAsia="Arial" w:hAnsi="Arial"/>
          <w:sz w:val="16"/>
          <w:szCs w:val="16"/>
          <w:color w:val="auto"/>
        </w:rPr>
      </w:pPr>
    </w:p>
    <w:p>
      <w:pPr>
        <w:jc w:val="both"/>
        <w:ind w:right="240" w:firstLine="656"/>
        <w:spacing w:after="0" w:line="302" w:lineRule="auto"/>
        <w:tabs>
          <w:tab w:leader="none" w:pos="130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Profits and Losses arising from the dissolution and termination of the Partnership shall be allocated among the Partners so that after such allocations and the other allocations under this Agreement, to the maximum extent possible, the final Capital Account balances of the Member are at levels which would permit liquidating distributions, if made in accordance with such final Capital Account balances, to be equal to the distributions to be made under </w:t>
      </w:r>
      <w:r>
        <w:rPr>
          <w:rFonts w:ascii="Arial" w:cs="Arial" w:eastAsia="Arial" w:hAnsi="Arial"/>
          <w:sz w:val="16"/>
          <w:szCs w:val="16"/>
          <w:u w:val="single" w:color="auto"/>
          <w:color w:val="auto"/>
        </w:rPr>
        <w:t>Section 8.3(c)(i)</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8.3(c)(i)</w:t>
      </w:r>
      <w:r>
        <w:rPr>
          <w:rFonts w:ascii="Arial" w:cs="Arial" w:eastAsia="Arial" w:hAnsi="Arial"/>
          <w:sz w:val="16"/>
          <w:szCs w:val="16"/>
          <w:color w:val="auto"/>
        </w:rPr>
        <w:t>, no distributions shall be made with respect to a Converted Class A Unit, an</w:t>
      </w:r>
    </w:p>
    <w:p>
      <w:pPr>
        <w:sectPr>
          <w:pgSz w:w="11900" w:h="16945" w:orient="portrait"/>
          <w:cols w:equalWidth="0" w:num="1">
            <w:col w:w="11420"/>
          </w:cols>
          <w:pgMar w:left="240" w:top="125" w:right="239" w:bottom="0" w:gutter="0" w:footer="0" w:header="0"/>
        </w:sectPr>
      </w:pPr>
    </w:p>
    <w:bookmarkStart w:id="107" w:name="page108"/>
    <w:bookmarkEnd w:id="107"/>
    <w:p>
      <w:pPr>
        <w:spacing w:after="0" w:line="9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Earned Unit or a Vested Unit that exceeds the Capital Account attributable to such Converted Class A Unit, Earned Unit or Vested Unit. Any amount not distributable to a Converted Class A Unit, Earned Unit or Vested Unit pursuant to the preceding sentence shall instead be distributed to the Class A Partners and Class B Partners, pro rata, based on the number of Class A Units, Earned Units and/or Vested Units held (to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extent not restricted by the preceding sentence), assuming in the case of Earned Units and Vested Units, the conversion of such Units into Class A Units based on the Conversion Factor.</w:t>
      </w:r>
    </w:p>
    <w:p>
      <w:pPr>
        <w:spacing w:after="0" w:line="170" w:lineRule="exact"/>
        <w:rPr>
          <w:sz w:val="20"/>
          <w:szCs w:val="20"/>
          <w:color w:val="auto"/>
        </w:rPr>
      </w:pPr>
    </w:p>
    <w:p>
      <w:pPr>
        <w:jc w:val="both"/>
        <w:ind w:right="60" w:firstLine="656"/>
        <w:spacing w:after="0" w:line="259" w:lineRule="auto"/>
        <w:tabs>
          <w:tab w:leader="none" w:pos="1307"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No Third Party Benefit</w:t>
      </w:r>
      <w:r>
        <w:rPr>
          <w:rFonts w:ascii="Arial" w:cs="Arial" w:eastAsia="Arial" w:hAnsi="Arial"/>
          <w:sz w:val="18"/>
          <w:szCs w:val="18"/>
          <w:color w:val="auto"/>
        </w:rPr>
        <w:t xml:space="preserve">. The provisions of this Agreement, including, without limitation, this </w:t>
      </w:r>
      <w:r>
        <w:rPr>
          <w:rFonts w:ascii="Arial" w:cs="Arial" w:eastAsia="Arial" w:hAnsi="Arial"/>
          <w:sz w:val="18"/>
          <w:szCs w:val="18"/>
          <w:u w:val="single" w:color="auto"/>
          <w:color w:val="auto"/>
        </w:rPr>
        <w:t>Section 8.3</w:t>
      </w:r>
      <w:r>
        <w:rPr>
          <w:rFonts w:ascii="Arial" w:cs="Arial" w:eastAsia="Arial" w:hAnsi="Arial"/>
          <w:sz w:val="18"/>
          <w:szCs w:val="18"/>
          <w:color w:val="auto"/>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Termination of the Partnership</w:t>
      </w:r>
    </w:p>
    <w:p>
      <w:pPr>
        <w:spacing w:after="0" w:line="22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and the Certificate shall have been canceled in the manner required by the Act.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No Action for Dissolution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Accordingly, except where the General Partner has failed to cause the liquidation of the Partnership as required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except as specifically provided in Section 17-802 of the Act, each Limited Partner hereby to the fullest extent permitted by law waives and renounces his right to initiate legal action to seek dissolution of the Partnership or to seek the appointment of a receiver or trustee to wind up the affairs of the Partnership, except in the cases of fraud, bad faith or willful misconduct.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ACCOUNTING; BOOKS AND RECORDS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Fiscal Year and Accounting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fiscal year and taxable year of the Partnership shall be the calendar year. The Partnership shall use an accrual method of accounting.</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Books and Records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Partnership shall maintain at its principal office, or such other office as may be determined by the General Partner, all the following:</w:t>
      </w:r>
    </w:p>
    <w:p>
      <w:pPr>
        <w:spacing w:after="0" w:line="237" w:lineRule="exact"/>
        <w:rPr>
          <w:sz w:val="20"/>
          <w:szCs w:val="20"/>
          <w:color w:val="auto"/>
        </w:rPr>
      </w:pPr>
    </w:p>
    <w:p>
      <w:pPr>
        <w:jc w:val="both"/>
        <w:ind w:firstLine="656"/>
        <w:spacing w:after="0" w:line="286" w:lineRule="auto"/>
        <w:tabs>
          <w:tab w:leader="none" w:pos="129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56"/>
        <w:spacing w:after="0" w:line="277" w:lineRule="auto"/>
        <w:tabs>
          <w:tab w:leader="none" w:pos="130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copies of the Partnership’s Federal, state, and local income tax or information returns and reports, if any, which shall be retained for at least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six fiscal years;</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financial statements of the Partnership;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Partnership’s books and records.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Delivery to Partners; Inspection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Upon the request of any Class A Partner, for any purpose reasonably related to such Partner’s interest as a partner of the Partnership, the General Partner shall cause to be made available to the requesting Partner the information required to be maintained by clauses (a) through (e)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such other information regarding the business and affairs and financial condition of the Partnership as any Class A Partner may reasonably request.</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Financial Statements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General Partner shall cause to be prepared for the Partners, at the Partnership’s expense, (a) annual financial statements of the Partnership, and its Subsidiaries, prepared in accordance with generally accepted accounting principles and audited by a nationally recognized accounting firm and (b) with respect to the first three quarters of the Partnership’s fiscal year, unaudited quarterly financial statements of the Partnership, and its Subsidiaries, prepared in accordance with generally accepted accounting principles (except that such financial statements may (i) be subject to normal year-end audit adjustments and</w:t>
      </w:r>
    </w:p>
    <w:p>
      <w:pPr>
        <w:spacing w:after="0" w:line="2" w:lineRule="exact"/>
        <w:rPr>
          <w:sz w:val="20"/>
          <w:szCs w:val="20"/>
          <w:color w:val="auto"/>
        </w:rPr>
      </w:pPr>
    </w:p>
    <w:p>
      <w:pPr>
        <w:ind w:right="60" w:firstLine="8"/>
        <w:spacing w:after="0" w:line="295" w:lineRule="auto"/>
        <w:tabs>
          <w:tab w:leader="none" w:pos="26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not contain all notes thereto that may be required under generally accepted accounting principles). The financial statements so furnished shall include the same monthly and quarterly financials, statements of cash flow, any available internal budgets or forecast or other available financial reports as are provided by the Partnership, or any of its Subsidiaries, to any financial institution. Notwithstanding the foregoing, the requirements of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will be deemed satisfied by furnishing to the Partners unaudited unconsolidated financial information of the Partnership presenting the Partnership’s investment in the MLP</w:t>
      </w:r>
    </w:p>
    <w:p>
      <w:pPr>
        <w:sectPr>
          <w:pgSz w:w="11900" w:h="16938" w:orient="portrait"/>
          <w:cols w:equalWidth="0" w:num="1">
            <w:col w:w="11400"/>
          </w:cols>
          <w:pgMar w:left="240" w:top="125" w:right="259" w:bottom="0" w:gutter="0" w:footer="0" w:header="0"/>
        </w:sectPr>
      </w:pPr>
    </w:p>
    <w:bookmarkStart w:id="108" w:name="page109"/>
    <w:bookmarkEnd w:id="108"/>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under the equity method of accounting in accordance with past practice (except that such financial statements shall not contain notes thereto that may be required under generally accepted accounting principles); </w:t>
      </w:r>
      <w:r>
        <w:rPr>
          <w:rFonts w:ascii="Arial" w:cs="Arial" w:eastAsia="Arial" w:hAnsi="Arial"/>
          <w:sz w:val="18"/>
          <w:szCs w:val="18"/>
          <w:i w:val="1"/>
          <w:iCs w:val="1"/>
          <w:color w:val="auto"/>
        </w:rPr>
        <w:t>provided</w:t>
      </w:r>
      <w:r>
        <w:rPr>
          <w:rFonts w:ascii="Arial" w:cs="Arial" w:eastAsia="Arial" w:hAnsi="Arial"/>
          <w:sz w:val="18"/>
          <w:szCs w:val="18"/>
          <w:color w:val="auto"/>
        </w:rPr>
        <w:t>, that the MLP also files with the Securities and Exchange Commission (A) unaudited interim financial information with respect to the first three quarters of each fiscal year and (B) audited annual financial information with respect to each fiscal year.</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Filings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Non-Disclosure</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Each Class A Partner (other than PAGP or the General Parter) agrees that, except as otherwise consented to by the General Partner in writing, all non-public and confidential information furnished to it pursuant to this Agreement will be kept confidential and will not be disclosed by such Partner, or by any of its agents, representatives, or employees, in any manner whatsoever (other than to the Partnership, another Partner or any Person designated by the Partnership),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and are apprised of the confidential nature of such information, (b) each Partner shall be permitted to disclose information to the extent 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prospective purchaser shall execute a suitable confidentiality agreement in a form approved by the General Partner and containing terms not less restrictive than the terms set forth herein, (d) each Partner shall be permitted to disclose information to the extent necessary for the enforcement of any right of such Partner arising under this Agreement and (e) each Partner shall be permitted to report to its shareholders, limited partners, members or other owners, as applicable, regarding the general status of its investment in the Partnership (without disclosing specific confidential information);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information shall not be deemed confidential information for purposes of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where such information (i) is already known to such Partner (or its Representatives), having been disclosed to such Partner (or its Representatives) by a third Person without such third Person having an obligation of confidentiality to the Partnership, (ii) is or becomes publicly known through no wrongful act of such Partner (or its Representatives), or (iii) is independently developed by such Partner (or its Representatives) without reference to any confidential information disclosed to such Partner under this Agreement. Each Partner shall be responsible for any breach of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by any of its Representatives.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Tax Elections</w:t>
      </w:r>
    </w:p>
    <w:p>
      <w:pPr>
        <w:spacing w:after="0" w:line="225" w:lineRule="exact"/>
        <w:rPr>
          <w:sz w:val="20"/>
          <w:szCs w:val="20"/>
          <w:color w:val="auto"/>
        </w:rPr>
      </w:pPr>
    </w:p>
    <w:p>
      <w:pPr>
        <w:ind w:firstLine="656"/>
        <w:spacing w:after="0" w:line="264" w:lineRule="auto"/>
        <w:tabs>
          <w:tab w:leader="none" w:pos="129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spacing w:after="0" w:line="181" w:lineRule="exact"/>
        <w:rPr>
          <w:rFonts w:ascii="Arial" w:cs="Arial" w:eastAsia="Arial" w:hAnsi="Arial"/>
          <w:sz w:val="18"/>
          <w:szCs w:val="18"/>
          <w:color w:val="auto"/>
        </w:rPr>
      </w:pPr>
    </w:p>
    <w:p>
      <w:pPr>
        <w:ind w:right="480" w:firstLine="656"/>
        <w:spacing w:after="0" w:line="277" w:lineRule="auto"/>
        <w:tabs>
          <w:tab w:leader="none" w:pos="130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Partnership shall elect to deduct expenses incurred in organizing the Partnership ratably over a sixty-month period as provided in Section 709 of the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firstLine="656"/>
        <w:spacing w:after="0" w:line="277" w:lineRule="auto"/>
        <w:tabs>
          <w:tab w:leader="none" w:pos="130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as otherwise provided herein, the General Partner shall determine whether the Partnership should make any other elections permitted by the Code.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NON-COMPETITION</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Non-Competition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Each of the Class A Partners (other than PAGP or the General Partner) hereby acknowledges that the Partnership and the MLP operate in a competitive business and compete with other Persons operating in the midstream segment of the oil and gas industry for acquisition and business opportunities. Each of the Limited Partners agrees that during the period that it is a Limited Partner, it shall not, directly or indirectly, use any of the confidential information it receives as a Limited Partner to (a) compete with, or (b) engage in or become interested financially in as a principal, employee, partner, shareholder, agent, manager, owner, advisor, lender, guarantor of any Person that competes in North America with, the business conducted by the General Partner, the Partnership, PAA GP and the MLP;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when a Limited Partner engages in such activities, there shall be no presumption of misuse of such confidential information solely because a Representative of such Limited Partner may retain a mental impression of any such confidential information. The Partnership and each of the Limited Partners also agree and acknowledge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 Investments</w:t>
      </w:r>
      <w:r>
        <w:rPr>
          <w:rFonts w:ascii="Arial" w:cs="Arial" w:eastAsia="Arial" w:hAnsi="Arial"/>
          <w:sz w:val="16"/>
          <w:szCs w:val="16"/>
          <w:color w:val="auto"/>
        </w:rPr>
        <w:t>”) and that Kayne Anderson and EMG may make Institutional Investments, even if such Institutional Investments are competitive with the Partnership’s and its Subsidiaries’ business; (ii) Oxy Holding Company (Pipeline), Inc. (“</w:t>
      </w:r>
      <w:r>
        <w:rPr>
          <w:rFonts w:ascii="Arial" w:cs="Arial" w:eastAsia="Arial" w:hAnsi="Arial"/>
          <w:sz w:val="16"/>
          <w:szCs w:val="16"/>
          <w:b w:val="1"/>
          <w:bCs w:val="1"/>
          <w:i w:val="1"/>
          <w:iCs w:val="1"/>
          <w:color w:val="auto"/>
        </w:rPr>
        <w:t>Oxy</w:t>
      </w:r>
      <w:r>
        <w:rPr>
          <w:rFonts w:ascii="Arial" w:cs="Arial" w:eastAsia="Arial" w:hAnsi="Arial"/>
          <w:sz w:val="16"/>
          <w:szCs w:val="16"/>
          <w:color w:val="auto"/>
        </w:rPr>
        <w:t>”) and its Affiliates engage in business that includes activities and business or strategic interests or investments that are related to, complement or compete with the businesses of the Partnership and its Subsidiaries and that Oxy and its Affiliates may engage in such activities or business; and (iii) Kayne Anderson, EMG, Oxy and their Affiliates (A) shall not be prohibited, by virtue of its status as a Partner, from pursuing or engaging in such Institutional Investments described</w:t>
      </w:r>
    </w:p>
    <w:p>
      <w:pPr>
        <w:sectPr>
          <w:pgSz w:w="11900" w:h="16927" w:orient="portrait"/>
          <w:cols w:equalWidth="0" w:num="1">
            <w:col w:w="11400"/>
          </w:cols>
          <w:pgMar w:left="240" w:top="125" w:right="259" w:bottom="0" w:gutter="0" w:footer="0" w:header="0"/>
        </w:sectPr>
      </w:pPr>
    </w:p>
    <w:bookmarkStart w:id="109" w:name="page110"/>
    <w:bookmarkEnd w:id="109"/>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clause (i) above or activities or interests described in clause (ii) above, as applicable; (B) shall not be obligated, or have a duty, to inform or present to the Partnership or any of its Subsidiaries, of any opportunity, relationship or investment (and no other Partner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any duty (if any), whether express or implied by law, to, the Partnership or its Affiliates or any other Partner by reason of such Partner’s (or any of its Representative’s or equity holder’s) involvement in such activities or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such Institutional Investments, activities or interests are not in violation of the provisions of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or the second sentence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Each of the Limited Partners confirms that the restrictions and limitations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are reasonable and valid and all defenses to the strict enforcement thereof are hereby waived by each of the Limited Partners.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Damages</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that the Partnership shall be entitled to seek injunctive relief with respect to any such breach in lieu of or in addition to any recourse in damages without the posting of a bond or other security.</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Limitations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In the event that a court of competent jurisdiction decides that the limitations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Waiver of Default</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Amendment of Partnership Agreement</w:t>
      </w:r>
    </w:p>
    <w:p>
      <w:pPr>
        <w:spacing w:after="0" w:line="225" w:lineRule="exact"/>
        <w:rPr>
          <w:sz w:val="20"/>
          <w:szCs w:val="20"/>
          <w:color w:val="auto"/>
        </w:rPr>
      </w:pPr>
    </w:p>
    <w:p>
      <w:pPr>
        <w:ind w:firstLine="656"/>
        <w:spacing w:after="0" w:line="289" w:lineRule="auto"/>
        <w:tabs>
          <w:tab w:leader="none" w:pos="129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elsewhere in this Agreement, this Agreement shall not be amended, modified, superseded or restated except by an amendment approved by the General Partner;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no amendment to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that materially adversely affects any right thereunder shall be effective with respect to any Partner without the prior written consent of such Partner; and (ii) no amendment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that adversely affects the rights of, or imposes any significant additional restriction or obligation on, a Selling Partner thereunder shall be effective without the prior written consent of holders of at least two-thirds of the outstanding Class A Units (excluding any Class A Units owned by PAGP or any of its Affiliates). Notwithstanding any other provisions of this Agreement to the contrary, no change to the one-to-one exchange ratio provided for as part of the Exchange right under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or to the consideration distributable in connection with a Redemption under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will be made prior to a date that is 30 days after all requisite approval to make such change has been obtained. Without limiting the generality of the foregoing, and except as otherwise set forth in this </w:t>
      </w:r>
      <w:r>
        <w:rPr>
          <w:rFonts w:ascii="Arial" w:cs="Arial" w:eastAsia="Arial" w:hAnsi="Arial"/>
          <w:sz w:val="16"/>
          <w:szCs w:val="16"/>
          <w:u w:val="single" w:color="auto"/>
          <w:color w:val="auto"/>
        </w:rPr>
        <w:t>Section 11.2(a)</w:t>
      </w:r>
      <w:r>
        <w:rPr>
          <w:rFonts w:ascii="Arial" w:cs="Arial" w:eastAsia="Arial" w:hAnsi="Arial"/>
          <w:sz w:val="16"/>
          <w:szCs w:val="16"/>
          <w:color w:val="auto"/>
        </w:rPr>
        <w:t>, this Agreement may be amended without the consent or approval of any Limited Partner, including any Class B Partner.</w:t>
      </w:r>
    </w:p>
    <w:p>
      <w:pPr>
        <w:spacing w:after="0" w:line="166" w:lineRule="exact"/>
        <w:rPr>
          <w:rFonts w:ascii="Arial" w:cs="Arial" w:eastAsia="Arial" w:hAnsi="Arial"/>
          <w:sz w:val="16"/>
          <w:szCs w:val="16"/>
          <w:color w:val="auto"/>
        </w:rPr>
      </w:pPr>
    </w:p>
    <w:p>
      <w:pPr>
        <w:ind w:right="60" w:firstLine="656"/>
        <w:spacing w:after="0" w:line="277" w:lineRule="auto"/>
        <w:tabs>
          <w:tab w:leader="none" w:pos="130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General Partner may make any amendments to any of the Schedules to this Agreement from time to time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reflect transfers of Partnership Interests and issuances of additional Partnership Interests. Copies of such amendments shall be delivered to the Partners promptly upon execution thereof.</w:t>
      </w:r>
    </w:p>
    <w:p>
      <w:pPr>
        <w:spacing w:after="0" w:line="170" w:lineRule="exact"/>
        <w:rPr>
          <w:sz w:val="20"/>
          <w:szCs w:val="20"/>
          <w:color w:val="auto"/>
        </w:rPr>
      </w:pPr>
    </w:p>
    <w:p>
      <w:pPr>
        <w:ind w:right="80" w:firstLine="656"/>
        <w:spacing w:after="0" w:line="277" w:lineRule="auto"/>
        <w:tabs>
          <w:tab w:leader="none" w:pos="130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General Partner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be binding on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No Third Party Rights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none of the provisions contained in this Agreement shall be for the benefit of or enforceable by any third parties, including creditors of the Partnership.</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Severability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Nature of Interest in the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Partner’s Partnership Interest shall be personal property for all purposes.</w:t>
      </w:r>
    </w:p>
    <w:p>
      <w:pPr>
        <w:sectPr>
          <w:pgSz w:w="11900" w:h="16874" w:orient="portrait"/>
          <w:cols w:equalWidth="0" w:num="1">
            <w:col w:w="11400"/>
          </w:cols>
          <w:pgMar w:left="240" w:top="125" w:right="259" w:bottom="0" w:gutter="0" w:footer="0" w:header="0"/>
        </w:sectPr>
      </w:pPr>
    </w:p>
    <w:bookmarkStart w:id="110" w:name="page111"/>
    <w:bookmarkEnd w:id="110"/>
    <w:p>
      <w:pPr>
        <w:spacing w:after="0"/>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Binding Agreement</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headings of the sections of this Agreement are for convenience only and shall not be considered in construing or interpreting any of the terms or provisions hereof.</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Word Meanings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vice-versa.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Agreement may be executed in several counterparts, all of which together shall constitute one agreement binding on all parties hereto, notwithstanding that all the parties have not signed the same counterpart.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Agreement contains the entire agreement between the parties hereto and thereto and supersedes all prior writings or agreements with respect to the subject matter hereof.</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Partition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Governing Law; Consent to Jurisdiction and Venue</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Special 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first delivering at least 30 days’ advance notice to any Existing Owners that own Class A Units at such time, the Partnership shall not:</w:t>
      </w:r>
    </w:p>
    <w:p>
      <w:pPr>
        <w:spacing w:after="0" w:line="35" w:lineRule="exact"/>
        <w:rPr>
          <w:sz w:val="20"/>
          <w:szCs w:val="20"/>
          <w:color w:val="auto"/>
        </w:rPr>
      </w:pPr>
    </w:p>
    <w:p>
      <w:pPr>
        <w:ind w:right="20" w:firstLine="8"/>
        <w:spacing w:after="0" w:line="287" w:lineRule="auto"/>
        <w:tabs>
          <w:tab w:leader="none" w:pos="24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permit or cause the MLP or any of its Subsidiaries to enter into any material agreement or transaction with PAGP or any of its Subsidiaries (other than any member of the MLP Group), which agreement or transaction adversely affects such Existing Owners, including without limitation any such agreement or transaction that involves the issuance to PAGP or any of its Subsidiaries of any securities of the MLP or any of its Subsidiaries, including any debt security of or any partnership or other equity interest in, the MLP or any of its Subsidiaries, or any securities convertible into or exchangeable for any such partnership or other equity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notice shall be required in connection with (i) any agreement or transaction between the Partnership and the MLP or any of its Subsidiaries, including the issuance to the Partnership of any securities of the MLP or any of its Subsidiaries, including any debt security of or any partnership or other equity interest in, the MLP or any of its Subsidiaries, or any securities convertible into or exchangeable for any such partnership or other equity interest or (ii) any agreements or transactions contemplated by the Registration Statement, this Agreement, the Contribution Agreement, the Administrative Agreement or the Omnibus Agreement, (b) issue any Partnership Interests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PAGP or its Subsidiaries, Affiliates or shareholders, or (c) make any election to being treated as a corporation for U.S. federal income tax purposes.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General Partner has executed this Agreement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GP LLC</w:t>
      </w:r>
    </w:p>
    <w:p>
      <w:pPr>
        <w:sectPr>
          <w:pgSz w:w="11900" w:h="16838" w:orient="portrait"/>
          <w:cols w:equalWidth="0" w:num="1">
            <w:col w:w="11420"/>
          </w:cols>
          <w:pgMar w:left="240" w:top="341" w:right="239" w:bottom="0" w:gutter="0" w:footer="0" w:header="0"/>
        </w:sectPr>
      </w:pPr>
    </w:p>
    <w:bookmarkStart w:id="111" w:name="page112"/>
    <w:bookmarkEnd w:id="111"/>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FOR EIGHTH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INITIAL HOLDERS NAMED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04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280" w:type="dxa"/>
            <w:vAlign w:val="bottom"/>
            <w:gridSpan w:val="2"/>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240" w:type="dxa"/>
            <w:vAlign w:val="bottom"/>
          </w:tcPr>
          <w:p>
            <w:pPr>
              <w:spacing w:after="0"/>
              <w:rPr>
                <w:sz w:val="20"/>
                <w:szCs w:val="20"/>
                <w:color w:val="auto"/>
              </w:rPr>
            </w:pPr>
            <w:r>
              <w:rPr>
                <w:rFonts w:ascii="Arial" w:cs="Arial" w:eastAsia="Arial" w:hAnsi="Arial"/>
                <w:sz w:val="18"/>
                <w:szCs w:val="18"/>
                <w:color w:val="auto"/>
              </w:rPr>
              <w:t>Section 1.01</w:t>
            </w:r>
          </w:p>
        </w:tc>
        <w:tc>
          <w:tcPr>
            <w:tcW w:w="904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1.02</w:t>
            </w:r>
          </w:p>
        </w:tc>
        <w:tc>
          <w:tcPr>
            <w:tcW w:w="9040" w:type="dxa"/>
            <w:vAlign w:val="bottom"/>
          </w:tcPr>
          <w:p>
            <w:pPr>
              <w:ind w:left="320"/>
              <w:spacing w:after="0"/>
              <w:rPr>
                <w:sz w:val="20"/>
                <w:szCs w:val="20"/>
                <w:color w:val="auto"/>
              </w:rPr>
            </w:pPr>
            <w:r>
              <w:rPr>
                <w:rFonts w:ascii="Arial" w:cs="Arial" w:eastAsia="Arial" w:hAnsi="Arial"/>
                <w:sz w:val="18"/>
                <w:szCs w:val="18"/>
                <w:color w:val="auto"/>
              </w:rPr>
              <w:t>Registrable Securities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9040" w:type="dxa"/>
            <w:vAlign w:val="bottom"/>
          </w:tcPr>
          <w:p>
            <w:pPr>
              <w:ind w:left="320"/>
              <w:spacing w:after="0"/>
              <w:rPr>
                <w:sz w:val="20"/>
                <w:szCs w:val="20"/>
                <w:color w:val="auto"/>
              </w:rPr>
            </w:pPr>
            <w:r>
              <w:rPr>
                <w:rFonts w:ascii="Arial" w:cs="Arial" w:eastAsia="Arial" w:hAnsi="Arial"/>
                <w:sz w:val="18"/>
                <w:szCs w:val="18"/>
                <w:color w:val="auto"/>
              </w:rPr>
              <w:t>Shelf Registration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9040" w:type="dxa"/>
            <w:vAlign w:val="bottom"/>
          </w:tcPr>
          <w:p>
            <w:pPr>
              <w:ind w:left="320"/>
              <w:spacing w:after="0"/>
              <w:rPr>
                <w:sz w:val="20"/>
                <w:szCs w:val="20"/>
                <w:color w:val="auto"/>
              </w:rPr>
            </w:pPr>
            <w:r>
              <w:rPr>
                <w:rFonts w:ascii="Arial" w:cs="Arial" w:eastAsia="Arial" w:hAnsi="Arial"/>
                <w:sz w:val="18"/>
                <w:szCs w:val="18"/>
                <w:color w:val="auto"/>
              </w:rPr>
              <w:t>Piggyback Registration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9040" w:type="dxa"/>
            <w:vAlign w:val="bottom"/>
          </w:tcPr>
          <w:p>
            <w:pPr>
              <w:ind w:left="320"/>
              <w:spacing w:after="0"/>
              <w:rPr>
                <w:sz w:val="20"/>
                <w:szCs w:val="20"/>
                <w:color w:val="auto"/>
              </w:rPr>
            </w:pPr>
            <w:r>
              <w:rPr>
                <w:rFonts w:ascii="Arial" w:cs="Arial" w:eastAsia="Arial" w:hAnsi="Arial"/>
                <w:sz w:val="18"/>
                <w:szCs w:val="18"/>
                <w:color w:val="auto"/>
              </w:rPr>
              <w:t>Underwritten Offering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9040" w:type="dxa"/>
            <w:vAlign w:val="bottom"/>
          </w:tcPr>
          <w:p>
            <w:pPr>
              <w:ind w:left="320"/>
              <w:spacing w:after="0"/>
              <w:rPr>
                <w:sz w:val="20"/>
                <w:szCs w:val="20"/>
                <w:color w:val="auto"/>
              </w:rPr>
            </w:pPr>
            <w:r>
              <w:rPr>
                <w:rFonts w:ascii="Arial" w:cs="Arial" w:eastAsia="Arial" w:hAnsi="Arial"/>
                <w:sz w:val="18"/>
                <w:szCs w:val="18"/>
                <w:color w:val="auto"/>
              </w:rPr>
              <w:t>Further Obligations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9040" w:type="dxa"/>
            <w:vAlign w:val="bottom"/>
          </w:tcPr>
          <w:p>
            <w:pPr>
              <w:ind w:left="320"/>
              <w:spacing w:after="0"/>
              <w:rPr>
                <w:sz w:val="20"/>
                <w:szCs w:val="20"/>
                <w:color w:val="auto"/>
              </w:rPr>
            </w:pPr>
            <w:r>
              <w:rPr>
                <w:rFonts w:ascii="Arial" w:cs="Arial" w:eastAsia="Arial" w:hAnsi="Arial"/>
                <w:sz w:val="18"/>
                <w:szCs w:val="18"/>
                <w:color w:val="auto"/>
              </w:rPr>
              <w:t>Cooperation by Holders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9040" w:type="dxa"/>
            <w:vAlign w:val="bottom"/>
          </w:tcPr>
          <w:p>
            <w:pPr>
              <w:ind w:left="320"/>
              <w:spacing w:after="0"/>
              <w:rPr>
                <w:sz w:val="20"/>
                <w:szCs w:val="20"/>
                <w:color w:val="auto"/>
              </w:rPr>
            </w:pPr>
            <w:r>
              <w:rPr>
                <w:rFonts w:ascii="Arial" w:cs="Arial" w:eastAsia="Arial" w:hAnsi="Arial"/>
                <w:sz w:val="18"/>
                <w:szCs w:val="18"/>
                <w:color w:val="auto"/>
              </w:rPr>
              <w:t>Restrictions on Public Sale by Holders of Registrable Securities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9040" w:type="dxa"/>
            <w:vAlign w:val="bottom"/>
          </w:tcPr>
          <w:p>
            <w:pPr>
              <w:ind w:left="320"/>
              <w:spacing w:after="0"/>
              <w:rPr>
                <w:sz w:val="20"/>
                <w:szCs w:val="20"/>
                <w:color w:val="auto"/>
              </w:rPr>
            </w:pPr>
            <w:r>
              <w:rPr>
                <w:rFonts w:ascii="Arial" w:cs="Arial" w:eastAsia="Arial" w:hAnsi="Arial"/>
                <w:sz w:val="18"/>
                <w:szCs w:val="18"/>
                <w:color w:val="auto"/>
              </w:rPr>
              <w:t>Expenses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2.08</w:t>
            </w:r>
          </w:p>
        </w:tc>
        <w:tc>
          <w:tcPr>
            <w:tcW w:w="904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2.09</w:t>
            </w:r>
          </w:p>
        </w:tc>
        <w:tc>
          <w:tcPr>
            <w:tcW w:w="9040" w:type="dxa"/>
            <w:vAlign w:val="bottom"/>
          </w:tcPr>
          <w:p>
            <w:pPr>
              <w:ind w:left="320"/>
              <w:spacing w:after="0"/>
              <w:rPr>
                <w:sz w:val="20"/>
                <w:szCs w:val="20"/>
                <w:color w:val="auto"/>
              </w:rPr>
            </w:pPr>
            <w:r>
              <w:rPr>
                <w:rFonts w:ascii="Arial" w:cs="Arial" w:eastAsia="Arial" w:hAnsi="Arial"/>
                <w:sz w:val="18"/>
                <w:szCs w:val="18"/>
                <w:color w:val="auto"/>
              </w:rPr>
              <w:t>Rule 144 Reporting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2.10</w:t>
            </w:r>
          </w:p>
        </w:tc>
        <w:tc>
          <w:tcPr>
            <w:tcW w:w="9040" w:type="dxa"/>
            <w:vAlign w:val="bottom"/>
          </w:tcPr>
          <w:p>
            <w:pPr>
              <w:ind w:left="320"/>
              <w:spacing w:after="0"/>
              <w:rPr>
                <w:sz w:val="20"/>
                <w:szCs w:val="20"/>
                <w:color w:val="auto"/>
              </w:rPr>
            </w:pPr>
            <w:r>
              <w:rPr>
                <w:rFonts w:ascii="Arial" w:cs="Arial" w:eastAsia="Arial" w:hAnsi="Arial"/>
                <w:sz w:val="18"/>
                <w:szCs w:val="18"/>
                <w:color w:val="auto"/>
              </w:rPr>
              <w:t>Transfer or Assignment of Registration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2.11</w:t>
            </w:r>
          </w:p>
        </w:tc>
        <w:tc>
          <w:tcPr>
            <w:tcW w:w="9040" w:type="dxa"/>
            <w:vAlign w:val="bottom"/>
          </w:tcPr>
          <w:p>
            <w:pPr>
              <w:ind w:left="320"/>
              <w:spacing w:after="0"/>
              <w:rPr>
                <w:sz w:val="20"/>
                <w:szCs w:val="20"/>
                <w:color w:val="auto"/>
              </w:rPr>
            </w:pPr>
            <w:r>
              <w:rPr>
                <w:rFonts w:ascii="Arial" w:cs="Arial" w:eastAsia="Arial" w:hAnsi="Arial"/>
                <w:sz w:val="18"/>
                <w:szCs w:val="18"/>
                <w:color w:val="auto"/>
              </w:rPr>
              <w:t>Limitation on Subsequent Registration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9040" w:type="dxa"/>
            <w:vAlign w:val="bottom"/>
          </w:tcPr>
          <w:p>
            <w:pPr>
              <w:ind w:left="320"/>
              <w:spacing w:after="0"/>
              <w:rPr>
                <w:sz w:val="20"/>
                <w:szCs w:val="20"/>
                <w:color w:val="auto"/>
              </w:rPr>
            </w:pPr>
            <w:r>
              <w:rPr>
                <w:rFonts w:ascii="Arial" w:cs="Arial" w:eastAsia="Arial" w:hAnsi="Arial"/>
                <w:sz w:val="18"/>
                <w:szCs w:val="18"/>
                <w:color w:val="auto"/>
              </w:rPr>
              <w:t>Communications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9040" w:type="dxa"/>
            <w:vAlign w:val="bottom"/>
          </w:tcPr>
          <w:p>
            <w:pPr>
              <w:ind w:left="320"/>
              <w:spacing w:after="0"/>
              <w:rPr>
                <w:sz w:val="20"/>
                <w:szCs w:val="20"/>
                <w:color w:val="auto"/>
              </w:rPr>
            </w:pPr>
            <w:r>
              <w:rPr>
                <w:rFonts w:ascii="Arial" w:cs="Arial" w:eastAsia="Arial" w:hAnsi="Arial"/>
                <w:sz w:val="18"/>
                <w:szCs w:val="18"/>
                <w:color w:val="auto"/>
              </w:rPr>
              <w:t>Binding Effect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3.03</w:t>
            </w:r>
          </w:p>
        </w:tc>
        <w:tc>
          <w:tcPr>
            <w:tcW w:w="9040" w:type="dxa"/>
            <w:vAlign w:val="bottom"/>
          </w:tcPr>
          <w:p>
            <w:pPr>
              <w:ind w:left="320"/>
              <w:spacing w:after="0"/>
              <w:rPr>
                <w:sz w:val="20"/>
                <w:szCs w:val="20"/>
                <w:color w:val="auto"/>
              </w:rPr>
            </w:pPr>
            <w:r>
              <w:rPr>
                <w:rFonts w:ascii="Arial" w:cs="Arial" w:eastAsia="Arial" w:hAnsi="Arial"/>
                <w:sz w:val="18"/>
                <w:szCs w:val="18"/>
                <w:color w:val="auto"/>
              </w:rPr>
              <w:t>Assignment of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3.04</w:t>
            </w:r>
          </w:p>
        </w:tc>
        <w:tc>
          <w:tcPr>
            <w:tcW w:w="9040" w:type="dxa"/>
            <w:vAlign w:val="bottom"/>
          </w:tcPr>
          <w:p>
            <w:pPr>
              <w:ind w:left="320"/>
              <w:spacing w:after="0"/>
              <w:rPr>
                <w:sz w:val="20"/>
                <w:szCs w:val="20"/>
                <w:color w:val="auto"/>
              </w:rPr>
            </w:pPr>
            <w:r>
              <w:rPr>
                <w:rFonts w:ascii="Arial" w:cs="Arial" w:eastAsia="Arial" w:hAnsi="Arial"/>
                <w:sz w:val="18"/>
                <w:szCs w:val="18"/>
                <w:color w:val="auto"/>
              </w:rPr>
              <w:t>Recapitalization, Exchanges, Etc.</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3.05</w:t>
            </w:r>
          </w:p>
        </w:tc>
        <w:tc>
          <w:tcPr>
            <w:tcW w:w="9040" w:type="dxa"/>
            <w:vAlign w:val="bottom"/>
          </w:tcPr>
          <w:p>
            <w:pPr>
              <w:ind w:left="320"/>
              <w:spacing w:after="0"/>
              <w:rPr>
                <w:sz w:val="20"/>
                <w:szCs w:val="20"/>
                <w:color w:val="auto"/>
              </w:rPr>
            </w:pPr>
            <w:r>
              <w:rPr>
                <w:rFonts w:ascii="Arial" w:cs="Arial" w:eastAsia="Arial" w:hAnsi="Arial"/>
                <w:sz w:val="18"/>
                <w:szCs w:val="18"/>
                <w:color w:val="auto"/>
              </w:rPr>
              <w:t>Aggregation of Registrable Securities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3.06</w:t>
            </w:r>
          </w:p>
        </w:tc>
        <w:tc>
          <w:tcPr>
            <w:tcW w:w="904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3.07</w:t>
            </w:r>
          </w:p>
        </w:tc>
        <w:tc>
          <w:tcPr>
            <w:tcW w:w="904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3.08</w:t>
            </w:r>
          </w:p>
        </w:tc>
        <w:tc>
          <w:tcPr>
            <w:tcW w:w="9040" w:type="dxa"/>
            <w:vAlign w:val="bottom"/>
          </w:tcPr>
          <w:p>
            <w:pPr>
              <w:ind w:left="320"/>
              <w:spacing w:after="0"/>
              <w:rPr>
                <w:sz w:val="20"/>
                <w:szCs w:val="20"/>
                <w:color w:val="auto"/>
              </w:rPr>
            </w:pPr>
            <w:r>
              <w:rPr>
                <w:rFonts w:ascii="Arial" w:cs="Arial" w:eastAsia="Arial" w:hAnsi="Arial"/>
                <w:sz w:val="18"/>
                <w:szCs w:val="18"/>
                <w:color w:val="auto"/>
              </w:rPr>
              <w:t>Governing Law, Submission to Jurisdiction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3.09</w:t>
            </w:r>
          </w:p>
        </w:tc>
        <w:tc>
          <w:tcPr>
            <w:tcW w:w="904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3.10</w:t>
            </w:r>
          </w:p>
        </w:tc>
        <w:tc>
          <w:tcPr>
            <w:tcW w:w="904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3.11</w:t>
            </w:r>
          </w:p>
        </w:tc>
        <w:tc>
          <w:tcPr>
            <w:tcW w:w="9040" w:type="dxa"/>
            <w:vAlign w:val="bottom"/>
          </w:tcPr>
          <w:p>
            <w:pPr>
              <w:ind w:left="320"/>
              <w:spacing w:after="0"/>
              <w:rPr>
                <w:sz w:val="20"/>
                <w:szCs w:val="20"/>
                <w:color w:val="auto"/>
              </w:rPr>
            </w:pPr>
            <w:r>
              <w:rPr>
                <w:rFonts w:ascii="Arial" w:cs="Arial" w:eastAsia="Arial" w:hAnsi="Arial"/>
                <w:sz w:val="18"/>
                <w:szCs w:val="18"/>
                <w:color w:val="auto"/>
              </w:rPr>
              <w:t>Amendment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3.12</w:t>
            </w:r>
          </w:p>
        </w:tc>
        <w:tc>
          <w:tcPr>
            <w:tcW w:w="9040" w:type="dxa"/>
            <w:vAlign w:val="bottom"/>
          </w:tcPr>
          <w:p>
            <w:pPr>
              <w:ind w:left="320"/>
              <w:spacing w:after="0"/>
              <w:rPr>
                <w:sz w:val="20"/>
                <w:szCs w:val="20"/>
                <w:color w:val="auto"/>
              </w:rPr>
            </w:pPr>
            <w:r>
              <w:rPr>
                <w:rFonts w:ascii="Arial" w:cs="Arial" w:eastAsia="Arial" w:hAnsi="Arial"/>
                <w:sz w:val="18"/>
                <w:szCs w:val="18"/>
                <w:color w:val="auto"/>
              </w:rPr>
              <w:t>No Presumption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3.13</w:t>
            </w:r>
          </w:p>
        </w:tc>
        <w:tc>
          <w:tcPr>
            <w:tcW w:w="9040" w:type="dxa"/>
            <w:vAlign w:val="bottom"/>
          </w:tcPr>
          <w:p>
            <w:pPr>
              <w:ind w:left="320"/>
              <w:spacing w:after="0"/>
              <w:rPr>
                <w:sz w:val="20"/>
                <w:szCs w:val="20"/>
                <w:color w:val="auto"/>
              </w:rPr>
            </w:pPr>
            <w:r>
              <w:rPr>
                <w:rFonts w:ascii="Arial" w:cs="Arial" w:eastAsia="Arial" w:hAnsi="Arial"/>
                <w:sz w:val="18"/>
                <w:szCs w:val="18"/>
                <w:color w:val="auto"/>
              </w:rPr>
              <w:t>Obligations Limited to Parties to Agreement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3.14</w:t>
            </w:r>
          </w:p>
        </w:tc>
        <w:tc>
          <w:tcPr>
            <w:tcW w:w="904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SCHEDULE A — Purchaser Name; Notice and Contact Information</w:t>
      </w:r>
    </w:p>
    <w:p>
      <w:pPr>
        <w:sectPr>
          <w:pgSz w:w="11900" w:h="16838" w:orient="portrait"/>
          <w:cols w:equalWidth="0" w:num="1">
            <w:col w:w="11420"/>
          </w:cols>
          <w:pgMar w:left="240" w:top="557" w:right="239" w:bottom="0" w:gutter="0" w:footer="0" w:header="0"/>
        </w:sectPr>
      </w:pPr>
    </w:p>
    <w:bookmarkStart w:id="112" w:name="page113"/>
    <w:bookmarkEnd w:id="112"/>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B — Initial Management Holder Name; Notice and Contact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dated as of [·], 2016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entered into by and among </w:t>
      </w:r>
      <w:r>
        <w:rPr>
          <w:rFonts w:ascii="Arial" w:cs="Arial" w:eastAsia="Arial" w:hAnsi="Arial"/>
          <w:sz w:val="18"/>
          <w:szCs w:val="18"/>
          <w:b w:val="1"/>
          <w:bCs w:val="1"/>
          <w:color w:val="auto"/>
        </w:rPr>
        <w:t>PLAINS ALL</w:t>
      </w:r>
      <w:r>
        <w:rPr>
          <w:rFonts w:ascii="Arial" w:cs="Arial" w:eastAsia="Arial" w:hAnsi="Arial"/>
          <w:sz w:val="18"/>
          <w:szCs w:val="18"/>
          <w:color w:val="auto"/>
        </w:rPr>
        <w:t xml:space="preserve"> </w:t>
      </w:r>
      <w:r>
        <w:rPr>
          <w:rFonts w:ascii="Arial" w:cs="Arial" w:eastAsia="Arial" w:hAnsi="Arial"/>
          <w:sz w:val="18"/>
          <w:szCs w:val="18"/>
          <w:b w:val="1"/>
          <w:bCs w:val="1"/>
          <w:color w:val="auto"/>
        </w:rPr>
        <w:t>AMERICAN PIPELINE, L.P.</w:t>
      </w:r>
      <w:r>
        <w:rPr>
          <w:rFonts w:ascii="Arial" w:cs="Arial" w:eastAsia="Arial" w:hAnsi="Arial"/>
          <w:sz w:val="18"/>
          <w:szCs w:val="18"/>
          <w:color w:val="auto"/>
        </w:rPr>
        <w:t>, a Delaware limited partnership (the “</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and each of the Persons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u w:val="single" w:color="auto"/>
          <w:color w:val="auto"/>
        </w:rPr>
        <w:t>Initial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w:t>
      </w:r>
    </w:p>
    <w:p>
      <w:pPr>
        <w:spacing w:after="0" w:line="1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WHEREAS, this Agreement is made in connection with the closing of the transactions contemplated by the Simplification Agreement dated as of July 11, 2016 (the date of such closing,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by and among PAA GP Holdings LLC, a Delaware limited partnership, Plains GP Holdings, L.P., a Delaware limited partnership,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PAA GP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and the Partnership (the “</w:t>
      </w:r>
      <w:r>
        <w:rPr>
          <w:rFonts w:ascii="Arial" w:cs="Arial" w:eastAsia="Arial" w:hAnsi="Arial"/>
          <w:sz w:val="18"/>
          <w:szCs w:val="18"/>
          <w:b w:val="1"/>
          <w:bCs w:val="1"/>
          <w:u w:val="single" w:color="auto"/>
          <w:color w:val="auto"/>
        </w:rPr>
        <w:t>Simplification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and</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Partnership has agreed to provide the registration and other rights set forth in this Agreement for the benefit of the Initial Holders and their permitted transferees and assignees pursuant to the Simplification Agreement.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indicated:</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Average Common Unit Price</w:t>
      </w:r>
      <w:r>
        <w:rPr>
          <w:rFonts w:ascii="Arial" w:cs="Arial" w:eastAsia="Arial" w:hAnsi="Arial"/>
          <w:sz w:val="18"/>
          <w:szCs w:val="18"/>
          <w:color w:val="auto"/>
        </w:rPr>
        <w:t>” means, as of a particular date, the average of the closing prices on the NYSE for the Common Units during the ten trading days preceding such date.</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Unit</w:t>
      </w:r>
      <w:r>
        <w:rPr>
          <w:rFonts w:ascii="Arial" w:cs="Arial" w:eastAsia="Arial" w:hAnsi="Arial"/>
          <w:sz w:val="18"/>
          <w:szCs w:val="18"/>
          <w:color w:val="auto"/>
        </w:rPr>
        <w:t>” has the meaning set forth in the Plains AAP LP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has the meaning set forth in the Recitals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means the common units representing limited partner interests in the Partnership and having the rights and obligations specified in the Partnership Agreement.</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Contingent Registrable Security</w:t>
      </w:r>
      <w:r>
        <w:rPr>
          <w:rFonts w:ascii="Arial" w:cs="Arial" w:eastAsia="Arial" w:hAnsi="Arial"/>
          <w:sz w:val="18"/>
          <w:szCs w:val="18"/>
          <w:color w:val="auto"/>
        </w:rPr>
        <w:t>” means any Common Units issued to AAP after the date hereof pursuant to Section 4.2(c)(i) of the Omnibus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Entities</w:t>
      </w:r>
      <w:r>
        <w:rPr>
          <w:rFonts w:ascii="Arial" w:cs="Arial" w:eastAsia="Arial" w:hAnsi="Arial"/>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means the record holder of any Registrable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 Underwriter 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2.04(q)</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Included Registrable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ectPr>
          <w:pgSz w:w="11900" w:h="16870" w:orient="portrait"/>
          <w:cols w:equalWidth="0" w:num="1">
            <w:col w:w="11420"/>
          </w:cols>
          <w:pgMar w:left="240" w:top="125" w:right="239" w:bottom="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Holders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Investor Holders</w:t>
      </w:r>
      <w:r>
        <w:rPr>
          <w:rFonts w:ascii="Arial" w:cs="Arial" w:eastAsia="Arial" w:hAnsi="Arial"/>
          <w:sz w:val="18"/>
          <w:szCs w:val="18"/>
          <w:color w:val="auto"/>
        </w:rPr>
        <w:t>” means the Initial Holders specified as Initial Investor Holders on the signature page(s)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Initial Management Holders</w:t>
      </w:r>
      <w:r>
        <w:rPr>
          <w:rFonts w:ascii="Arial" w:cs="Arial" w:eastAsia="Arial" w:hAnsi="Arial"/>
          <w:sz w:val="17"/>
          <w:szCs w:val="17"/>
          <w:color w:val="auto"/>
        </w:rPr>
        <w:t>” means the Initial Holders specified as Initial Management Holders on the signature page(s) to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Managing Underwriter</w:t>
      </w:r>
      <w:r>
        <w:rPr>
          <w:rFonts w:ascii="Arial" w:cs="Arial" w:eastAsia="Arial" w:hAnsi="Arial"/>
          <w:sz w:val="17"/>
          <w:szCs w:val="17"/>
          <w:color w:val="auto"/>
        </w:rPr>
        <w:t>” means, with respect to any Underwritten Offering, the book running lead manager of such Underwritten Offering.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Omnibus Agreement</w:t>
      </w:r>
      <w:r>
        <w:rPr>
          <w:rFonts w:ascii="Arial" w:cs="Arial" w:eastAsia="Arial" w:hAnsi="Arial"/>
          <w:sz w:val="18"/>
          <w:szCs w:val="18"/>
          <w:color w:val="auto"/>
        </w:rPr>
        <w:t>” means the Omnibus Agreement, dated [·], 2016, by and among the PAA GP Holdings LLC, Plains GP Holdings, L.P., GP LLC, Plains AAP, the General Partner and the Partnership.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Holder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 Registrable Securities</w:t>
      </w:r>
      <w:r>
        <w:rPr>
          <w:rFonts w:ascii="Arial" w:cs="Arial" w:eastAsia="Arial" w:hAnsi="Arial"/>
          <w:sz w:val="18"/>
          <w:szCs w:val="18"/>
          <w:color w:val="auto"/>
        </w:rPr>
        <w:t>” means the Common Units issued to (i) Plains AAP and (ii) the General Partner and subsequently transferred to Plains AAP, in each case, on the date hereof pursuant to the Simplification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 Agreement</w:t>
      </w:r>
      <w:r>
        <w:rPr>
          <w:rFonts w:ascii="Arial" w:cs="Arial" w:eastAsia="Arial" w:hAnsi="Arial"/>
          <w:sz w:val="18"/>
          <w:szCs w:val="18"/>
          <w:color w:val="auto"/>
        </w:rPr>
        <w:t>” means the Sixth Amended and Restated Agreement of Limited Partnership of the Partnership, dated as of the date hereof, as the same may be further amended and/or restated from time to time.</w:t>
      </w:r>
    </w:p>
    <w:p>
      <w:pPr>
        <w:spacing w:after="0" w:line="162" w:lineRule="exact"/>
        <w:rPr>
          <w:sz w:val="20"/>
          <w:szCs w:val="20"/>
          <w:color w:val="auto"/>
        </w:rPr>
      </w:pPr>
    </w:p>
    <w:p>
      <w:pPr>
        <w:ind w:right="9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Opt-Out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 LP Agreement</w:t>
      </w:r>
      <w:r>
        <w:rPr>
          <w:rFonts w:ascii="Arial" w:cs="Arial" w:eastAsia="Arial" w:hAnsi="Arial"/>
          <w:sz w:val="18"/>
          <w:szCs w:val="18"/>
          <w:color w:val="auto"/>
        </w:rPr>
        <w:t>” means the Eighth Amended and Restated Agreement of Limited Partnership of Plains AAP, dated as of the date hereof, as the same may be further amended and/or restated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Quarter</w:t>
      </w:r>
      <w:r>
        <w:rPr>
          <w:rFonts w:ascii="Arial" w:cs="Arial" w:eastAsia="Arial" w:hAnsi="Arial"/>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w:t>
      </w:r>
      <w:r>
        <w:rPr>
          <w:rFonts w:ascii="Arial" w:cs="Arial" w:eastAsia="Arial" w:hAnsi="Arial"/>
          <w:sz w:val="17"/>
          <w:szCs w:val="17"/>
          <w:color w:val="auto"/>
        </w:rPr>
        <w:t>” means any registration pursuant to this Agreement, including pursuant to a Registration Statement or a Piggyback Registration.</w:t>
      </w:r>
    </w:p>
    <w:p>
      <w:pPr>
        <w:spacing w:after="0" w:line="23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means each of (i) Contingent Registrable Securities and (ii) Outstanding Registrable Securities, all of which are subject to the rights provided herein until such time as such securities cease to be Registrable Securities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w:t>
      </w:r>
      <w:r>
        <w:rPr>
          <w:rFonts w:ascii="Arial" w:cs="Arial" w:eastAsia="Arial" w:hAnsi="Arial"/>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 Indemnified Persons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Simplification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Underwritten Offering</w:t>
      </w:r>
      <w:r>
        <w:rPr>
          <w:rFonts w:ascii="Arial" w:cs="Arial" w:eastAsia="Arial" w:hAnsi="Arial"/>
          <w:sz w:val="17"/>
          <w:szCs w:val="17"/>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WKSI</w:t>
      </w:r>
      <w:r>
        <w:rPr>
          <w:rFonts w:ascii="Arial" w:cs="Arial" w:eastAsia="Arial" w:hAnsi="Arial"/>
          <w:sz w:val="18"/>
          <w:szCs w:val="18"/>
          <w:color w:val="auto"/>
        </w:rPr>
        <w:t>” means a well-known seasoned issuer (as defined in the rules and regulations of the Commission).</w:t>
      </w:r>
    </w:p>
    <w:p>
      <w:pPr>
        <w:sectPr>
          <w:pgSz w:w="11900" w:h="16838" w:orient="portrait"/>
          <w:cols w:equalWidth="0" w:num="1">
            <w:col w:w="11400"/>
          </w:cols>
          <w:pgMar w:left="240" w:top="337" w:right="259" w:bottom="36" w:gutter="0" w:footer="0" w:header="0"/>
        </w:sectPr>
      </w:pPr>
    </w:p>
    <w:bookmarkStart w:id="114" w:name="page115"/>
    <w:bookmarkEnd w:id="114"/>
    <w:p>
      <w:pPr>
        <w:spacing w:after="0" w:line="9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pursuant to any section of Rule 144 (or any similar provision then in effect) under the Securities Act, (c) when such Registrable Security is transferred to the Partnership or one of its direct or indirect subsidiaries and (d) when such Registrable Security has been sold or disposed of in an unregistered transaction in which the transferor’s rights under this Agreement are not assigned to the transferee of such securities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b w:val="1"/>
          <w:bCs w:val="1"/>
          <w:u w:val="single" w:color="auto"/>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84" w:lineRule="auto"/>
        <w:tabs>
          <w:tab w:leader="none" w:pos="1294" w:val="left"/>
        </w:tabs>
        <w:numPr>
          <w:ilvl w:val="0"/>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Outstanding Registrable Securities</w:t>
      </w:r>
      <w:r>
        <w:rPr>
          <w:rFonts w:ascii="Arial" w:cs="Arial" w:eastAsia="Arial" w:hAnsi="Arial"/>
          <w:sz w:val="16"/>
          <w:szCs w:val="16"/>
          <w:color w:val="auto"/>
        </w:rPr>
        <w:t>. The Partnership shall use its commercially reasonable efforts to (i) prepare</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an initial registration statement under the Securities Act to permit the public resale of Outstanding Registrable Securities from time to time as permitted by Rule 415 (or any similar provision adopted by the Commission then in effect) of the Securities Act (a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xml:space="preserve">”) and (ii) cause such initial Registration Statement to become effective as soon as practicable after the date hereof. The Partnership will use its commercially reasonable efforts to cause such initial Registration Statement filed pursuant to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to be continuously effective under the Securities Act, with respect to any Holder, until the earliest to occur of the following: (A) the date on which all Outstanding Registrable Securities covered by the Registration Statement have been distributed in the manner set forth and as contemplated in such Registration Statement and (B) the date on which there are no longer any Registrable Securities outstanding (in each case of clause (A) or (B), the “</w:t>
      </w:r>
      <w:r>
        <w:rPr>
          <w:rFonts w:ascii="Arial" w:cs="Arial" w:eastAsia="Arial" w:hAnsi="Arial"/>
          <w:sz w:val="16"/>
          <w:szCs w:val="16"/>
          <w:b w:val="1"/>
          <w:bCs w:val="1"/>
          <w:u w:val="single" w:color="auto"/>
          <w:color w:val="auto"/>
        </w:rPr>
        <w:t>Effectiveness Period</w:t>
      </w:r>
      <w:r>
        <w:rPr>
          <w:rFonts w:ascii="Arial" w:cs="Arial" w:eastAsia="Arial" w:hAnsi="Arial"/>
          <w:sz w:val="16"/>
          <w:szCs w:val="16"/>
          <w:color w:val="auto"/>
        </w:rPr>
        <w:t>”). A Registration Statement filed pursuant to this</w:t>
      </w:r>
    </w:p>
    <w:p>
      <w:pPr>
        <w:spacing w:after="0" w:line="5" w:lineRule="exact"/>
        <w:rPr>
          <w:rFonts w:ascii="Arial" w:cs="Arial" w:eastAsia="Arial" w:hAnsi="Arial"/>
          <w:sz w:val="16"/>
          <w:szCs w:val="16"/>
          <w:color w:val="auto"/>
        </w:rPr>
      </w:pPr>
    </w:p>
    <w:p>
      <w:pPr>
        <w:ind w:right="140"/>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67" w:lineRule="exact"/>
        <w:rPr>
          <w:sz w:val="20"/>
          <w:szCs w:val="20"/>
          <w:color w:val="auto"/>
        </w:rPr>
      </w:pPr>
    </w:p>
    <w:p>
      <w:pPr>
        <w:ind w:right="20" w:firstLine="656"/>
        <w:spacing w:after="0" w:line="314" w:lineRule="auto"/>
        <w:tabs>
          <w:tab w:leader="none" w:pos="1304"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Contingent Registrable Securities</w:t>
      </w:r>
      <w:r>
        <w:rPr>
          <w:rFonts w:ascii="Arial" w:cs="Arial" w:eastAsia="Arial" w:hAnsi="Arial"/>
          <w:sz w:val="16"/>
          <w:szCs w:val="16"/>
          <w:color w:val="auto"/>
        </w:rPr>
        <w:t>. The Partnership shall use its commercially reasonable efforts to prepare and file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Registration Statement and maintain the effectiveness of such Registration Statement to permit public resales of Contingent Registrable Securities on the same terms, and subject to the same conditions and restrictions, as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with respect to Outstanding Registrable Securities.</w:t>
      </w:r>
    </w:p>
    <w:p>
      <w:pPr>
        <w:spacing w:after="0" w:line="142" w:lineRule="exact"/>
        <w:rPr>
          <w:rFonts w:ascii="Arial" w:cs="Arial" w:eastAsia="Arial" w:hAnsi="Arial"/>
          <w:sz w:val="16"/>
          <w:szCs w:val="16"/>
          <w:color w:val="auto"/>
        </w:rPr>
      </w:pPr>
    </w:p>
    <w:p>
      <w:pPr>
        <w:ind w:firstLine="656"/>
        <w:spacing w:after="0" w:line="269" w:lineRule="auto"/>
        <w:tabs>
          <w:tab w:leader="none" w:pos="1307" w:val="left"/>
        </w:tabs>
        <w:numPr>
          <w:ilvl w:val="0"/>
          <w:numId w:val="283"/>
        </w:numPr>
        <w:rPr>
          <w:rFonts w:ascii="Arial" w:cs="Arial" w:eastAsia="Arial" w:hAnsi="Arial"/>
          <w:sz w:val="17"/>
          <w:szCs w:val="17"/>
          <w:color w:val="auto"/>
        </w:rPr>
      </w:pPr>
      <w:r>
        <w:rPr>
          <w:rFonts w:ascii="Arial" w:cs="Arial" w:eastAsia="Arial" w:hAnsi="Arial"/>
          <w:sz w:val="17"/>
          <w:szCs w:val="17"/>
          <w:b w:val="1"/>
          <w:bCs w:val="1"/>
          <w:u w:val="single" w:color="auto"/>
          <w:color w:val="auto"/>
        </w:rPr>
        <w:t>Delay Rights</w:t>
      </w:r>
      <w:r>
        <w:rPr>
          <w:rFonts w:ascii="Arial" w:cs="Arial" w:eastAsia="Arial" w:hAnsi="Arial"/>
          <w:sz w:val="17"/>
          <w:szCs w:val="17"/>
          <w:color w:val="auto"/>
        </w:rPr>
        <w:t>. Notwithstanding anything to the contrary contained herein, the Partnership may, upon written notice to any Selling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294" w:val="left"/>
        </w:tabs>
        <w:numPr>
          <w:ilvl w:val="0"/>
          <w:numId w:val="284"/>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Participation</w:t>
      </w:r>
      <w:r>
        <w:rPr>
          <w:rFonts w:ascii="Arial" w:cs="Arial" w:eastAsia="Arial" w:hAnsi="Arial"/>
          <w:sz w:val="17"/>
          <w:szCs w:val="17"/>
          <w:color w:val="auto"/>
        </w:rPr>
        <w:t>. If at any time the Partnership proposes to file (i) a Registration Statement (other than a Registration Statement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w:t>
      </w:r>
      <w:r>
        <w:rPr>
          <w:rFonts w:ascii="Arial" w:cs="Arial" w:eastAsia="Arial" w:hAnsi="Arial"/>
          <w:sz w:val="17"/>
          <w:szCs w:val="17"/>
          <w:u w:val="single" w:color="auto"/>
          <w:color w:val="auto"/>
        </w:rPr>
        <w:t>Section 2.01(a)</w:t>
      </w:r>
      <w:r>
        <w:rPr>
          <w:rFonts w:ascii="Arial" w:cs="Arial" w:eastAsia="Arial" w:hAnsi="Arial"/>
          <w:sz w:val="17"/>
          <w:szCs w:val="17"/>
          <w:color w:val="auto"/>
        </w:rPr>
        <w:t>) on behalf of any other Persons who have or have been granted registration rights by the Partnership (the “</w:t>
      </w:r>
      <w:r>
        <w:rPr>
          <w:rFonts w:ascii="Arial" w:cs="Arial" w:eastAsia="Arial" w:hAnsi="Arial"/>
          <w:sz w:val="17"/>
          <w:szCs w:val="17"/>
          <w:b w:val="1"/>
          <w:bCs w:val="1"/>
          <w:u w:val="single" w:color="auto"/>
          <w:color w:val="auto"/>
        </w:rPr>
        <w:t>Other Holders</w:t>
      </w:r>
      <w:r>
        <w:rPr>
          <w:rFonts w:ascii="Arial" w:cs="Arial" w:eastAsia="Arial" w:hAnsi="Arial"/>
          <w:sz w:val="17"/>
          <w:szCs w:val="17"/>
          <w:color w:val="auto"/>
        </w:rPr>
        <w:t>”) or (ii) a prospectus supplement relating to the sale of Common Units by any Other Holders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other case in which Holders may participate in such offering without the filing of a post-effective amendment of a registration statement, in each case, for the sale of Common Units by Other Holders in an Underwritten Offering (including an Underwritten Offering undertaken pursuant to Section 2.03),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-41275</wp:posOffset>
            </wp:positionV>
            <wp:extent cx="2286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Partnership shall give not less than three Business Days’ notice (including, but not limited to, notification by electronic mail) (the “</w:t>
      </w:r>
      <w:r>
        <w:rPr>
          <w:rFonts w:ascii="Arial" w:cs="Arial" w:eastAsia="Arial" w:hAnsi="Arial"/>
          <w:sz w:val="16"/>
          <w:szCs w:val="16"/>
          <w:b w:val="1"/>
          <w:bCs w:val="1"/>
          <w:u w:val="single" w:color="auto"/>
          <w:color w:val="auto"/>
        </w:rPr>
        <w:t>Piggyback Notice</w:t>
      </w:r>
      <w:r>
        <w:rPr>
          <w:rFonts w:ascii="Arial" w:cs="Arial" w:eastAsia="Arial" w:hAnsi="Arial"/>
          <w:sz w:val="16"/>
          <w:szCs w:val="16"/>
          <w:color w:val="auto"/>
        </w:rPr>
        <w:t>”) of such proposed Underwritten Offering to each Holder (together with its Affiliates) owning more than $100 million of Registrable Securities, calculated on the basis of the Average Common Unit Price as of the date of the Piggyback Notice, and such Piggyback Notice shall offer such Holder the opportunity to include in such Underwritten Offering for Other Holders such number of Registrable Securities (the “</w:t>
      </w:r>
      <w:r>
        <w:rPr>
          <w:rFonts w:ascii="Arial" w:cs="Arial" w:eastAsia="Arial" w:hAnsi="Arial"/>
          <w:sz w:val="16"/>
          <w:szCs w:val="16"/>
          <w:b w:val="1"/>
          <w:bCs w:val="1"/>
          <w:u w:val="single" w:color="auto"/>
          <w:color w:val="auto"/>
        </w:rPr>
        <w:t>Included Registrable Securities</w:t>
      </w:r>
      <w:r>
        <w:rPr>
          <w:rFonts w:ascii="Arial" w:cs="Arial" w:eastAsia="Arial" w:hAnsi="Arial"/>
          <w:sz w:val="16"/>
          <w:szCs w:val="16"/>
          <w:color w:val="auto"/>
        </w:rPr>
        <w:t>”) as such Holder may request in writing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shall not be required to offer such opportunity (A) to such Holders if the Holders, together with their Affiliates, do not offer a minimum of $50 million of Registrable Securities, in the aggregate (determined by multiplying the number of Registrable Securities offered by the Average Common Unit Price),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Arial" w:cs="Arial" w:eastAsia="Arial" w:hAnsi="Arial"/>
          <w:sz w:val="16"/>
          <w:szCs w:val="16"/>
          <w:u w:val="single" w:color="auto"/>
          <w:color w:val="auto"/>
        </w:rPr>
        <w:t>Section 2.02(b)</w:t>
      </w:r>
      <w:r>
        <w:rPr>
          <w:rFonts w:ascii="Arial" w:cs="Arial" w:eastAsia="Arial" w:hAnsi="Arial"/>
          <w:sz w:val="16"/>
          <w:szCs w:val="16"/>
          <w:color w:val="auto"/>
        </w:rPr>
        <w:t>. Each Piggyback Notice shall be provided to Holders on a Business Day pursuant to</w:t>
      </w:r>
    </w:p>
    <w:p>
      <w:pPr>
        <w:sectPr>
          <w:pgSz w:w="11900" w:h="16934" w:orient="portrait"/>
          <w:cols w:equalWidth="0" w:num="1">
            <w:col w:w="11420"/>
          </w:cols>
          <w:pgMar w:left="240" w:top="121" w:right="239" w:bottom="0" w:gutter="0" w:footer="0" w:header="0"/>
        </w:sectPr>
      </w:pPr>
    </w:p>
    <w:bookmarkStart w:id="115" w:name="page116"/>
    <w:bookmarkEnd w:id="115"/>
    <w:p>
      <w:pPr>
        <w:ind w:right="40"/>
        <w:spacing w:after="0" w:line="284" w:lineRule="auto"/>
        <w:rPr>
          <w:sz w:val="20"/>
          <w:szCs w:val="20"/>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w:t>
      </w:r>
    </w:p>
    <w:p>
      <w:pPr>
        <w:spacing w:after="0" w:line="3" w:lineRule="exact"/>
        <w:rPr>
          <w:sz w:val="20"/>
          <w:szCs w:val="20"/>
          <w:color w:val="auto"/>
        </w:rPr>
      </w:pPr>
    </w:p>
    <w:p>
      <w:pPr>
        <w:ind w:right="20" w:firstLine="8"/>
        <w:spacing w:after="0" w:line="251" w:lineRule="auto"/>
        <w:tabs>
          <w:tab w:leader="none" w:pos="25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Arial" w:cs="Arial" w:eastAsia="Arial" w:hAnsi="Arial"/>
          <w:sz w:val="18"/>
          <w:szCs w:val="18"/>
          <w:b w:val="1"/>
          <w:bCs w:val="1"/>
          <w:u w:val="single" w:color="auto"/>
          <w:color w:val="auto"/>
        </w:rPr>
        <w:t>Piggyback Opt-Out Notice</w:t>
      </w:r>
      <w:r>
        <w:rPr>
          <w:rFonts w:ascii="Arial" w:cs="Arial" w:eastAsia="Arial" w:hAnsi="Arial"/>
          <w:sz w:val="18"/>
          <w:szCs w:val="18"/>
          <w:color w:val="auto"/>
        </w:rPr>
        <w:t>”) to the Partnership requesting that such Holder not receive notice from the Partnership of any proposed Underwritten Offering for Other Holders;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such Holder may later revoke any such Piggyback Opt-Out Notice in writing. Following receipt of a Piggyback Opt-Out Notice from a Holder (unless subsequently revoked), the Partnership shall not be required to deliver any notice to such Holder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and such Holder shall no longer be entitled to participate in Underwritten Offerings for Other Holders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unless such Piggyback Opt-Out Notice is revoked by such Holder.</w:t>
      </w:r>
    </w:p>
    <w:p>
      <w:pPr>
        <w:spacing w:after="0" w:line="194" w:lineRule="exact"/>
        <w:rPr>
          <w:rFonts w:ascii="Arial" w:cs="Arial" w:eastAsia="Arial" w:hAnsi="Arial"/>
          <w:sz w:val="18"/>
          <w:szCs w:val="18"/>
          <w:color w:val="auto"/>
        </w:rPr>
      </w:pPr>
    </w:p>
    <w:p>
      <w:pPr>
        <w:ind w:right="460" w:firstLine="656"/>
        <w:spacing w:after="0" w:line="266" w:lineRule="auto"/>
        <w:tabs>
          <w:tab w:leader="none" w:pos="1304" w:val="left"/>
        </w:tabs>
        <w:numPr>
          <w:ilvl w:val="1"/>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Priority of Piggyback Registration</w:t>
      </w:r>
      <w:r>
        <w:rPr>
          <w:rFonts w:ascii="Arial" w:cs="Arial" w:eastAsia="Arial" w:hAnsi="Arial"/>
          <w:sz w:val="18"/>
          <w:szCs w:val="18"/>
          <w:color w:val="auto"/>
        </w:rPr>
        <w:t>. If the Managing Underwriter or Underwriters of any proposed Underwritten Offering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advise the Partnership that the total amount of Registrable Securities that the Selling Holders and any Other Holders intend to include in such offering exceeds the number that can be sold in such offering without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 Other Holder, on the percentage derived by dividing (A) the number of Common Units proposed to be sold by such Selling Holder or such Other Holder in such offering by (B) the aggregate number of Common Units proposed to be sold by all Selling Holders and all Other Holders in the Piggyback Registration).</w:t>
      </w:r>
    </w:p>
    <w:p>
      <w:pPr>
        <w:spacing w:after="0" w:line="16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5" w:lineRule="auto"/>
        <w:tabs>
          <w:tab w:leader="none" w:pos="1294"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S-3 Registration</w:t>
      </w:r>
      <w:r>
        <w:rPr>
          <w:rFonts w:ascii="Arial" w:cs="Arial" w:eastAsia="Arial" w:hAnsi="Arial"/>
          <w:sz w:val="16"/>
          <w:szCs w:val="16"/>
          <w:color w:val="auto"/>
        </w:rPr>
        <w:t>. In the event that any of (i) Oxy Holding Company (Pipeline), Inc. and its Affiliates, (ii) The Energy Minerals Group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Affiliates or (iii) Kayne Anderson Capital Advisors and its Affiliates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Section 2.02),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shall take all such other reasonable actions as are requested by the Managing Underwriter in order to expedite or facilitate the disposition of such Registrable Securities; provided, however, that the Partnership shall have no obligation to facilitate or participate in, including entering into any underwriting agreement, more than three (3) Underwritten Offerings requested by each of (i) Oxy Holding Company (Pipeline), Inc. and its Affiliates, collectively, (ii) The Energy Minerals Group and its Affiliates, collectively, or (iii) Kayne Anderson Capital Advisors and its Affiliates, collectively, for a maximum of nine total Underwritten Offerings;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provided, however, that the Partnership may only suspend such Selling Holder’s right to require the Partnership to conduct an Underwritten Offering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once in any six month period. Notwithstanding anything to the foregoing, if the aggregate value of the Registrable Securities held by any of (i) Oxy Holding Company (Pipeline), Inc. and its Affiliates, (ii) The Energy Minerals Group and its Affiliates or (iii) Kayne Anderson Capital Advisors and its Affiliates is less than or equal to $150 million, such Selling Holder may make a single and final request (provided that such Selling Holder has not previously requested its allotment of three Underwritten Offerings) with respect to its remaining Registrable Securities and the Partnership shall, upon such single and final request, take the actions provided for in this Section 2.03(a) in order to facilitate the disposition of such Registrable Securities pursuant to an Underwritten Offering.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56"/>
        <w:spacing w:after="0" w:line="271" w:lineRule="auto"/>
        <w:tabs>
          <w:tab w:leader="none" w:pos="1304" w:val="left"/>
        </w:tabs>
        <w:numPr>
          <w:ilvl w:val="0"/>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Procedures</w:t>
      </w:r>
      <w:r>
        <w:rPr>
          <w:rFonts w:ascii="Arial" w:cs="Arial" w:eastAsia="Arial" w:hAnsi="Arial"/>
          <w:sz w:val="17"/>
          <w:szCs w:val="17"/>
          <w:color w:val="auto"/>
        </w:rPr>
        <w:t>. In connection with any Underwritten Offering contemplated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2.03(a)</w:t>
      </w:r>
      <w:r>
        <w:rPr>
          <w:rFonts w:ascii="Arial" w:cs="Arial" w:eastAsia="Arial" w:hAnsi="Arial"/>
          <w:sz w:val="17"/>
          <w:szCs w:val="17"/>
          <w:color w:val="auto"/>
        </w:rPr>
        <w:t>, the underwriting agreement into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each Selling Holder and the Partnership shall enter shall contain such representations, covenants, indemnities (subject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other rights and obligations as are customary in Underwritten Offerings of securities by the Partnership. No Selling Holder shall be required to make any representations or warranties to or agreements with the Partnership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Arial" w:cs="Arial" w:eastAsia="Arial" w:hAnsi="Arial"/>
          <w:sz w:val="17"/>
          <w:szCs w:val="17"/>
          <w:u w:val="single" w:color="auto"/>
          <w:color w:val="auto"/>
        </w:rPr>
        <w:t>Section 2.03</w:t>
      </w:r>
      <w:r>
        <w:rPr>
          <w:rFonts w:ascii="Arial" w:cs="Arial" w:eastAsia="Arial" w:hAnsi="Arial"/>
          <w:sz w:val="17"/>
          <w:szCs w:val="17"/>
          <w:color w:val="auto"/>
        </w:rPr>
        <w:t>, such Selling Holder may elect to withdraw therefrom by notice to the Partnership and the Managing Underwriter;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such withdrawal must be made at least one Business Day prior to the time of pricing of such Underwritten Offering to be effective. No such withdrawal or abandonment shall affect the Partnership’s obligation to pay Registration Expenses.</w:t>
      </w:r>
    </w:p>
    <w:p>
      <w:pPr>
        <w:spacing w:after="0" w:line="17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b w:val="1"/>
          <w:bCs w:val="1"/>
          <w:u w:val="single" w:color="auto"/>
          <w:color w:val="auto"/>
        </w:rPr>
        <w:t>Further Obligations</w:t>
      </w:r>
      <w:r>
        <w:rPr>
          <w:rFonts w:ascii="Arial" w:cs="Arial" w:eastAsia="Arial" w:hAnsi="Arial"/>
          <w:sz w:val="16"/>
          <w:szCs w:val="16"/>
          <w:color w:val="auto"/>
        </w:rPr>
        <w:t>. In connection with its obligations under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the Partnership will:</w:t>
      </w:r>
    </w:p>
    <w:p>
      <w:pPr>
        <w:spacing w:after="0" w:line="229" w:lineRule="exact"/>
        <w:rPr>
          <w:sz w:val="20"/>
          <w:szCs w:val="20"/>
          <w:color w:val="auto"/>
        </w:rPr>
      </w:pPr>
    </w:p>
    <w:p>
      <w:pPr>
        <w:ind w:right="60" w:firstLine="656"/>
        <w:spacing w:after="0" w:line="312" w:lineRule="auto"/>
        <w:tabs>
          <w:tab w:leader="none" w:pos="129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ectPr>
          <w:pgSz w:w="11900" w:h="16838" w:orient="portrait"/>
          <w:cols w:equalWidth="0" w:num="1">
            <w:col w:w="11400"/>
          </w:cols>
          <w:pgMar w:left="240" w:top="125" w:right="259" w:bottom="0" w:gutter="0" w:footer="0" w:header="0"/>
        </w:sectPr>
      </w:pPr>
    </w:p>
    <w:bookmarkStart w:id="116" w:name="page117"/>
    <w:bookmarkEnd w:id="116"/>
    <w:p>
      <w:pPr>
        <w:jc w:val="both"/>
        <w:ind w:right="200" w:firstLine="656"/>
        <w:spacing w:after="0" w:line="279" w:lineRule="auto"/>
        <w:tabs>
          <w:tab w:leader="none" w:pos="130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71" w:lineRule="exact"/>
        <w:rPr>
          <w:rFonts w:ascii="Arial" w:cs="Arial" w:eastAsia="Arial" w:hAnsi="Arial"/>
          <w:sz w:val="17"/>
          <w:szCs w:val="17"/>
          <w:color w:val="auto"/>
        </w:rPr>
      </w:pPr>
    </w:p>
    <w:p>
      <w:pPr>
        <w:ind w:firstLine="656"/>
        <w:spacing w:after="0" w:line="270" w:lineRule="auto"/>
        <w:tabs>
          <w:tab w:leader="none" w:pos="130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 any supplements and amendments thereto as such Persons may reasonably request in order to facilitate the public sale or other disposition of the Registrable Securities covered by such Registration Statement or other registration statement;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57" w:lineRule="auto"/>
        <w:tabs>
          <w:tab w:leader="none" w:pos="130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8" w:lineRule="exact"/>
        <w:rPr>
          <w:rFonts w:ascii="Arial" w:cs="Arial" w:eastAsia="Arial" w:hAnsi="Arial"/>
          <w:sz w:val="18"/>
          <w:szCs w:val="18"/>
          <w:color w:val="auto"/>
        </w:rPr>
      </w:pPr>
    </w:p>
    <w:p>
      <w:pPr>
        <w:ind w:firstLine="656"/>
        <w:spacing w:after="0" w:line="273" w:lineRule="auto"/>
        <w:tabs>
          <w:tab w:leader="none" w:pos="130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78" w:lineRule="exact"/>
        <w:rPr>
          <w:rFonts w:ascii="Arial" w:cs="Arial" w:eastAsia="Arial" w:hAnsi="Arial"/>
          <w:sz w:val="17"/>
          <w:szCs w:val="17"/>
          <w:color w:val="auto"/>
        </w:rPr>
      </w:pPr>
    </w:p>
    <w:p>
      <w:pPr>
        <w:ind w:firstLine="656"/>
        <w:spacing w:after="0" w:line="269" w:lineRule="auto"/>
        <w:tabs>
          <w:tab w:leader="none" w:pos="130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79" w:lineRule="exact"/>
        <w:rPr>
          <w:rFonts w:ascii="Arial" w:cs="Arial" w:eastAsia="Arial" w:hAnsi="Arial"/>
          <w:sz w:val="17"/>
          <w:szCs w:val="17"/>
          <w:color w:val="auto"/>
        </w:rPr>
      </w:pPr>
    </w:p>
    <w:p>
      <w:pPr>
        <w:ind w:right="40" w:firstLine="656"/>
        <w:spacing w:after="0" w:line="264" w:lineRule="auto"/>
        <w:tabs>
          <w:tab w:leader="none" w:pos="131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1" w:lineRule="auto"/>
        <w:tabs>
          <w:tab w:leader="none" w:pos="130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w:t>
      </w:r>
    </w:p>
    <w:p>
      <w:pPr>
        <w:spacing w:after="0" w:line="225" w:lineRule="exact"/>
        <w:rPr>
          <w:rFonts w:ascii="Arial" w:cs="Arial" w:eastAsia="Arial" w:hAnsi="Arial"/>
          <w:sz w:val="18"/>
          <w:szCs w:val="18"/>
          <w:color w:val="auto"/>
        </w:rPr>
      </w:pPr>
    </w:p>
    <w:p>
      <w:pPr>
        <w:ind w:right="160" w:firstLine="656"/>
        <w:spacing w:after="0" w:line="259" w:lineRule="auto"/>
        <w:tabs>
          <w:tab w:leader="none" w:pos="130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6" w:lineRule="exact"/>
        <w:rPr>
          <w:rFonts w:ascii="Arial" w:cs="Arial" w:eastAsia="Arial" w:hAnsi="Arial"/>
          <w:sz w:val="18"/>
          <w:szCs w:val="18"/>
          <w:color w:val="auto"/>
        </w:rPr>
      </w:pPr>
    </w:p>
    <w:p>
      <w:pPr>
        <w:ind w:right="620" w:firstLine="656"/>
        <w:spacing w:after="0" w:line="308" w:lineRule="auto"/>
        <w:tabs>
          <w:tab w:leader="none" w:pos="130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46" w:lineRule="exact"/>
        <w:rPr>
          <w:rFonts w:ascii="Arial" w:cs="Arial" w:eastAsia="Arial" w:hAnsi="Arial"/>
          <w:sz w:val="17"/>
          <w:szCs w:val="17"/>
          <w:color w:val="auto"/>
        </w:rPr>
      </w:pPr>
    </w:p>
    <w:p>
      <w:pPr>
        <w:jc w:val="both"/>
        <w:ind w:right="520" w:firstLine="656"/>
        <w:spacing w:after="0" w:line="264" w:lineRule="auto"/>
        <w:tabs>
          <w:tab w:leader="none" w:pos="131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ectPr>
          <w:pgSz w:w="11900" w:h="16838" w:orient="portrait"/>
          <w:cols w:equalWidth="0" w:num="1">
            <w:col w:w="11420"/>
          </w:cols>
          <w:pgMar w:left="240" w:top="125" w:right="239" w:bottom="0" w:gutter="0" w:footer="0" w:header="0"/>
        </w:sectPr>
      </w:pPr>
    </w:p>
    <w:bookmarkStart w:id="117" w:name="page118"/>
    <w:bookmarkEnd w:id="117"/>
    <w:p>
      <w:pPr>
        <w:ind w:right="160" w:firstLine="656"/>
        <w:spacing w:after="0" w:line="277" w:lineRule="auto"/>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any Registration Statement not later than the Effective Date of such Registration Statement;</w:t>
      </w:r>
    </w:p>
    <w:p>
      <w:pPr>
        <w:spacing w:after="0" w:line="170" w:lineRule="exact"/>
        <w:rPr>
          <w:rFonts w:ascii="Arial" w:cs="Arial" w:eastAsia="Arial" w:hAnsi="Arial"/>
          <w:sz w:val="18"/>
          <w:szCs w:val="18"/>
          <w:color w:val="auto"/>
        </w:rPr>
      </w:pPr>
    </w:p>
    <w:p>
      <w:pPr>
        <w:ind w:right="120" w:firstLine="656"/>
        <w:spacing w:after="0" w:line="259" w:lineRule="auto"/>
        <w:tabs>
          <w:tab w:leader="none" w:pos="13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6" w:lineRule="exact"/>
        <w:rPr>
          <w:rFonts w:ascii="Arial" w:cs="Arial" w:eastAsia="Arial" w:hAnsi="Arial"/>
          <w:sz w:val="18"/>
          <w:szCs w:val="18"/>
          <w:color w:val="auto"/>
        </w:rPr>
      </w:pPr>
    </w:p>
    <w:p>
      <w:pPr>
        <w:ind w:right="280" w:firstLine="656"/>
        <w:spacing w:after="0" w:line="264" w:lineRule="auto"/>
        <w:tabs>
          <w:tab w:leader="none" w:pos="13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81" w:lineRule="exact"/>
        <w:rPr>
          <w:sz w:val="20"/>
          <w:szCs w:val="20"/>
          <w:color w:val="auto"/>
        </w:rPr>
      </w:pPr>
    </w:p>
    <w:p>
      <w:pPr>
        <w:ind w:right="160" w:firstLine="656"/>
        <w:spacing w:after="0" w:line="264" w:lineRule="auto"/>
        <w:tabs>
          <w:tab w:leader="none" w:pos="130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7" w:lineRule="exact"/>
        <w:rPr>
          <w:rFonts w:ascii="Arial" w:cs="Arial" w:eastAsia="Arial" w:hAnsi="Arial"/>
          <w:sz w:val="18"/>
          <w:szCs w:val="18"/>
          <w:color w:val="auto"/>
        </w:rPr>
      </w:pPr>
    </w:p>
    <w:p>
      <w:pPr>
        <w:ind w:right="60" w:firstLine="656"/>
        <w:spacing w:after="0" w:line="268" w:lineRule="auto"/>
        <w:tabs>
          <w:tab w:leader="none" w:pos="130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if any Holder could reasonably be deemed to be an “</w:t>
      </w:r>
      <w:r>
        <w:rPr>
          <w:rFonts w:ascii="Arial" w:cs="Arial" w:eastAsia="Arial" w:hAnsi="Arial"/>
          <w:sz w:val="17"/>
          <w:szCs w:val="17"/>
          <w:b w:val="1"/>
          <w:bCs w:val="1"/>
          <w:u w:val="single" w:color="auto"/>
          <w:color w:val="auto"/>
        </w:rPr>
        <w:t>underwriter,</w:t>
      </w:r>
      <w:r>
        <w:rPr>
          <w:rFonts w:ascii="Arial" w:cs="Arial" w:eastAsia="Arial" w:hAnsi="Arial"/>
          <w:sz w:val="17"/>
          <w:szCs w:val="17"/>
          <w:color w:val="auto"/>
        </w:rPr>
        <w:t>” as defined in Section 2(a)(11) of the Securities Act, in connection with the Registration Statement and any amendment or supplement thereof (a “</w:t>
      </w:r>
      <w:r>
        <w:rPr>
          <w:rFonts w:ascii="Arial" w:cs="Arial" w:eastAsia="Arial" w:hAnsi="Arial"/>
          <w:sz w:val="17"/>
          <w:szCs w:val="17"/>
          <w:b w:val="1"/>
          <w:bCs w:val="1"/>
          <w:u w:val="single" w:color="auto"/>
          <w:color w:val="auto"/>
        </w:rPr>
        <w:t>Holder Underwriter Registration Statement</w:t>
      </w:r>
      <w:r>
        <w:rPr>
          <w:rFonts w:ascii="Arial" w:cs="Arial" w:eastAsia="Arial" w:hAnsi="Arial"/>
          <w:sz w:val="17"/>
          <w:szCs w:val="17"/>
          <w:color w:val="auto"/>
        </w:rPr>
        <w:t>”), then the Partnership will reasonably cooperate with such Holder in allowing such Holder to conduct customary “</w:t>
      </w:r>
      <w:r>
        <w:rPr>
          <w:rFonts w:ascii="Arial" w:cs="Arial" w:eastAsia="Arial" w:hAnsi="Arial"/>
          <w:sz w:val="17"/>
          <w:szCs w:val="17"/>
          <w:b w:val="1"/>
          <w:bCs w:val="1"/>
          <w:u w:val="single" w:color="auto"/>
          <w:color w:val="auto"/>
        </w:rPr>
        <w:t>underwriter’s due diligence</w:t>
      </w:r>
      <w:r>
        <w:rPr>
          <w:rFonts w:ascii="Arial" w:cs="Arial" w:eastAsia="Arial" w:hAnsi="Arial"/>
          <w:sz w:val="17"/>
          <w:szCs w:val="17"/>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 request shall not be more frequently than on an annual basis unless such Holder is offering Registrable Securities pursuant to a Holder Underwriter Registration Statement), (i)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Arial" w:cs="Arial" w:eastAsia="Arial" w:hAnsi="Arial"/>
          <w:sz w:val="17"/>
          <w:szCs w:val="17"/>
          <w:b w:val="1"/>
          <w:bCs w:val="1"/>
          <w:u w:val="single" w:color="auto"/>
          <w:color w:val="auto"/>
        </w:rPr>
        <w:t>10b-5</w:t>
      </w:r>
      <w:r>
        <w:rPr>
          <w:rFonts w:ascii="Arial" w:cs="Arial" w:eastAsia="Arial" w:hAnsi="Arial"/>
          <w:sz w:val="17"/>
          <w:szCs w:val="17"/>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Partnership will not name a Holder as an underwriter (as defined in Section 2(a)</w:t>
      </w:r>
    </w:p>
    <w:p>
      <w:pPr>
        <w:spacing w:after="0" w:line="46" w:lineRule="exact"/>
        <w:rPr>
          <w:sz w:val="20"/>
          <w:szCs w:val="20"/>
          <w:color w:val="auto"/>
        </w:rPr>
      </w:pPr>
    </w:p>
    <w:p>
      <w:pPr>
        <w:ind w:right="60" w:firstLine="8"/>
        <w:spacing w:after="0" w:line="252" w:lineRule="auto"/>
        <w:tabs>
          <w:tab w:leader="none" w:pos="33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Arial" w:cs="Arial" w:eastAsia="Arial" w:hAnsi="Arial"/>
          <w:sz w:val="18"/>
          <w:szCs w:val="18"/>
          <w:u w:val="single" w:color="auto"/>
          <w:color w:val="auto"/>
        </w:rPr>
        <w:t>subsection (q)</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with respect to the Partnership at the time such Holder’s consent is sought.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Each Selling Holder, upon receipt of notice from the Partnership of the happening of any event of the kind described in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6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b w:val="1"/>
          <w:bCs w:val="1"/>
          <w:u w:val="single" w:color="auto"/>
          <w:color w:val="auto"/>
        </w:rPr>
        <w:t>Cooperation by Holders</w:t>
      </w:r>
      <w:r>
        <w:rPr>
          <w:rFonts w:ascii="Arial" w:cs="Arial" w:eastAsia="Arial" w:hAnsi="Arial"/>
          <w:sz w:val="18"/>
          <w:szCs w:val="18"/>
          <w:color w:val="auto"/>
        </w:rPr>
        <w:t xml:space="preserve">. The Partnership shall have no obligation to include Registrable Securities of a Holder in a Registration Statement or in an Underwritten Offering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u w:val="single" w:color="auto"/>
          <w:color w:val="auto"/>
        </w:rPr>
        <w:t>Restrictions on Public Sale by Holders of Registrable Securities</w:t>
      </w:r>
      <w:r>
        <w:rPr>
          <w:rFonts w:ascii="Arial" w:cs="Arial" w:eastAsia="Arial" w:hAnsi="Arial"/>
          <w:sz w:val="18"/>
          <w:szCs w:val="18"/>
          <w:color w:val="auto"/>
        </w:rPr>
        <w:t>. Each Selling Holder participating in an Underwritten Offering included in a Registration Statement agrees to enter into a customary letter agreement with underwriters providing that such Selling Holder, to the extent requested by the Partnership and any underwriter, will not effect any public sale or distribution of Registrable Securities during a period not to exceed forty-five (45) calendar days following the date of a prospectus or prospectus supplement filed with the Commission with respect to the pricing of such Underwritten Offering;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not apply to any Registrable Securities that are included in such Underwritten Offering by such Selling Holder.</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b w:val="1"/>
          <w:bCs w:val="1"/>
          <w:u w:val="single" w:color="auto"/>
          <w:color w:val="auto"/>
        </w:rPr>
        <w:t>Expenses</w:t>
      </w:r>
      <w:r>
        <w:rPr>
          <w:rFonts w:ascii="Arial" w:cs="Arial" w:eastAsia="Arial" w:hAnsi="Arial"/>
          <w:sz w:val="15"/>
          <w:szCs w:val="15"/>
          <w:color w:val="auto"/>
        </w:rPr>
        <w:t>.</w:t>
      </w:r>
    </w:p>
    <w:p>
      <w:pPr>
        <w:sectPr>
          <w:pgSz w:w="11900" w:h="16838" w:orient="portrait"/>
          <w:cols w:equalWidth="0" w:num="1">
            <w:col w:w="11400"/>
          </w:cols>
          <w:pgMar w:left="240" w:top="125" w:right="259" w:bottom="0" w:gutter="0" w:footer="0" w:header="0"/>
        </w:sectPr>
      </w:pPr>
    </w:p>
    <w:bookmarkStart w:id="118" w:name="page119"/>
    <w:bookmarkEnd w:id="118"/>
    <w:p>
      <w:pPr>
        <w:spacing w:after="0" w:line="84" w:lineRule="exact"/>
        <w:rPr>
          <w:sz w:val="20"/>
          <w:szCs w:val="20"/>
          <w:color w:val="auto"/>
        </w:rPr>
      </w:pPr>
    </w:p>
    <w:p>
      <w:pPr>
        <w:ind w:firstLine="656"/>
        <w:spacing w:after="0" w:line="255" w:lineRule="auto"/>
        <w:tabs>
          <w:tab w:leader="none" w:pos="1294"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shall not include Selling Expenses but otherwise means all expenses incident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Partnership’s performance under or compliance with this Agreement to effect the registration of Registrable Securities on a Registration Statement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 Piggyback Registration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an Underwritten Offering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means all underwriting fees, discounts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selling commissions and transfer taxes allocable to the sale of the Registrable Securities, plus any costs or expenses related to any roadshows conducted in connection with the marketing of any Underwritten Offering.</w:t>
      </w:r>
    </w:p>
    <w:p>
      <w:pPr>
        <w:spacing w:after="0" w:line="166" w:lineRule="exact"/>
        <w:rPr>
          <w:sz w:val="20"/>
          <w:szCs w:val="20"/>
          <w:color w:val="auto"/>
        </w:rPr>
      </w:pPr>
    </w:p>
    <w:p>
      <w:pPr>
        <w:jc w:val="both"/>
        <w:ind w:right="100" w:firstLine="656"/>
        <w:spacing w:after="0" w:line="258" w:lineRule="auto"/>
        <w:tabs>
          <w:tab w:leader="none" w:pos="1304"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Partnership will pay all reasonable Registration Expenses, as determined in good faith, in connection with a shelf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Arial" w:cs="Arial" w:eastAsia="Arial" w:hAnsi="Arial"/>
          <w:sz w:val="18"/>
          <w:szCs w:val="18"/>
          <w:u w:val="single" w:color="auto"/>
          <w:color w:val="auto"/>
        </w:rPr>
        <w:t>Section 2.08</w:t>
      </w:r>
      <w:r>
        <w:rPr>
          <w:rFonts w:ascii="Arial" w:cs="Arial" w:eastAsia="Arial" w:hAnsi="Arial"/>
          <w:sz w:val="18"/>
          <w:szCs w:val="18"/>
          <w:color w:val="auto"/>
        </w:rPr>
        <w:t>, the Partnership shall not be responsible for professional fees (including legal fees) incurred by Holders in connection with the exercise of such Holders’ rights hereunder.</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5" w:lineRule="auto"/>
        <w:tabs>
          <w:tab w:leader="none" w:pos="1294" w:val="left"/>
        </w:tabs>
        <w:numPr>
          <w:ilvl w:val="0"/>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t>By the Partnership</w:t>
      </w:r>
      <w:r>
        <w:rPr>
          <w:rFonts w:ascii="Arial" w:cs="Arial" w:eastAsia="Arial" w:hAnsi="Arial"/>
          <w:sz w:val="16"/>
          <w:szCs w:val="16"/>
          <w:color w:val="auto"/>
        </w:rPr>
        <w:t>. In the event of a registration of any Registrable Securities under the Securities Act pursuant to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Arial" w:cs="Arial" w:eastAsia="Arial" w:hAnsi="Arial"/>
          <w:sz w:val="16"/>
          <w:szCs w:val="16"/>
          <w:b w:val="1"/>
          <w:bCs w:val="1"/>
          <w:u w:val="single" w:color="auto"/>
          <w:color w:val="auto"/>
        </w:rPr>
        <w:t>Selling Holder Indemnified Persons</w:t>
      </w:r>
      <w:r>
        <w:rPr>
          <w:rFonts w:ascii="Arial" w:cs="Arial" w:eastAsia="Arial" w:hAnsi="Arial"/>
          <w:sz w:val="16"/>
          <w:szCs w:val="16"/>
          <w:color w:val="auto"/>
        </w:rPr>
        <w:t>”), against any losses, claims, damages, expenses or liabilities (including reasonable attorneys’ fees and expenses) (collectively, “</w:t>
      </w:r>
      <w:r>
        <w:rPr>
          <w:rFonts w:ascii="Arial" w:cs="Arial" w:eastAsia="Arial" w:hAnsi="Arial"/>
          <w:sz w:val="16"/>
          <w:szCs w:val="16"/>
          <w:b w:val="1"/>
          <w:bCs w:val="1"/>
          <w:u w:val="single" w:color="auto"/>
          <w:color w:val="auto"/>
        </w:rPr>
        <w:t>Losses</w:t>
      </w:r>
      <w:r>
        <w:rPr>
          <w:rFonts w:ascii="Arial" w:cs="Arial" w:eastAsia="Arial" w:hAnsi="Arial"/>
          <w:sz w:val="16"/>
          <w:szCs w:val="16"/>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72" w:lineRule="exact"/>
        <w:rPr>
          <w:rFonts w:ascii="Arial" w:cs="Arial" w:eastAsia="Arial" w:hAnsi="Arial"/>
          <w:sz w:val="16"/>
          <w:szCs w:val="16"/>
          <w:color w:val="auto"/>
        </w:rPr>
      </w:pPr>
    </w:p>
    <w:p>
      <w:pPr>
        <w:ind w:right="40" w:firstLine="656"/>
        <w:spacing w:after="0" w:line="282" w:lineRule="auto"/>
        <w:tabs>
          <w:tab w:leader="none" w:pos="1304"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By Each Selling Holder</w:t>
      </w:r>
      <w:r>
        <w:rPr>
          <w:rFonts w:ascii="Arial" w:cs="Arial" w:eastAsia="Arial" w:hAnsi="Arial"/>
          <w:sz w:val="18"/>
          <w:szCs w:val="18"/>
          <w:color w:val="auto"/>
        </w:rPr>
        <w:t>. Each Selling Holder agrees severally and not jointly to indemnify and hold harmless the Partnership,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the GP Entities, GP LLC’s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5" w:lineRule="exact"/>
        <w:rPr>
          <w:sz w:val="20"/>
          <w:szCs w:val="20"/>
          <w:color w:val="auto"/>
        </w:rPr>
      </w:pPr>
    </w:p>
    <w:p>
      <w:pPr>
        <w:ind w:firstLine="656"/>
        <w:spacing w:after="0" w:line="285" w:lineRule="auto"/>
        <w:tabs>
          <w:tab w:leader="none" w:pos="1307" w:val="left"/>
        </w:tabs>
        <w:numPr>
          <w:ilvl w:val="0"/>
          <w:numId w:val="29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Promptly after receipt by an indemnified party hereunder of notice of the commencement of any action, such indemnified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Arial" w:cs="Arial" w:eastAsia="Arial" w:hAnsi="Arial"/>
          <w:sz w:val="16"/>
          <w:szCs w:val="16"/>
          <w:u w:val="single" w:color="auto"/>
          <w:color w:val="auto"/>
        </w:rPr>
        <w:t>Section 2.08(c)</w:t>
      </w:r>
      <w:r>
        <w:rPr>
          <w:rFonts w:ascii="Arial" w:cs="Arial" w:eastAsia="Arial" w:hAnsi="Arial"/>
          <w:sz w:val="16"/>
          <w:szCs w:val="16"/>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for any legal expenses subsequently incurred by such indemnified party in connection with the defense thereof other than reasonable costs of investigation and of liaison with counsel so selected;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ectPr>
          <w:pgSz w:w="11900" w:h="16922" w:orient="portrait"/>
          <w:cols w:equalWidth="0" w:num="1">
            <w:col w:w="11420"/>
          </w:cols>
          <w:pgMar w:left="240" w:top="121" w:right="239" w:bottom="0" w:gutter="0" w:footer="0" w:header="0"/>
        </w:sectPr>
      </w:pPr>
    </w:p>
    <w:bookmarkStart w:id="119" w:name="page120"/>
    <w:bookmarkEnd w:id="119"/>
    <w:p>
      <w:pPr>
        <w:ind w:right="20" w:firstLine="656"/>
        <w:spacing w:after="0" w:line="314" w:lineRule="auto"/>
        <w:tabs>
          <w:tab w:leader="none" w:pos="1304" w:val="left"/>
        </w:tabs>
        <w:numPr>
          <w:ilvl w:val="0"/>
          <w:numId w:val="299"/>
        </w:numPr>
        <w:rPr>
          <w:rFonts w:ascii="Arial" w:cs="Arial" w:eastAsia="Arial" w:hAnsi="Arial"/>
          <w:sz w:val="16"/>
          <w:szCs w:val="16"/>
          <w:color w:val="auto"/>
        </w:rPr>
      </w:pPr>
      <w:r>
        <w:rPr>
          <w:rFonts w:ascii="Arial" w:cs="Arial" w:eastAsia="Arial" w:hAnsi="Arial"/>
          <w:sz w:val="16"/>
          <w:szCs w:val="16"/>
          <w:b w:val="1"/>
          <w:bCs w:val="1"/>
          <w:u w:val="single" w:color="auto"/>
          <w:color w:val="auto"/>
        </w:rPr>
        <w:t>Contribution</w:t>
      </w:r>
      <w:r>
        <w:rPr>
          <w:rFonts w:ascii="Arial" w:cs="Arial" w:eastAsia="Arial" w:hAnsi="Arial"/>
          <w:sz w:val="16"/>
          <w:szCs w:val="16"/>
          <w:color w:val="auto"/>
        </w:rPr>
        <w:t>. If the indemnification provided for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2.08</w:t>
      </w:r>
      <w:r>
        <w:rPr>
          <w:rFonts w:ascii="Arial" w:cs="Arial" w:eastAsia="Arial" w:hAnsi="Arial"/>
          <w:sz w:val="16"/>
          <w:szCs w:val="16"/>
          <w:b w:val="1"/>
          <w:bCs w:val="1"/>
          <w:color w:val="auto"/>
        </w:rPr>
        <w:t xml:space="preserve"> </w:t>
      </w:r>
      <w:r>
        <w:rPr>
          <w:rFonts w:ascii="Arial" w:cs="Arial" w:eastAsia="Arial" w:hAnsi="Arial"/>
          <w:sz w:val="16"/>
          <w:szCs w:val="16"/>
          <w:color w:val="auto"/>
        </w:rPr>
        <w:t>is held by a court or government agency of competent jurisdiction to</w:t>
      </w:r>
      <w:r>
        <w:rPr>
          <w:rFonts w:ascii="Arial" w:cs="Arial" w:eastAsia="Arial" w:hAnsi="Arial"/>
          <w:sz w:val="16"/>
          <w:szCs w:val="16"/>
          <w:b w:val="1"/>
          <w:bCs w:val="1"/>
          <w:color w:val="auto"/>
        </w:rPr>
        <w:t xml:space="preserve"> </w:t>
      </w:r>
      <w:r>
        <w:rPr>
          <w:rFonts w:ascii="Arial" w:cs="Arial" w:eastAsia="Arial" w:hAnsi="Arial"/>
          <w:sz w:val="16"/>
          <w:szCs w:val="16"/>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65" w:lineRule="exact"/>
        <w:rPr>
          <w:sz w:val="20"/>
          <w:szCs w:val="20"/>
          <w:color w:val="auto"/>
        </w:rPr>
      </w:pPr>
    </w:p>
    <w:p>
      <w:pPr>
        <w:ind w:right="120" w:firstLine="656"/>
        <w:spacing w:after="0" w:line="282" w:lineRule="auto"/>
        <w:tabs>
          <w:tab w:leader="none" w:pos="1307"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Indemnification</w:t>
      </w:r>
      <w:r>
        <w:rPr>
          <w:rFonts w:ascii="Arial" w:cs="Arial" w:eastAsia="Arial" w:hAnsi="Arial"/>
          <w:sz w:val="18"/>
          <w:szCs w:val="18"/>
          <w:color w:val="auto"/>
        </w:rPr>
        <w:t>.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2.08</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addition to any other rights to indemnification or contribution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indemnified party may have pursuant to law, equity, contract or otherwise.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b w:val="1"/>
          <w:bCs w:val="1"/>
          <w:u w:val="single" w:color="auto"/>
          <w:color w:val="auto"/>
        </w:rPr>
        <w:t>Rule 144 Reporting</w:t>
      </w:r>
      <w:r>
        <w:rPr>
          <w:rFonts w:ascii="Arial" w:cs="Arial" w:eastAsia="Arial" w:hAnsi="Arial"/>
          <w:sz w:val="17"/>
          <w:szCs w:val="17"/>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pacing w:after="0" w:line="142" w:lineRule="exact"/>
        <w:rPr>
          <w:sz w:val="20"/>
          <w:szCs w:val="20"/>
          <w:color w:val="auto"/>
        </w:rPr>
      </w:pPr>
    </w:p>
    <w:p>
      <w:pPr>
        <w:ind w:right="360" w:firstLine="656"/>
        <w:spacing w:after="0" w:line="277" w:lineRule="auto"/>
        <w:tabs>
          <w:tab w:leader="none" w:pos="129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70" w:lineRule="exact"/>
        <w:rPr>
          <w:rFonts w:ascii="Arial" w:cs="Arial" w:eastAsia="Arial" w:hAnsi="Arial"/>
          <w:sz w:val="18"/>
          <w:szCs w:val="18"/>
          <w:color w:val="auto"/>
        </w:rPr>
      </w:pPr>
    </w:p>
    <w:p>
      <w:pPr>
        <w:ind w:right="240" w:firstLine="656"/>
        <w:spacing w:after="0" w:line="277" w:lineRule="auto"/>
        <w:tabs>
          <w:tab w:leader="none" w:pos="130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70" w:lineRule="exact"/>
        <w:rPr>
          <w:rFonts w:ascii="Arial" w:cs="Arial" w:eastAsia="Arial" w:hAnsi="Arial"/>
          <w:sz w:val="18"/>
          <w:szCs w:val="18"/>
          <w:color w:val="auto"/>
        </w:rPr>
      </w:pPr>
    </w:p>
    <w:p>
      <w:pPr>
        <w:ind w:right="160" w:firstLine="656"/>
        <w:spacing w:after="0" w:line="276" w:lineRule="auto"/>
        <w:tabs>
          <w:tab w:leader="none" w:pos="1307" w:val="left"/>
        </w:tabs>
        <w:numPr>
          <w:ilvl w:val="0"/>
          <w:numId w:val="301"/>
        </w:numPr>
        <w:rPr>
          <w:rFonts w:ascii="Arial" w:cs="Arial" w:eastAsia="Arial" w:hAnsi="Arial"/>
          <w:sz w:val="17"/>
          <w:szCs w:val="17"/>
          <w:color w:val="auto"/>
        </w:rPr>
      </w:pPr>
      <w:r>
        <w:rPr>
          <w:rFonts w:ascii="Arial" w:cs="Arial" w:eastAsia="Arial" w:hAnsi="Arial"/>
          <w:sz w:val="17"/>
          <w:szCs w:val="17"/>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u w:val="single" w:color="auto"/>
          <w:color w:val="auto"/>
        </w:rPr>
        <w:t>Transfer or Assignment of Registration Rights</w:t>
      </w:r>
      <w:r>
        <w:rPr>
          <w:rFonts w:ascii="Arial" w:cs="Arial" w:eastAsia="Arial" w:hAnsi="Arial"/>
          <w:sz w:val="17"/>
          <w:szCs w:val="17"/>
          <w:color w:val="auto"/>
        </w:rPr>
        <w:t xml:space="preserve">. The rights to cause the Partnership to register Registrable Securities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may be transferred or assigned by each Holder to one or more transferees or assignees of Registrable Securities or securities convertible into Registrable Securities;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(a) unless any such transferee or assignee is an Affiliate of, and after such transfer or assignment continues to be an Affiliate of, such Holder, the amount of Registrable Securities or securities convertible into Registrable Securities, as applicable, transferred or assigned to such transferee or assignee shall represent at least $50 million of Registrable Securities (determined by multiplying the number of Registrable Securities owned by the Average Common Unit Price as of date of such transfer or assignment), (b) the Partnership is given written notice prior to any said transfer or assignment, stating the name and address of each such transferee or assignee and identifying the securities with respect to which such registration rights are being transferred or assigned and (c) each such transferee or assignee assumes in writing responsibility for its portion of the obligations of such transferring Holder under this Agreement.</w:t>
      </w:r>
    </w:p>
    <w:p>
      <w:pPr>
        <w:spacing w:after="0" w:line="174"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b w:val="1"/>
          <w:bCs w:val="1"/>
          <w:u w:val="single" w:color="auto"/>
          <w:color w:val="auto"/>
        </w:rPr>
        <w:t>Limitation on Subsequent Registration Rights</w:t>
      </w:r>
      <w:r>
        <w:rPr>
          <w:rFonts w:ascii="Arial" w:cs="Arial" w:eastAsia="Arial" w:hAnsi="Arial"/>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u w:val="single" w:color="auto"/>
          <w:color w:val="auto"/>
        </w:rPr>
        <w:t>Communications</w:t>
      </w:r>
      <w:r>
        <w:rPr>
          <w:rFonts w:ascii="Arial" w:cs="Arial" w:eastAsia="Arial" w:hAnsi="Arial"/>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80" w:lineRule="exact"/>
        <w:rPr>
          <w:sz w:val="20"/>
          <w:szCs w:val="20"/>
          <w:color w:val="auto"/>
        </w:rPr>
      </w:pPr>
    </w:p>
    <w:p>
      <w:pPr>
        <w:ind w:left="1940" w:hanging="635"/>
        <w:spacing w:after="0"/>
        <w:tabs>
          <w:tab w:leader="none" w:pos="194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If to the Initial Investor Holders, to the addresses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with a copy to (which shall not constitute notice):</w:t>
      </w:r>
    </w:p>
    <w:p>
      <w:pPr>
        <w:spacing w:after="0" w:line="236"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Baker Botts L.L.P.</w:t>
      </w:r>
    </w:p>
    <w:p>
      <w:pPr>
        <w:spacing w:after="0" w:line="23" w:lineRule="exact"/>
        <w:rPr>
          <w:rFonts w:ascii="Arial" w:cs="Arial" w:eastAsia="Arial" w:hAnsi="Arial"/>
          <w:sz w:val="17"/>
          <w:szCs w:val="17"/>
          <w:color w:val="auto"/>
        </w:rPr>
      </w:pPr>
    </w:p>
    <w:p>
      <w:pPr>
        <w:ind w:left="1960" w:right="7440"/>
        <w:spacing w:after="0" w:line="281" w:lineRule="auto"/>
        <w:rPr>
          <w:rFonts w:ascii="Arial" w:cs="Arial" w:eastAsia="Arial" w:hAnsi="Arial"/>
          <w:sz w:val="17"/>
          <w:szCs w:val="17"/>
          <w:color w:val="auto"/>
        </w:rPr>
      </w:pPr>
      <w:r>
        <w:rPr>
          <w:rFonts w:ascii="Arial" w:cs="Arial" w:eastAsia="Arial" w:hAnsi="Arial"/>
          <w:sz w:val="16"/>
          <w:szCs w:val="16"/>
          <w:color w:val="auto"/>
        </w:rPr>
        <w:t>910 Louisiana St. Houston, Texas 77002 Attention: Joshua Davidson Facsimile: (713) 229-2727</w:t>
      </w:r>
    </w:p>
    <w:p>
      <w:pPr>
        <w:spacing w:after="0" w:line="2"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Email: joshua.davidson@bakerbotts.com</w:t>
      </w:r>
    </w:p>
    <w:p>
      <w:pPr>
        <w:sectPr>
          <w:pgSz w:w="11900" w:h="16838" w:orient="portrait"/>
          <w:cols w:equalWidth="0" w:num="1">
            <w:col w:w="11400"/>
          </w:cols>
          <w:pgMar w:left="240" w:top="337" w:right="259" w:bottom="0" w:gutter="0" w:footer="0" w:header="0"/>
        </w:sectPr>
      </w:pPr>
    </w:p>
    <w:bookmarkStart w:id="120" w:name="page121"/>
    <w:bookmarkEnd w:id="120"/>
    <w:p>
      <w:pPr>
        <w:spacing w:after="0" w:line="92" w:lineRule="exact"/>
        <w:rPr>
          <w:sz w:val="20"/>
          <w:szCs w:val="20"/>
          <w:color w:val="auto"/>
        </w:rPr>
      </w:pPr>
    </w:p>
    <w:p>
      <w:pPr>
        <w:ind w:left="5620" w:right="3800" w:hanging="4315"/>
        <w:spacing w:after="0" w:line="528" w:lineRule="auto"/>
        <w:tabs>
          <w:tab w:leader="none" w:pos="195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If to the Initial Management Holders, to the addresses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16</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to the Partnership:</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23" w:lineRule="exact"/>
        <w:rPr>
          <w:rFonts w:ascii="Arial" w:cs="Arial" w:eastAsia="Arial" w:hAnsi="Arial"/>
          <w:sz w:val="18"/>
          <w:szCs w:val="18"/>
          <w:color w:val="auto"/>
        </w:rPr>
      </w:pPr>
    </w:p>
    <w:p>
      <w:pPr>
        <w:ind w:left="1960" w:right="7420"/>
        <w:spacing w:after="0" w:line="253" w:lineRule="auto"/>
        <w:rPr>
          <w:rFonts w:ascii="Arial" w:cs="Arial" w:eastAsia="Arial" w:hAnsi="Arial"/>
          <w:sz w:val="18"/>
          <w:szCs w:val="18"/>
          <w:color w:val="auto"/>
        </w:rPr>
      </w:pPr>
      <w:r>
        <w:rPr>
          <w:rFonts w:ascii="Arial" w:cs="Arial" w:eastAsia="Arial" w:hAnsi="Arial"/>
          <w:sz w:val="18"/>
          <w:szCs w:val="18"/>
          <w:color w:val="auto"/>
        </w:rPr>
        <w:t>333 Clay Street Suite 1600 Houston, Texas 77002 Attention: Richard McGee Email: rkmcgee@paalp.com</w:t>
      </w:r>
    </w:p>
    <w:p>
      <w:pPr>
        <w:spacing w:after="0" w:line="19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to (which shall not constitute notice):</w:t>
      </w:r>
    </w:p>
    <w:p>
      <w:pPr>
        <w:spacing w:after="0" w:line="225" w:lineRule="exact"/>
        <w:rPr>
          <w:rFonts w:ascii="Arial" w:cs="Arial" w:eastAsia="Arial" w:hAnsi="Arial"/>
          <w:sz w:val="18"/>
          <w:szCs w:val="18"/>
          <w:color w:val="auto"/>
        </w:rPr>
      </w:pPr>
    </w:p>
    <w:p>
      <w:pPr>
        <w:ind w:left="1960" w:right="7780"/>
        <w:spacing w:after="0" w:line="256" w:lineRule="auto"/>
        <w:rPr>
          <w:rFonts w:ascii="Arial" w:cs="Arial" w:eastAsia="Arial" w:hAnsi="Arial"/>
          <w:sz w:val="18"/>
          <w:szCs w:val="18"/>
          <w:color w:val="auto"/>
        </w:rPr>
      </w:pPr>
      <w:r>
        <w:rPr>
          <w:rFonts w:ascii="Arial" w:cs="Arial" w:eastAsia="Arial" w:hAnsi="Arial"/>
          <w:sz w:val="18"/>
          <w:szCs w:val="18"/>
          <w:color w:val="auto"/>
        </w:rPr>
        <w:t>Vinson &amp; Elkins L.L.P. 1001 Fannin Street Suite 2500</w:t>
      </w:r>
    </w:p>
    <w:p>
      <w:pPr>
        <w:ind w:left="1960" w:right="7540"/>
        <w:spacing w:after="0" w:line="295" w:lineRule="auto"/>
        <w:rPr>
          <w:rFonts w:ascii="Arial" w:cs="Arial" w:eastAsia="Arial" w:hAnsi="Arial"/>
          <w:sz w:val="18"/>
          <w:szCs w:val="18"/>
          <w:color w:val="auto"/>
        </w:rPr>
      </w:pPr>
      <w:r>
        <w:rPr>
          <w:rFonts w:ascii="Arial" w:cs="Arial" w:eastAsia="Arial" w:hAnsi="Arial"/>
          <w:sz w:val="16"/>
          <w:szCs w:val="16"/>
          <w:color w:val="auto"/>
        </w:rPr>
        <w:t>Houston TX 77002-6760 Attention: Alan Beck Facsimile: (713) 615-5620 Email: abeck@velaw.com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or to such other address as the Partnership or the Initial Holders may designate to each other in writing from time to time or, if to a transferee or assignee of the Initial Holders or any transferee or assignee thereof, to such transferee or assignee at the address provided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the Partnership, each of the Initial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80"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b w:val="1"/>
          <w:bCs w:val="1"/>
          <w:u w:val="single" w:color="auto"/>
          <w:color w:val="auto"/>
        </w:rPr>
        <w:t>Assignment of Rights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neither this Agreement nor any of the rights, benefits or obligations hereunder may be assigned or transferred, by operation of law or otherwise, by any party hereto without the prior written consent of the other party.</w:t>
      </w:r>
    </w:p>
    <w:p>
      <w:pPr>
        <w:spacing w:after="0" w:line="116" w:lineRule="exact"/>
        <w:rPr>
          <w:sz w:val="20"/>
          <w:szCs w:val="20"/>
          <w:color w:val="auto"/>
        </w:rPr>
      </w:pPr>
    </w:p>
    <w:p>
      <w:pPr>
        <w:ind w:right="320" w:firstLine="648"/>
        <w:spacing w:after="0" w:line="28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b w:val="1"/>
          <w:bCs w:val="1"/>
          <w:u w:val="single" w:color="auto"/>
          <w:color w:val="auto"/>
        </w:rPr>
        <w:t>Recapitalization, Exchanges, Etc. Affecting Units</w:t>
      </w:r>
      <w:r>
        <w:rPr>
          <w:rFonts w:ascii="Arial" w:cs="Arial" w:eastAsia="Arial" w:hAnsi="Arial"/>
          <w:sz w:val="17"/>
          <w:szCs w:val="17"/>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b w:val="1"/>
          <w:bCs w:val="1"/>
          <w:u w:val="single" w:color="auto"/>
          <w:color w:val="auto"/>
        </w:rPr>
        <w:t>Aggregation of Registrable Securities</w:t>
      </w:r>
      <w:r>
        <w:rPr>
          <w:rFonts w:ascii="Arial" w:cs="Arial" w:eastAsia="Arial" w:hAnsi="Arial"/>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88"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60" w:lineRule="exact"/>
        <w:rPr>
          <w:sz w:val="20"/>
          <w:szCs w:val="20"/>
          <w:color w:val="auto"/>
        </w:rPr>
      </w:pPr>
    </w:p>
    <w:p>
      <w:pPr>
        <w:ind w:right="240" w:firstLine="648"/>
        <w:spacing w:after="0" w:line="281"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w:t>
      </w:r>
    </w:p>
    <w:p>
      <w:pPr>
        <w:sectPr>
          <w:pgSz w:w="11900" w:h="16930" w:orient="portrait"/>
          <w:cols w:equalWidth="0" w:num="1">
            <w:col w:w="11420"/>
          </w:cols>
          <w:pgMar w:left="240" w:top="125" w:right="239" w:bottom="0" w:gutter="0" w:footer="0" w:header="0"/>
        </w:sectPr>
      </w:pPr>
    </w:p>
    <w:bookmarkStart w:id="121" w:name="page122"/>
    <w:bookmarkEnd w:id="121"/>
    <w:p>
      <w:pPr>
        <w:ind w:right="40"/>
        <w:spacing w:after="0" w:line="259" w:lineRule="auto"/>
        <w:rPr>
          <w:sz w:val="20"/>
          <w:szCs w:val="20"/>
          <w:color w:val="auto"/>
        </w:rPr>
      </w:pPr>
      <w:r>
        <w:rPr>
          <w:rFonts w:ascii="Arial" w:cs="Arial" w:eastAsia="Arial" w:hAnsi="Arial"/>
          <w:sz w:val="18"/>
          <w:szCs w:val="18"/>
          <w:color w:val="auto"/>
        </w:rPr>
        <w:t>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COUNTERPART OF A COPY OF THIS AGREEMENT WITH ANY COURT AS WRITTEN EVIDENCE OF THE CONSENT OF THE PARTIES HERETO TO THE WAIVER OF THEIR RIGHT TO TRIAL BY JURY.</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herein with respect to the rights granted by the Partnership or any of its Affiliates. This Agreement and the other agreements and documents referred to herein or therein supersede all prior agreements and understandings between the parties with respect to such subject matter.</w:t>
      </w:r>
    </w:p>
    <w:p>
      <w:pPr>
        <w:spacing w:after="0" w:line="168"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no such amendment shall adversely affect the rights of any Holder hereunder without the consent of such Holder. Any amendment, supplement or modification of or to any provision of this Agreement, any waiver of any provision of this Agreement, and any consent to any departure by the Partnership or any Holder from the terms of any provision of this Agreement shall be effective only in the specific instance and for the specific purpose for which such amendment, supplement, modification, waiver or consent has been made or given.</w:t>
      </w:r>
    </w:p>
    <w:p>
      <w:pPr>
        <w:spacing w:after="0" w:line="174"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u w:val="single" w:color="auto"/>
          <w:color w:val="auto"/>
        </w:rPr>
        <w:t>No Presumption</w:t>
      </w:r>
      <w:r>
        <w:rPr>
          <w:rFonts w:ascii="Arial" w:cs="Arial" w:eastAsia="Arial" w:hAnsi="Arial"/>
          <w:sz w:val="18"/>
          <w:szCs w:val="18"/>
          <w:color w:val="auto"/>
        </w:rPr>
        <w:t>. This Agreement has been reviewed and negotiated by sophisticated parties with access to legal counsel and shall not be construed against the drafter.</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b w:val="1"/>
          <w:bCs w:val="1"/>
          <w:u w:val="single" w:color="auto"/>
          <w:color w:val="auto"/>
        </w:rPr>
        <w:t>Obligations Limited to Parties to Agreement</w:t>
      </w:r>
      <w:r>
        <w:rPr>
          <w:rFonts w:ascii="Arial" w:cs="Arial" w:eastAsia="Arial" w:hAnsi="Arial"/>
          <w:sz w:val="17"/>
          <w:szCs w:val="17"/>
          <w:color w:val="auto"/>
        </w:rPr>
        <w:t>. Each of the parties hereto covenants, agrees and acknowledges that, other than as set forth herein, no Person other than the Initial Holders,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Initial Holder or a Selling Holder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Initial Holder, such action shall be in such Initial Holder’s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ALL AMERICAN PIPELINE, L.P.</w:t>
      </w:r>
    </w:p>
    <w:p>
      <w:pPr>
        <w:sectPr>
          <w:pgSz w:w="11900" w:h="16838" w:orient="portrait"/>
          <w:cols w:equalWidth="0" w:num="1">
            <w:col w:w="11420"/>
          </w:cols>
          <w:pgMar w:left="240" w:top="125" w:right="239" w:bottom="0" w:gutter="0" w:footer="0" w:header="0"/>
        </w:sectPr>
      </w:pPr>
    </w:p>
    <w:bookmarkStart w:id="122" w:name="page123"/>
    <w:bookmarkEnd w:id="122"/>
    <w:p>
      <w:pPr>
        <w:ind w:left="4420"/>
        <w:spacing w:after="0"/>
        <w:tabs>
          <w:tab w:leader="none" w:pos="4860" w:val="left"/>
        </w:tabs>
        <w:rPr>
          <w:sz w:val="20"/>
          <w:szCs w:val="20"/>
          <w:color w:val="auto"/>
        </w:rPr>
      </w:pPr>
      <w:r>
        <w:rPr>
          <w:rFonts w:ascii="Arial" w:cs="Arial" w:eastAsia="Arial" w:hAnsi="Arial"/>
          <w:sz w:val="18"/>
          <w:szCs w:val="18"/>
          <w:color w:val="auto"/>
        </w:rPr>
        <w:t>By:</w:t>
        <w:tab/>
        <w:t>PAA GP LLC, its general partner</w:t>
      </w:r>
    </w:p>
    <w:p>
      <w:pPr>
        <w:spacing w:after="0" w:line="225" w:lineRule="exact"/>
        <w:rPr>
          <w:sz w:val="20"/>
          <w:szCs w:val="20"/>
          <w:color w:val="auto"/>
        </w:rPr>
      </w:pPr>
    </w:p>
    <w:p>
      <w:pPr>
        <w:ind w:left="4420"/>
        <w:spacing w:after="0"/>
        <w:tabs>
          <w:tab w:leader="none" w:pos="486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4420"/>
        <w:spacing w:after="0"/>
        <w:tabs>
          <w:tab w:leader="none" w:pos="486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80" w:type="dxa"/>
            <w:vAlign w:val="bottom"/>
          </w:tcPr>
          <w:p>
            <w:pPr>
              <w:spacing w:after="0"/>
              <w:rPr>
                <w:sz w:val="20"/>
                <w:szCs w:val="20"/>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INITIAL HOLDERS: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INITIAL INVESTOR HOLDERS: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EMG INVESTMENT, LLC</w:t>
      </w:r>
    </w:p>
    <w:p>
      <w:pPr>
        <w:sectPr>
          <w:pgSz w:w="11900" w:h="16838" w:orient="portrait"/>
          <w:cols w:equalWidth="0" w:num="1">
            <w:col w:w="10220"/>
          </w:cols>
          <w:pgMar w:left="1440" w:top="341" w:right="239" w:bottom="0" w:gutter="0" w:footer="0" w:header="0"/>
        </w:sectPr>
      </w:pP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EMG Admin LP, its manager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EMG Admin, LLC, its general partner</w:t>
      </w:r>
    </w:p>
    <w:p>
      <w:pPr>
        <w:spacing w:after="0" w:line="211" w:lineRule="exact"/>
        <w:rPr>
          <w:sz w:val="20"/>
          <w:szCs w:val="20"/>
          <w:color w:val="auto"/>
        </w:rPr>
      </w:pPr>
    </w:p>
    <w:p>
      <w:pPr>
        <w:sectPr>
          <w:pgSz w:w="11900" w:h="16838" w:orient="portrait"/>
          <w:cols w:equalWidth="0" w:num="2">
            <w:col w:w="4880" w:space="360"/>
            <w:col w:w="4980"/>
          </w:cols>
          <w:pgMar w:left="1440" w:top="341" w:right="239" w:bottom="0" w:gutter="0" w:footer="0" w:header="0"/>
          <w:type w:val="continuous"/>
        </w:sectPr>
      </w:pP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-130810</wp:posOffset>
            </wp:positionV>
            <wp:extent cx="31730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KAFU HOLDINGS, L.P.</w:t>
      </w:r>
    </w:p>
    <w:p>
      <w:pPr>
        <w:spacing w:after="0" w:line="229" w:lineRule="exact"/>
        <w:rPr>
          <w:sz w:val="20"/>
          <w:szCs w:val="20"/>
          <w:color w:val="auto"/>
        </w:rPr>
      </w:pPr>
    </w:p>
    <w:p>
      <w:pPr>
        <w:ind w:left="462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KAFU Holdings, LLC,</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-130810</wp:posOffset>
            </wp:positionV>
            <wp:extent cx="31642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KAFU HOLDINGS (QP), L.P.</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KAFU HOLDINGS II, L.P.</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KAFU Holdings, LLC,</w:t>
            </w:r>
          </w:p>
        </w:tc>
      </w:tr>
      <w:tr>
        <w:trPr>
          <w:trHeight w:val="230"/>
        </w:trPr>
        <w:tc>
          <w:tcPr>
            <w:tcW w:w="580" w:type="dxa"/>
            <w:vAlign w:val="bottom"/>
          </w:tcPr>
          <w:p>
            <w:pPr>
              <w:spacing w:after="0"/>
              <w:rPr>
                <w:sz w:val="20"/>
                <w:szCs w:val="20"/>
                <w:color w:val="auto"/>
              </w:rPr>
            </w:pP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5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KAYNE ANDERSON MLP INVESTMENT COMPANY</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-130810</wp:posOffset>
            </wp:positionV>
            <wp:extent cx="31299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341" w:right="239" w:bottom="0" w:gutter="0" w:footer="0" w:header="0"/>
          <w:type w:val="continuous"/>
        </w:sectPr>
      </w:pPr>
    </w:p>
    <w:bookmarkStart w:id="123" w:name="page124"/>
    <w:bookmarkEnd w:id="123"/>
    <w:p>
      <w:pPr>
        <w:ind w:left="4580"/>
        <w:spacing w:after="0"/>
        <w:rPr>
          <w:sz w:val="20"/>
          <w:szCs w:val="20"/>
          <w:color w:val="auto"/>
        </w:rPr>
      </w:pPr>
      <w:r>
        <w:rPr>
          <w:rFonts w:ascii="Arial" w:cs="Arial" w:eastAsia="Arial" w:hAnsi="Arial"/>
          <w:sz w:val="18"/>
          <w:szCs w:val="18"/>
          <w:b w:val="1"/>
          <w:bCs w:val="1"/>
          <w:color w:val="auto"/>
        </w:rPr>
        <w:t>KAYNE ANDERSON ENERGY</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DEVELOPMENT COMPANY</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-130810</wp:posOffset>
            </wp:positionV>
            <wp:extent cx="31299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KAYNE ANDERSON MIDSTREAM/ ENERGY</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FUND, INC.</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PAA Management LLC,</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6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STROME PAA, L.P.</w:t>
      </w:r>
    </w:p>
    <w:p>
      <w:pPr>
        <w:spacing w:after="0" w:line="225" w:lineRule="exact"/>
        <w:rPr>
          <w:sz w:val="20"/>
          <w:szCs w:val="20"/>
          <w:color w:val="auto"/>
        </w:rPr>
      </w:pPr>
    </w:p>
    <w:p>
      <w:pPr>
        <w:ind w:left="4520"/>
        <w:spacing w:after="0"/>
        <w:tabs>
          <w:tab w:leader="none" w:pos="5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Strome Investment Management, LP, its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E. STROME LIVING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WINDY,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LYNX HOLDINGS I,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429260</wp:posOffset>
            </wp:positionV>
            <wp:extent cx="36188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20"/>
          </w:cols>
          <w:pgMar w:left="1440" w:top="121" w:right="239" w:bottom="455" w:gutter="0" w:footer="0" w:header="0"/>
        </w:sectPr>
      </w:pPr>
    </w:p>
    <w:bookmarkStart w:id="124" w:name="page125"/>
    <w:bookmarkEnd w:id="124"/>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PAUL N. RIDDLE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1399"/>
        <w:spacing w:after="0"/>
        <w:rPr>
          <w:sz w:val="20"/>
          <w:szCs w:val="20"/>
          <w:color w:val="auto"/>
        </w:rPr>
      </w:pPr>
      <w:r>
        <w:rPr>
          <w:rFonts w:ascii="Arial" w:cs="Arial" w:eastAsia="Arial" w:hAnsi="Arial"/>
          <w:sz w:val="18"/>
          <w:szCs w:val="18"/>
          <w:b w:val="1"/>
          <w:bCs w:val="1"/>
          <w:color w:val="auto"/>
        </w:rPr>
        <w:t>INITIAL MANAGEMENT 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JIM FRYFOGLE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AGREEMENT OF LIMITED PARTNERSHIP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ectPr>
          <w:pgSz w:w="11900" w:h="16861" w:orient="portrait"/>
          <w:cols w:equalWidth="0" w:num="1">
            <w:col w:w="9019"/>
          </w:cols>
          <w:pgMar w:left="1440" w:top="121" w:right="1440" w:bottom="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w:t>
            </w:r>
          </w:p>
        </w:tc>
        <w:tc>
          <w:tcPr>
            <w:tcW w:w="994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1.2</w:t>
            </w:r>
          </w:p>
        </w:tc>
        <w:tc>
          <w:tcPr>
            <w:tcW w:w="99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rPr>
              <w:t>ARTICLE II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7"/>
              </w:rPr>
              <w:t>ORGANIZATION</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2.1</w:t>
            </w:r>
          </w:p>
        </w:tc>
        <w:tc>
          <w:tcPr>
            <w:tcW w:w="9940" w:type="dxa"/>
            <w:vAlign w:val="bottom"/>
          </w:tcPr>
          <w:p>
            <w:pPr>
              <w:ind w:left="180"/>
              <w:spacing w:after="0"/>
              <w:rPr>
                <w:sz w:val="20"/>
                <w:szCs w:val="20"/>
                <w:color w:val="auto"/>
              </w:rPr>
            </w:pPr>
            <w:r>
              <w:rPr>
                <w:rFonts w:ascii="Arial" w:cs="Arial" w:eastAsia="Arial" w:hAnsi="Arial"/>
                <w:sz w:val="18"/>
                <w:szCs w:val="18"/>
                <w:color w:val="auto"/>
              </w:rPr>
              <w:t>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2.2</w:t>
            </w:r>
          </w:p>
        </w:tc>
        <w:tc>
          <w:tcPr>
            <w:tcW w:w="9940" w:type="dxa"/>
            <w:vAlign w:val="bottom"/>
          </w:tcPr>
          <w:p>
            <w:pPr>
              <w:ind w:left="180"/>
              <w:spacing w:after="0"/>
              <w:rPr>
                <w:sz w:val="20"/>
                <w:szCs w:val="20"/>
                <w:color w:val="auto"/>
              </w:rPr>
            </w:pPr>
            <w:r>
              <w:rPr>
                <w:rFonts w:ascii="Arial" w:cs="Arial" w:eastAsia="Arial" w:hAnsi="Arial"/>
                <w:sz w:val="18"/>
                <w:szCs w:val="18"/>
                <w:color w:val="auto"/>
              </w:rPr>
              <w:t>Name</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2.3</w:t>
            </w:r>
          </w:p>
        </w:tc>
        <w:tc>
          <w:tcPr>
            <w:tcW w:w="9940" w:type="dxa"/>
            <w:vAlign w:val="bottom"/>
          </w:tcPr>
          <w:p>
            <w:pPr>
              <w:ind w:left="180"/>
              <w:spacing w:after="0"/>
              <w:rPr>
                <w:sz w:val="20"/>
                <w:szCs w:val="20"/>
                <w:color w:val="auto"/>
              </w:rPr>
            </w:pPr>
            <w:r>
              <w:rPr>
                <w:rFonts w:ascii="Arial" w:cs="Arial" w:eastAsia="Arial" w:hAnsi="Arial"/>
                <w:sz w:val="18"/>
                <w:szCs w:val="18"/>
                <w:color w:val="auto"/>
              </w:rPr>
              <w:t>Registered Office; Registered Agent; Principal Office; Other Offices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2.4</w:t>
            </w:r>
          </w:p>
        </w:tc>
        <w:tc>
          <w:tcPr>
            <w:tcW w:w="9940" w:type="dxa"/>
            <w:vAlign w:val="bottom"/>
          </w:tcPr>
          <w:p>
            <w:pPr>
              <w:ind w:left="180"/>
              <w:spacing w:after="0"/>
              <w:rPr>
                <w:sz w:val="20"/>
                <w:szCs w:val="20"/>
                <w:color w:val="auto"/>
              </w:rPr>
            </w:pPr>
            <w:r>
              <w:rPr>
                <w:rFonts w:ascii="Arial" w:cs="Arial" w:eastAsia="Arial" w:hAnsi="Arial"/>
                <w:sz w:val="18"/>
                <w:szCs w:val="18"/>
                <w:color w:val="auto"/>
              </w:rPr>
              <w:t>Purpose and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2.5</w:t>
            </w:r>
          </w:p>
        </w:tc>
        <w:tc>
          <w:tcPr>
            <w:tcW w:w="9940" w:type="dxa"/>
            <w:vAlign w:val="bottom"/>
          </w:tcPr>
          <w:p>
            <w:pPr>
              <w:ind w:left="180"/>
              <w:spacing w:after="0"/>
              <w:rPr>
                <w:sz w:val="20"/>
                <w:szCs w:val="20"/>
                <w:color w:val="auto"/>
              </w:rPr>
            </w:pPr>
            <w:r>
              <w:rPr>
                <w:rFonts w:ascii="Arial" w:cs="Arial" w:eastAsia="Arial" w:hAnsi="Arial"/>
                <w:sz w:val="18"/>
                <w:szCs w:val="18"/>
                <w:color w:val="auto"/>
              </w:rPr>
              <w:t>Powers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2.6</w:t>
            </w:r>
          </w:p>
        </w:tc>
        <w:tc>
          <w:tcPr>
            <w:tcW w:w="9940" w:type="dxa"/>
            <w:vAlign w:val="bottom"/>
          </w:tcPr>
          <w:p>
            <w:pPr>
              <w:ind w:left="180"/>
              <w:spacing w:after="0"/>
              <w:rPr>
                <w:sz w:val="20"/>
                <w:szCs w:val="20"/>
                <w:color w:val="auto"/>
              </w:rPr>
            </w:pPr>
            <w:r>
              <w:rPr>
                <w:rFonts w:ascii="Arial" w:cs="Arial" w:eastAsia="Arial" w:hAnsi="Arial"/>
                <w:sz w:val="18"/>
                <w:szCs w:val="18"/>
                <w:color w:val="auto"/>
              </w:rPr>
              <w:t>Term</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2.7</w:t>
            </w:r>
          </w:p>
        </w:tc>
        <w:tc>
          <w:tcPr>
            <w:tcW w:w="9940" w:type="dxa"/>
            <w:vAlign w:val="bottom"/>
          </w:tcPr>
          <w:p>
            <w:pPr>
              <w:ind w:left="180"/>
              <w:spacing w:after="0"/>
              <w:rPr>
                <w:sz w:val="20"/>
                <w:szCs w:val="20"/>
                <w:color w:val="auto"/>
              </w:rPr>
            </w:pPr>
            <w:r>
              <w:rPr>
                <w:rFonts w:ascii="Arial" w:cs="Arial" w:eastAsia="Arial" w:hAnsi="Arial"/>
                <w:sz w:val="18"/>
                <w:szCs w:val="18"/>
                <w:color w:val="auto"/>
              </w:rPr>
              <w:t>Title to Partnership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rPr>
              <w:t>ARTICLE III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w w:val="95"/>
              </w:rPr>
              <w:t>RIGHTS OF LIMITED PARTNERS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3.1</w:t>
            </w:r>
          </w:p>
        </w:tc>
        <w:tc>
          <w:tcPr>
            <w:tcW w:w="9940" w:type="dxa"/>
            <w:vAlign w:val="bottom"/>
          </w:tcPr>
          <w:p>
            <w:pPr>
              <w:ind w:left="180"/>
              <w:spacing w:after="0"/>
              <w:rPr>
                <w:sz w:val="20"/>
                <w:szCs w:val="20"/>
                <w:color w:val="auto"/>
              </w:rPr>
            </w:pPr>
            <w:r>
              <w:rPr>
                <w:rFonts w:ascii="Arial" w:cs="Arial" w:eastAsia="Arial" w:hAnsi="Arial"/>
                <w:sz w:val="18"/>
                <w:szCs w:val="18"/>
                <w:color w:val="auto"/>
              </w:rPr>
              <w:t>Limitation of Liability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3.2</w:t>
            </w:r>
          </w:p>
        </w:tc>
        <w:tc>
          <w:tcPr>
            <w:tcW w:w="9940" w:type="dxa"/>
            <w:vAlign w:val="bottom"/>
          </w:tcPr>
          <w:p>
            <w:pPr>
              <w:ind w:left="180"/>
              <w:spacing w:after="0"/>
              <w:rPr>
                <w:sz w:val="20"/>
                <w:szCs w:val="20"/>
                <w:color w:val="auto"/>
              </w:rPr>
            </w:pPr>
            <w:r>
              <w:rPr>
                <w:rFonts w:ascii="Arial" w:cs="Arial" w:eastAsia="Arial" w:hAnsi="Arial"/>
                <w:sz w:val="18"/>
                <w:szCs w:val="18"/>
                <w:color w:val="auto"/>
              </w:rPr>
              <w:t>Management of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3.3</w:t>
            </w:r>
          </w:p>
        </w:tc>
        <w:tc>
          <w:tcPr>
            <w:tcW w:w="9940" w:type="dxa"/>
            <w:vAlign w:val="bottom"/>
          </w:tcPr>
          <w:p>
            <w:pPr>
              <w:ind w:left="180"/>
              <w:spacing w:after="0"/>
              <w:rPr>
                <w:sz w:val="20"/>
                <w:szCs w:val="20"/>
                <w:color w:val="auto"/>
              </w:rPr>
            </w:pPr>
            <w:r>
              <w:rPr>
                <w:rFonts w:ascii="Arial" w:cs="Arial" w:eastAsia="Arial" w:hAnsi="Arial"/>
                <w:sz w:val="18"/>
                <w:szCs w:val="18"/>
                <w:color w:val="auto"/>
              </w:rPr>
              <w:t>Outside Activities of the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3.4</w:t>
            </w:r>
          </w:p>
        </w:tc>
        <w:tc>
          <w:tcPr>
            <w:tcW w:w="9940" w:type="dxa"/>
            <w:vAlign w:val="bottom"/>
          </w:tcPr>
          <w:p>
            <w:pPr>
              <w:ind w:left="180"/>
              <w:spacing w:after="0"/>
              <w:rPr>
                <w:sz w:val="20"/>
                <w:szCs w:val="20"/>
                <w:color w:val="auto"/>
              </w:rPr>
            </w:pPr>
            <w:r>
              <w:rPr>
                <w:rFonts w:ascii="Arial" w:cs="Arial" w:eastAsia="Arial" w:hAnsi="Arial"/>
                <w:sz w:val="18"/>
                <w:szCs w:val="18"/>
                <w:color w:val="auto"/>
              </w:rPr>
              <w:t>Rights of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9"/>
              </w:rPr>
              <w:t>ARTICLE IV</w:t>
            </w:r>
          </w:p>
        </w:tc>
        <w:tc>
          <w:tcPr>
            <w:tcW w:w="440" w:type="dxa"/>
            <w:vAlign w:val="bottom"/>
          </w:tcPr>
          <w:p>
            <w:pPr>
              <w:spacing w:after="0"/>
              <w:rPr>
                <w:sz w:val="24"/>
                <w:szCs w:val="24"/>
                <w:color w:val="auto"/>
              </w:rPr>
            </w:pPr>
          </w:p>
        </w:tc>
      </w:tr>
      <w:tr>
        <w:trPr>
          <w:trHeight w:val="230"/>
        </w:trPr>
        <w:tc>
          <w:tcPr>
            <w:tcW w:w="1102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CERTIFICATES; RECORD HOLDERS; TRANSFER OF PARTNERSHIP INTERESTS; REDEMPTION OF PARTNERSHIP INTERESTS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4.1</w:t>
            </w:r>
          </w:p>
        </w:tc>
        <w:tc>
          <w:tcPr>
            <w:tcW w:w="9940" w:type="dxa"/>
            <w:vAlign w:val="bottom"/>
          </w:tcPr>
          <w:p>
            <w:pPr>
              <w:ind w:left="180"/>
              <w:spacing w:after="0"/>
              <w:rPr>
                <w:sz w:val="20"/>
                <w:szCs w:val="20"/>
                <w:color w:val="auto"/>
              </w:rPr>
            </w:pPr>
            <w:r>
              <w:rPr>
                <w:rFonts w:ascii="Arial" w:cs="Arial" w:eastAsia="Arial" w:hAnsi="Arial"/>
                <w:sz w:val="18"/>
                <w:szCs w:val="18"/>
                <w:color w:val="auto"/>
              </w:rPr>
              <w:t>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4.2</w:t>
            </w:r>
          </w:p>
        </w:tc>
        <w:tc>
          <w:tcPr>
            <w:tcW w:w="9940" w:type="dxa"/>
            <w:vAlign w:val="bottom"/>
          </w:tcPr>
          <w:p>
            <w:pPr>
              <w:ind w:left="180"/>
              <w:spacing w:after="0"/>
              <w:rPr>
                <w:sz w:val="20"/>
                <w:szCs w:val="20"/>
                <w:color w:val="auto"/>
              </w:rPr>
            </w:pPr>
            <w:r>
              <w:rPr>
                <w:rFonts w:ascii="Arial" w:cs="Arial" w:eastAsia="Arial" w:hAnsi="Arial"/>
                <w:sz w:val="18"/>
                <w:szCs w:val="18"/>
                <w:color w:val="auto"/>
              </w:rPr>
              <w:t>Mutilated, Destroyed, Lost or Stolen 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4.3</w:t>
            </w:r>
          </w:p>
        </w:tc>
        <w:tc>
          <w:tcPr>
            <w:tcW w:w="9940" w:type="dxa"/>
            <w:vAlign w:val="bottom"/>
          </w:tcPr>
          <w:p>
            <w:pPr>
              <w:ind w:left="180"/>
              <w:spacing w:after="0"/>
              <w:rPr>
                <w:sz w:val="20"/>
                <w:szCs w:val="20"/>
                <w:color w:val="auto"/>
              </w:rPr>
            </w:pPr>
            <w:r>
              <w:rPr>
                <w:rFonts w:ascii="Arial" w:cs="Arial" w:eastAsia="Arial" w:hAnsi="Arial"/>
                <w:sz w:val="18"/>
                <w:szCs w:val="18"/>
                <w:color w:val="auto"/>
              </w:rPr>
              <w:t>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4.4</w:t>
            </w:r>
          </w:p>
        </w:tc>
        <w:tc>
          <w:tcPr>
            <w:tcW w:w="9940" w:type="dxa"/>
            <w:vAlign w:val="bottom"/>
          </w:tcPr>
          <w:p>
            <w:pPr>
              <w:ind w:left="180"/>
              <w:spacing w:after="0"/>
              <w:rPr>
                <w:sz w:val="20"/>
                <w:szCs w:val="20"/>
                <w:color w:val="auto"/>
              </w:rPr>
            </w:pPr>
            <w:r>
              <w:rPr>
                <w:rFonts w:ascii="Arial" w:cs="Arial" w:eastAsia="Arial" w:hAnsi="Arial"/>
                <w:sz w:val="18"/>
                <w:szCs w:val="18"/>
                <w:color w:val="auto"/>
              </w:rPr>
              <w:t>Transfer Generally</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4.5</w:t>
            </w:r>
          </w:p>
        </w:tc>
        <w:tc>
          <w:tcPr>
            <w:tcW w:w="9940" w:type="dxa"/>
            <w:vAlign w:val="bottom"/>
          </w:tcPr>
          <w:p>
            <w:pPr>
              <w:ind w:left="180"/>
              <w:spacing w:after="0"/>
              <w:rPr>
                <w:sz w:val="20"/>
                <w:szCs w:val="20"/>
                <w:color w:val="auto"/>
              </w:rPr>
            </w:pPr>
            <w:r>
              <w:rPr>
                <w:rFonts w:ascii="Arial" w:cs="Arial" w:eastAsia="Arial" w:hAnsi="Arial"/>
                <w:sz w:val="18"/>
                <w:szCs w:val="18"/>
                <w:color w:val="auto"/>
              </w:rPr>
              <w:t>Registration and Transfer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4.6</w:t>
            </w:r>
          </w:p>
        </w:tc>
        <w:tc>
          <w:tcPr>
            <w:tcW w:w="9940" w:type="dxa"/>
            <w:vAlign w:val="bottom"/>
          </w:tcPr>
          <w:p>
            <w:pPr>
              <w:ind w:left="180"/>
              <w:spacing w:after="0"/>
              <w:rPr>
                <w:sz w:val="20"/>
                <w:szCs w:val="20"/>
                <w:color w:val="auto"/>
              </w:rPr>
            </w:pPr>
            <w:r>
              <w:rPr>
                <w:rFonts w:ascii="Arial" w:cs="Arial" w:eastAsia="Arial" w:hAnsi="Arial"/>
                <w:sz w:val="18"/>
                <w:szCs w:val="18"/>
                <w:color w:val="auto"/>
              </w:rPr>
              <w:t>Transfer of the General Partner 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4.7</w:t>
            </w:r>
          </w:p>
        </w:tc>
        <w:tc>
          <w:tcPr>
            <w:tcW w:w="9940" w:type="dxa"/>
            <w:vAlign w:val="bottom"/>
          </w:tcPr>
          <w:p>
            <w:pPr>
              <w:ind w:left="180"/>
              <w:spacing w:after="0"/>
              <w:rPr>
                <w:sz w:val="20"/>
                <w:szCs w:val="20"/>
                <w:color w:val="auto"/>
              </w:rPr>
            </w:pPr>
            <w:r>
              <w:rPr>
                <w:rFonts w:ascii="Arial" w:cs="Arial" w:eastAsia="Arial" w:hAnsi="Arial"/>
                <w:sz w:val="18"/>
                <w:szCs w:val="18"/>
                <w:color w:val="auto"/>
              </w:rPr>
              <w:t>Restrictions on Transfers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4.8</w:t>
            </w:r>
          </w:p>
        </w:tc>
        <w:tc>
          <w:tcPr>
            <w:tcW w:w="9940" w:type="dxa"/>
            <w:vAlign w:val="bottom"/>
          </w:tcPr>
          <w:p>
            <w:pPr>
              <w:ind w:left="180"/>
              <w:spacing w:after="0"/>
              <w:rPr>
                <w:sz w:val="20"/>
                <w:szCs w:val="20"/>
                <w:color w:val="auto"/>
              </w:rPr>
            </w:pPr>
            <w:r>
              <w:rPr>
                <w:rFonts w:ascii="Arial" w:cs="Arial" w:eastAsia="Arial" w:hAnsi="Arial"/>
                <w:sz w:val="18"/>
                <w:szCs w:val="18"/>
                <w:color w:val="auto"/>
              </w:rPr>
              <w:t>Eligibility Certificates; Ineligible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4.9</w:t>
            </w:r>
          </w:p>
        </w:tc>
        <w:tc>
          <w:tcPr>
            <w:tcW w:w="9940" w:type="dxa"/>
            <w:vAlign w:val="bottom"/>
          </w:tcPr>
          <w:p>
            <w:pPr>
              <w:ind w:left="180"/>
              <w:spacing w:after="0"/>
              <w:rPr>
                <w:sz w:val="20"/>
                <w:szCs w:val="20"/>
                <w:color w:val="auto"/>
              </w:rPr>
            </w:pPr>
            <w:r>
              <w:rPr>
                <w:rFonts w:ascii="Arial" w:cs="Arial" w:eastAsia="Arial" w:hAnsi="Arial"/>
                <w:sz w:val="18"/>
                <w:szCs w:val="18"/>
                <w:color w:val="auto"/>
              </w:rPr>
              <w:t>Redemption of Partnership Interests of Ineligible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w w:val="98"/>
              </w:rPr>
              <w:t>ARTICLE V</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5"/>
              </w:rPr>
              <w:t>CAPITAL CONTRIBUTIONS AND ISSUANCE OF PARTNERSHIP INTERESTS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5.1</w:t>
            </w:r>
          </w:p>
        </w:tc>
        <w:tc>
          <w:tcPr>
            <w:tcW w:w="9940" w:type="dxa"/>
            <w:vAlign w:val="bottom"/>
          </w:tcPr>
          <w:p>
            <w:pPr>
              <w:ind w:left="180"/>
              <w:spacing w:after="0"/>
              <w:rPr>
                <w:sz w:val="20"/>
                <w:szCs w:val="20"/>
                <w:color w:val="auto"/>
              </w:rPr>
            </w:pPr>
            <w:r>
              <w:rPr>
                <w:rFonts w:ascii="Arial" w:cs="Arial" w:eastAsia="Arial" w:hAnsi="Arial"/>
                <w:sz w:val="18"/>
                <w:szCs w:val="18"/>
                <w:color w:val="auto"/>
              </w:rPr>
              <w:t>Organizational Issuances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w:t>
            </w:r>
          </w:p>
        </w:tc>
        <w:tc>
          <w:tcPr>
            <w:tcW w:w="9940" w:type="dxa"/>
            <w:vAlign w:val="bottom"/>
          </w:tcPr>
          <w:p>
            <w:pPr>
              <w:ind w:left="180"/>
              <w:spacing w:after="0"/>
              <w:rPr>
                <w:sz w:val="20"/>
                <w:szCs w:val="20"/>
                <w:color w:val="auto"/>
              </w:rPr>
            </w:pPr>
            <w:r>
              <w:rPr>
                <w:rFonts w:ascii="Arial" w:cs="Arial" w:eastAsia="Arial" w:hAnsi="Arial"/>
                <w:sz w:val="18"/>
                <w:szCs w:val="18"/>
                <w:color w:val="auto"/>
              </w:rPr>
              <w:t>Contributions by Initial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5.3</w:t>
            </w:r>
          </w:p>
        </w:tc>
        <w:tc>
          <w:tcPr>
            <w:tcW w:w="9940" w:type="dxa"/>
            <w:vAlign w:val="bottom"/>
          </w:tcPr>
          <w:p>
            <w:pPr>
              <w:ind w:left="180"/>
              <w:spacing w:after="0"/>
              <w:rPr>
                <w:sz w:val="20"/>
                <w:szCs w:val="20"/>
                <w:color w:val="auto"/>
              </w:rPr>
            </w:pPr>
            <w:r>
              <w:rPr>
                <w:rFonts w:ascii="Arial" w:cs="Arial" w:eastAsia="Arial" w:hAnsi="Arial"/>
                <w:sz w:val="18"/>
                <w:szCs w:val="18"/>
                <w:color w:val="auto"/>
              </w:rPr>
              <w:t>Contributions by the Underwriters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5.4</w:t>
            </w:r>
          </w:p>
        </w:tc>
        <w:tc>
          <w:tcPr>
            <w:tcW w:w="9940" w:type="dxa"/>
            <w:vAlign w:val="bottom"/>
          </w:tcPr>
          <w:p>
            <w:pPr>
              <w:ind w:left="180"/>
              <w:spacing w:after="0"/>
              <w:rPr>
                <w:sz w:val="20"/>
                <w:szCs w:val="20"/>
                <w:color w:val="auto"/>
              </w:rPr>
            </w:pPr>
            <w:r>
              <w:rPr>
                <w:rFonts w:ascii="Arial" w:cs="Arial" w:eastAsia="Arial" w:hAnsi="Arial"/>
                <w:sz w:val="18"/>
                <w:szCs w:val="18"/>
                <w:color w:val="auto"/>
              </w:rPr>
              <w:t>Interest and Withdrawal</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i w:val="1"/>
                <w:iCs w:val="1"/>
                <w:color w:val="auto"/>
                <w:w w:val="89"/>
              </w:rPr>
              <w:t>Second Amended and Restated Agreement of Limited Partnership</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i w:val="1"/>
                <w:iCs w:val="1"/>
                <w:color w:val="auto"/>
                <w:w w:val="92"/>
              </w:rPr>
              <w:t>of Plains GP Holdings, L.P.</w:t>
            </w:r>
          </w:p>
        </w:tc>
        <w:tc>
          <w:tcPr>
            <w:tcW w:w="44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rPr>
              <w:t>i</w:t>
            </w:r>
          </w:p>
        </w:tc>
        <w:tc>
          <w:tcPr>
            <w:tcW w:w="440" w:type="dxa"/>
            <w:vAlign w:val="bottom"/>
          </w:tcPr>
          <w:p>
            <w:pPr>
              <w:spacing w:after="0"/>
              <w:rPr>
                <w:sz w:val="24"/>
                <w:szCs w:val="24"/>
                <w:color w:val="auto"/>
              </w:rPr>
            </w:pPr>
          </w:p>
        </w:tc>
      </w:tr>
      <w:tr>
        <w:trPr>
          <w:trHeight w:val="132"/>
        </w:trPr>
        <w:tc>
          <w:tcPr>
            <w:tcW w:w="1080" w:type="dxa"/>
            <w:vAlign w:val="bottom"/>
            <w:tcBorders>
              <w:bottom w:val="single" w:sz="8" w:color="808080"/>
            </w:tcBorders>
          </w:tcPr>
          <w:p>
            <w:pPr>
              <w:spacing w:after="0"/>
              <w:rPr>
                <w:sz w:val="11"/>
                <w:szCs w:val="11"/>
                <w:color w:val="auto"/>
              </w:rPr>
            </w:pPr>
          </w:p>
        </w:tc>
        <w:tc>
          <w:tcPr>
            <w:tcW w:w="99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r>
      <w:tr>
        <w:trPr>
          <w:trHeight w:val="766"/>
        </w:trPr>
        <w:tc>
          <w:tcPr>
            <w:tcW w:w="1080" w:type="dxa"/>
            <w:vAlign w:val="bottom"/>
          </w:tcPr>
          <w:p>
            <w:pPr>
              <w:spacing w:after="0"/>
              <w:rPr>
                <w:sz w:val="20"/>
                <w:szCs w:val="20"/>
                <w:color w:val="auto"/>
              </w:rPr>
            </w:pPr>
            <w:r>
              <w:rPr>
                <w:rFonts w:ascii="Arial" w:cs="Arial" w:eastAsia="Arial" w:hAnsi="Arial"/>
                <w:sz w:val="18"/>
                <w:szCs w:val="18"/>
                <w:color w:val="auto"/>
              </w:rPr>
              <w:t>Section 5.5</w:t>
            </w:r>
          </w:p>
        </w:tc>
        <w:tc>
          <w:tcPr>
            <w:tcW w:w="9940" w:type="dxa"/>
            <w:vAlign w:val="bottom"/>
          </w:tcPr>
          <w:p>
            <w:pPr>
              <w:ind w:left="180"/>
              <w:spacing w:after="0"/>
              <w:rPr>
                <w:sz w:val="20"/>
                <w:szCs w:val="20"/>
                <w:color w:val="auto"/>
              </w:rPr>
            </w:pPr>
            <w:r>
              <w:rPr>
                <w:rFonts w:ascii="Arial" w:cs="Arial" w:eastAsia="Arial" w:hAnsi="Arial"/>
                <w:sz w:val="18"/>
                <w:szCs w:val="18"/>
                <w:color w:val="auto"/>
              </w:rPr>
              <w:t>Issuances of Additional Partnership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5.6</w:t>
            </w:r>
          </w:p>
        </w:tc>
        <w:tc>
          <w:tcPr>
            <w:tcW w:w="9940" w:type="dxa"/>
            <w:vAlign w:val="bottom"/>
          </w:tcPr>
          <w:p>
            <w:pPr>
              <w:ind w:left="180"/>
              <w:spacing w:after="0"/>
              <w:rPr>
                <w:sz w:val="20"/>
                <w:szCs w:val="20"/>
                <w:color w:val="auto"/>
              </w:rPr>
            </w:pPr>
            <w:r>
              <w:rPr>
                <w:rFonts w:ascii="Arial" w:cs="Arial" w:eastAsia="Arial" w:hAnsi="Arial"/>
                <w:sz w:val="18"/>
                <w:szCs w:val="18"/>
                <w:color w:val="auto"/>
              </w:rPr>
              <w:t>AAP Exchanges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5.7</w:t>
            </w:r>
          </w:p>
        </w:tc>
        <w:tc>
          <w:tcPr>
            <w:tcW w:w="9940" w:type="dxa"/>
            <w:vAlign w:val="bottom"/>
          </w:tcPr>
          <w:p>
            <w:pPr>
              <w:ind w:left="180"/>
              <w:spacing w:after="0"/>
              <w:rPr>
                <w:sz w:val="20"/>
                <w:szCs w:val="20"/>
                <w:color w:val="auto"/>
              </w:rPr>
            </w:pPr>
            <w:r>
              <w:rPr>
                <w:rFonts w:ascii="Arial" w:cs="Arial" w:eastAsia="Arial" w:hAnsi="Arial"/>
                <w:sz w:val="18"/>
                <w:szCs w:val="18"/>
                <w:color w:val="auto"/>
              </w:rPr>
              <w:t>No Preemptive Right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5.8</w:t>
            </w:r>
          </w:p>
        </w:tc>
        <w:tc>
          <w:tcPr>
            <w:tcW w:w="9940" w:type="dxa"/>
            <w:vAlign w:val="bottom"/>
          </w:tcPr>
          <w:p>
            <w:pPr>
              <w:ind w:left="180"/>
              <w:spacing w:after="0"/>
              <w:rPr>
                <w:sz w:val="20"/>
                <w:szCs w:val="20"/>
                <w:color w:val="auto"/>
              </w:rPr>
            </w:pPr>
            <w:r>
              <w:rPr>
                <w:rFonts w:ascii="Arial" w:cs="Arial" w:eastAsia="Arial" w:hAnsi="Arial"/>
                <w:sz w:val="18"/>
                <w:szCs w:val="18"/>
                <w:color w:val="auto"/>
              </w:rPr>
              <w:t>Splits and Combinations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5.9</w:t>
            </w:r>
          </w:p>
        </w:tc>
        <w:tc>
          <w:tcPr>
            <w:tcW w:w="9940" w:type="dxa"/>
            <w:vAlign w:val="bottom"/>
          </w:tcPr>
          <w:p>
            <w:pPr>
              <w:ind w:left="180"/>
              <w:spacing w:after="0"/>
              <w:rPr>
                <w:sz w:val="20"/>
                <w:szCs w:val="20"/>
                <w:color w:val="auto"/>
              </w:rPr>
            </w:pPr>
            <w:r>
              <w:rPr>
                <w:rFonts w:ascii="Arial" w:cs="Arial" w:eastAsia="Arial" w:hAnsi="Arial"/>
                <w:sz w:val="18"/>
                <w:szCs w:val="18"/>
                <w:color w:val="auto"/>
              </w:rPr>
              <w:t>Fully Paid and Non-Assessable Nature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9"/>
              </w:rPr>
              <w:t>ARTICLE VI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w w:val="97"/>
              </w:rPr>
              <w:t>DISTRIBUTIONS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6.1</w:t>
            </w:r>
          </w:p>
        </w:tc>
        <w:tc>
          <w:tcPr>
            <w:tcW w:w="9940" w:type="dxa"/>
            <w:vAlign w:val="bottom"/>
          </w:tcPr>
          <w:p>
            <w:pPr>
              <w:ind w:left="180"/>
              <w:spacing w:after="0"/>
              <w:rPr>
                <w:sz w:val="20"/>
                <w:szCs w:val="20"/>
                <w:color w:val="auto"/>
              </w:rPr>
            </w:pPr>
            <w:r>
              <w:rPr>
                <w:rFonts w:ascii="Arial" w:cs="Arial" w:eastAsia="Arial" w:hAnsi="Arial"/>
                <w:sz w:val="18"/>
                <w:szCs w:val="18"/>
                <w:color w:val="auto"/>
              </w:rPr>
              <w:t>Requirement and Characterization of Distributions; Distributions to 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6.2</w:t>
            </w:r>
          </w:p>
        </w:tc>
        <w:tc>
          <w:tcPr>
            <w:tcW w:w="9940" w:type="dxa"/>
            <w:vAlign w:val="bottom"/>
          </w:tcPr>
          <w:p>
            <w:pPr>
              <w:ind w:left="180"/>
              <w:spacing w:after="0"/>
              <w:rPr>
                <w:sz w:val="20"/>
                <w:szCs w:val="20"/>
                <w:color w:val="auto"/>
              </w:rPr>
            </w:pPr>
            <w:r>
              <w:rPr>
                <w:rFonts w:ascii="Arial" w:cs="Arial" w:eastAsia="Arial" w:hAnsi="Arial"/>
                <w:sz w:val="18"/>
                <w:szCs w:val="18"/>
                <w:color w:val="auto"/>
              </w:rPr>
              <w:t>Distributions of Available Cash</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rPr>
              <w:t>ARTICLE VII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6"/>
              </w:rPr>
              <w:t>MANAGEMENT AND OPERATION OF BUSINESS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7.1</w:t>
            </w:r>
          </w:p>
        </w:tc>
        <w:tc>
          <w:tcPr>
            <w:tcW w:w="9940" w:type="dxa"/>
            <w:vAlign w:val="bottom"/>
          </w:tcPr>
          <w:p>
            <w:pPr>
              <w:ind w:left="180"/>
              <w:spacing w:after="0"/>
              <w:rPr>
                <w:sz w:val="20"/>
                <w:szCs w:val="20"/>
                <w:color w:val="auto"/>
              </w:rPr>
            </w:pPr>
            <w:r>
              <w:rPr>
                <w:rFonts w:ascii="Arial" w:cs="Arial" w:eastAsia="Arial" w:hAnsi="Arial"/>
                <w:sz w:val="18"/>
                <w:szCs w:val="18"/>
                <w:color w:val="auto"/>
              </w:rPr>
              <w:t>Management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7.2</w:t>
            </w:r>
          </w:p>
        </w:tc>
        <w:tc>
          <w:tcPr>
            <w:tcW w:w="9940" w:type="dxa"/>
            <w:vAlign w:val="bottom"/>
          </w:tcPr>
          <w:p>
            <w:pPr>
              <w:ind w:left="180"/>
              <w:spacing w:after="0"/>
              <w:rPr>
                <w:sz w:val="20"/>
                <w:szCs w:val="20"/>
                <w:color w:val="auto"/>
              </w:rPr>
            </w:pPr>
            <w:r>
              <w:rPr>
                <w:rFonts w:ascii="Arial" w:cs="Arial" w:eastAsia="Arial" w:hAnsi="Arial"/>
                <w:sz w:val="18"/>
                <w:szCs w:val="18"/>
                <w:color w:val="auto"/>
              </w:rPr>
              <w:t>Certificate of Limited Partnership</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7.3</w:t>
            </w:r>
          </w:p>
        </w:tc>
        <w:tc>
          <w:tcPr>
            <w:tcW w:w="9940" w:type="dxa"/>
            <w:vAlign w:val="bottom"/>
          </w:tcPr>
          <w:p>
            <w:pPr>
              <w:ind w:left="180"/>
              <w:spacing w:after="0"/>
              <w:rPr>
                <w:sz w:val="20"/>
                <w:szCs w:val="20"/>
                <w:color w:val="auto"/>
              </w:rPr>
            </w:pPr>
            <w:r>
              <w:rPr>
                <w:rFonts w:ascii="Arial" w:cs="Arial" w:eastAsia="Arial" w:hAnsi="Arial"/>
                <w:sz w:val="18"/>
                <w:szCs w:val="18"/>
                <w:color w:val="auto"/>
              </w:rPr>
              <w:t>Restrictions on General Partner’s Authority</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7.4</w:t>
            </w:r>
          </w:p>
        </w:tc>
        <w:tc>
          <w:tcPr>
            <w:tcW w:w="9940" w:type="dxa"/>
            <w:vAlign w:val="bottom"/>
          </w:tcPr>
          <w:p>
            <w:pPr>
              <w:ind w:left="180"/>
              <w:spacing w:after="0"/>
              <w:rPr>
                <w:sz w:val="20"/>
                <w:szCs w:val="20"/>
                <w:color w:val="auto"/>
              </w:rPr>
            </w:pPr>
            <w:r>
              <w:rPr>
                <w:rFonts w:ascii="Arial" w:cs="Arial" w:eastAsia="Arial" w:hAnsi="Arial"/>
                <w:sz w:val="18"/>
                <w:szCs w:val="18"/>
                <w:color w:val="auto"/>
              </w:rPr>
              <w:t>Reimbursement of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7.5</w:t>
            </w:r>
          </w:p>
        </w:tc>
        <w:tc>
          <w:tcPr>
            <w:tcW w:w="9940" w:type="dxa"/>
            <w:vAlign w:val="bottom"/>
          </w:tcPr>
          <w:p>
            <w:pPr>
              <w:ind w:left="180"/>
              <w:spacing w:after="0"/>
              <w:rPr>
                <w:sz w:val="20"/>
                <w:szCs w:val="20"/>
                <w:color w:val="auto"/>
              </w:rPr>
            </w:pPr>
            <w:r>
              <w:rPr>
                <w:rFonts w:ascii="Arial" w:cs="Arial" w:eastAsia="Arial" w:hAnsi="Arial"/>
                <w:sz w:val="18"/>
                <w:szCs w:val="18"/>
                <w:color w:val="auto"/>
              </w:rPr>
              <w:t>Outside Activities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7.6</w:t>
            </w:r>
          </w:p>
        </w:tc>
        <w:tc>
          <w:tcPr>
            <w:tcW w:w="9940" w:type="dxa"/>
            <w:vAlign w:val="bottom"/>
          </w:tcPr>
          <w:p>
            <w:pPr>
              <w:ind w:left="180"/>
              <w:spacing w:after="0"/>
              <w:rPr>
                <w:sz w:val="20"/>
                <w:szCs w:val="20"/>
                <w:color w:val="auto"/>
              </w:rPr>
            </w:pPr>
            <w:r>
              <w:rPr>
                <w:rFonts w:ascii="Arial" w:cs="Arial" w:eastAsia="Arial" w:hAnsi="Arial"/>
                <w:sz w:val="18"/>
                <w:szCs w:val="18"/>
                <w:color w:val="auto"/>
              </w:rPr>
              <w:t>Loans from the General Partner; Loans or Contributions from the Partnership</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7.7</w:t>
            </w:r>
          </w:p>
        </w:tc>
        <w:tc>
          <w:tcPr>
            <w:tcW w:w="994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7.8</w:t>
            </w:r>
          </w:p>
        </w:tc>
        <w:tc>
          <w:tcPr>
            <w:tcW w:w="9940" w:type="dxa"/>
            <w:vAlign w:val="bottom"/>
          </w:tcPr>
          <w:p>
            <w:pPr>
              <w:ind w:left="180"/>
              <w:spacing w:after="0"/>
              <w:rPr>
                <w:sz w:val="20"/>
                <w:szCs w:val="20"/>
                <w:color w:val="auto"/>
              </w:rPr>
            </w:pPr>
            <w:r>
              <w:rPr>
                <w:rFonts w:ascii="Arial" w:cs="Arial" w:eastAsia="Arial" w:hAnsi="Arial"/>
                <w:sz w:val="18"/>
                <w:szCs w:val="18"/>
                <w:color w:val="auto"/>
              </w:rPr>
              <w:t>Liability of Indemnitees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7.9</w:t>
            </w:r>
          </w:p>
        </w:tc>
        <w:tc>
          <w:tcPr>
            <w:tcW w:w="9940" w:type="dxa"/>
            <w:vAlign w:val="bottom"/>
          </w:tcPr>
          <w:p>
            <w:pPr>
              <w:ind w:left="180"/>
              <w:spacing w:after="0"/>
              <w:rPr>
                <w:sz w:val="20"/>
                <w:szCs w:val="20"/>
                <w:color w:val="auto"/>
              </w:rPr>
            </w:pPr>
            <w:r>
              <w:rPr>
                <w:rFonts w:ascii="Arial" w:cs="Arial" w:eastAsia="Arial" w:hAnsi="Arial"/>
                <w:sz w:val="18"/>
                <w:szCs w:val="18"/>
                <w:color w:val="auto"/>
              </w:rPr>
              <w:t>Resolution of Conflicts of Interest; Standards of Conduct and Modification of Duties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7.10</w:t>
            </w:r>
          </w:p>
        </w:tc>
        <w:tc>
          <w:tcPr>
            <w:tcW w:w="9940" w:type="dxa"/>
            <w:vAlign w:val="bottom"/>
          </w:tcPr>
          <w:p>
            <w:pPr>
              <w:ind w:left="180"/>
              <w:spacing w:after="0"/>
              <w:rPr>
                <w:sz w:val="20"/>
                <w:szCs w:val="20"/>
                <w:color w:val="auto"/>
              </w:rPr>
            </w:pPr>
            <w:r>
              <w:rPr>
                <w:rFonts w:ascii="Arial" w:cs="Arial" w:eastAsia="Arial" w:hAnsi="Arial"/>
                <w:sz w:val="18"/>
                <w:szCs w:val="18"/>
                <w:color w:val="auto"/>
              </w:rPr>
              <w:t>Other Matters Concerning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7.11</w:t>
            </w:r>
          </w:p>
        </w:tc>
        <w:tc>
          <w:tcPr>
            <w:tcW w:w="8880" w:type="dxa"/>
            <w:vAlign w:val="bottom"/>
          </w:tcPr>
          <w:p>
            <w:pPr>
              <w:ind w:left="120"/>
              <w:spacing w:after="0"/>
              <w:rPr>
                <w:sz w:val="20"/>
                <w:szCs w:val="20"/>
                <w:color w:val="auto"/>
              </w:rPr>
            </w:pPr>
            <w:r>
              <w:rPr>
                <w:rFonts w:ascii="Arial" w:cs="Arial" w:eastAsia="Arial" w:hAnsi="Arial"/>
                <w:sz w:val="18"/>
                <w:szCs w:val="18"/>
                <w:color w:val="auto"/>
              </w:rPr>
              <w:t>Purchase or Sale of Partnership Interests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7.12</w:t>
            </w:r>
          </w:p>
        </w:tc>
        <w:tc>
          <w:tcPr>
            <w:tcW w:w="8880" w:type="dxa"/>
            <w:vAlign w:val="bottom"/>
          </w:tcPr>
          <w:p>
            <w:pPr>
              <w:ind w:left="120"/>
              <w:spacing w:after="0"/>
              <w:rPr>
                <w:sz w:val="20"/>
                <w:szCs w:val="20"/>
                <w:color w:val="auto"/>
              </w:rPr>
            </w:pPr>
            <w:r>
              <w:rPr>
                <w:rFonts w:ascii="Arial" w:cs="Arial" w:eastAsia="Arial" w:hAnsi="Arial"/>
                <w:sz w:val="18"/>
                <w:szCs w:val="18"/>
                <w:color w:val="auto"/>
              </w:rPr>
              <w:t>Reliance by Third Parties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rPr>
              <w:t>ARTICLE VIII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4"/>
              </w:rPr>
              <w:t>BOOKS, RECORDS, ACCOUNTING AND REPORTS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8.1</w:t>
            </w:r>
          </w:p>
        </w:tc>
        <w:tc>
          <w:tcPr>
            <w:tcW w:w="8880" w:type="dxa"/>
            <w:vAlign w:val="bottom"/>
          </w:tcPr>
          <w:p>
            <w:pPr>
              <w:ind w:left="120"/>
              <w:spacing w:after="0"/>
              <w:rPr>
                <w:sz w:val="20"/>
                <w:szCs w:val="20"/>
                <w:color w:val="auto"/>
              </w:rPr>
            </w:pPr>
            <w:r>
              <w:rPr>
                <w:rFonts w:ascii="Arial" w:cs="Arial" w:eastAsia="Arial" w:hAnsi="Arial"/>
                <w:sz w:val="18"/>
                <w:szCs w:val="18"/>
                <w:color w:val="auto"/>
              </w:rPr>
              <w:t>Records and Accounting</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8.2</w:t>
            </w:r>
          </w:p>
        </w:tc>
        <w:tc>
          <w:tcPr>
            <w:tcW w:w="888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8.3</w:t>
            </w:r>
          </w:p>
        </w:tc>
        <w:tc>
          <w:tcPr>
            <w:tcW w:w="8880" w:type="dxa"/>
            <w:vAlign w:val="bottom"/>
          </w:tcPr>
          <w:p>
            <w:pPr>
              <w:ind w:left="120"/>
              <w:spacing w:after="0"/>
              <w:rPr>
                <w:sz w:val="20"/>
                <w:szCs w:val="20"/>
                <w:color w:val="auto"/>
              </w:rPr>
            </w:pPr>
            <w:r>
              <w:rPr>
                <w:rFonts w:ascii="Arial" w:cs="Arial" w:eastAsia="Arial" w:hAnsi="Arial"/>
                <w:sz w:val="18"/>
                <w:szCs w:val="18"/>
                <w:color w:val="auto"/>
              </w:rPr>
              <w:t>Reports</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9"/>
              </w:rPr>
              <w:t>ARTICLE IX</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6"/>
              </w:rPr>
              <w:t>TAX MATTERS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9.1</w:t>
            </w:r>
          </w:p>
        </w:tc>
        <w:tc>
          <w:tcPr>
            <w:tcW w:w="8880" w:type="dxa"/>
            <w:vAlign w:val="bottom"/>
          </w:tcPr>
          <w:p>
            <w:pPr>
              <w:ind w:left="120"/>
              <w:spacing w:after="0"/>
              <w:rPr>
                <w:sz w:val="20"/>
                <w:szCs w:val="20"/>
                <w:color w:val="auto"/>
              </w:rPr>
            </w:pPr>
            <w:r>
              <w:rPr>
                <w:rFonts w:ascii="Arial" w:cs="Arial" w:eastAsia="Arial" w:hAnsi="Arial"/>
                <w:sz w:val="18"/>
                <w:szCs w:val="18"/>
                <w:color w:val="auto"/>
              </w:rPr>
              <w:t>Tax Elections and Information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9.2</w:t>
            </w:r>
          </w:p>
        </w:tc>
        <w:tc>
          <w:tcPr>
            <w:tcW w:w="888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w w:val="98"/>
              </w:rPr>
              <w:t>ARTICLE X</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4"/>
              </w:rPr>
              <w:t>ADMISSION OF PARTNERS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8880" w:type="dxa"/>
            <w:vAlign w:val="bottom"/>
          </w:tcPr>
          <w:p>
            <w:pPr>
              <w:ind w:left="120"/>
              <w:spacing w:after="0"/>
              <w:rPr>
                <w:sz w:val="20"/>
                <w:szCs w:val="20"/>
                <w:color w:val="auto"/>
              </w:rPr>
            </w:pPr>
            <w:r>
              <w:rPr>
                <w:rFonts w:ascii="Arial" w:cs="Arial" w:eastAsia="Arial" w:hAnsi="Arial"/>
                <w:sz w:val="18"/>
                <w:szCs w:val="18"/>
                <w:color w:val="auto"/>
              </w:rPr>
              <w:t>Admission of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8880" w:type="dxa"/>
            <w:vAlign w:val="bottom"/>
          </w:tcPr>
          <w:p>
            <w:pPr>
              <w:ind w:left="120"/>
              <w:spacing w:after="0"/>
              <w:rPr>
                <w:sz w:val="20"/>
                <w:szCs w:val="20"/>
                <w:color w:val="auto"/>
              </w:rPr>
            </w:pPr>
            <w:r>
              <w:rPr>
                <w:rFonts w:ascii="Arial" w:cs="Arial" w:eastAsia="Arial" w:hAnsi="Arial"/>
                <w:sz w:val="18"/>
                <w:szCs w:val="18"/>
                <w:color w:val="auto"/>
              </w:rPr>
              <w:t>Admission of Successor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rPr>
              <w:t>ii</w:t>
            </w:r>
          </w:p>
        </w:tc>
        <w:tc>
          <w:tcPr>
            <w:tcW w:w="14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88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r>
      <w:tr>
        <w:trPr>
          <w:trHeight w:val="780"/>
        </w:trPr>
        <w:tc>
          <w:tcPr>
            <w:tcW w:w="1140" w:type="dxa"/>
            <w:vAlign w:val="bottom"/>
          </w:tcPr>
          <w:p>
            <w:pPr>
              <w:spacing w:after="0"/>
              <w:rPr>
                <w:sz w:val="20"/>
                <w:szCs w:val="20"/>
                <w:color w:val="auto"/>
              </w:rPr>
            </w:pPr>
            <w:r>
              <w:rPr>
                <w:rFonts w:ascii="Arial" w:cs="Arial" w:eastAsia="Arial" w:hAnsi="Arial"/>
                <w:sz w:val="18"/>
                <w:szCs w:val="18"/>
                <w:color w:val="auto"/>
              </w:rPr>
              <w:t>Section 10.3</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of Agreement and Certificate of Limited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9"/>
              </w:rPr>
              <w:t>ARTICLE XI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w w:val="95"/>
              </w:rPr>
              <w:t>WITHDRAWAL OR REMOVAL OF PARTNERS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11.1</w:t>
            </w:r>
          </w:p>
        </w:tc>
        <w:tc>
          <w:tcPr>
            <w:tcW w:w="8880" w:type="dxa"/>
            <w:vAlign w:val="bottom"/>
          </w:tcPr>
          <w:p>
            <w:pPr>
              <w:ind w:left="120"/>
              <w:spacing w:after="0"/>
              <w:rPr>
                <w:sz w:val="20"/>
                <w:szCs w:val="20"/>
                <w:color w:val="auto"/>
              </w:rPr>
            </w:pPr>
            <w:r>
              <w:rPr>
                <w:rFonts w:ascii="Arial" w:cs="Arial" w:eastAsia="Arial" w:hAnsi="Arial"/>
                <w:sz w:val="18"/>
                <w:szCs w:val="18"/>
                <w:color w:val="auto"/>
              </w:rPr>
              <w:t>Withdrawal of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11.2</w:t>
            </w:r>
          </w:p>
        </w:tc>
        <w:tc>
          <w:tcPr>
            <w:tcW w:w="8880" w:type="dxa"/>
            <w:vAlign w:val="bottom"/>
          </w:tcPr>
          <w:p>
            <w:pPr>
              <w:ind w:left="120"/>
              <w:spacing w:after="0"/>
              <w:rPr>
                <w:sz w:val="20"/>
                <w:szCs w:val="20"/>
                <w:color w:val="auto"/>
              </w:rPr>
            </w:pPr>
            <w:r>
              <w:rPr>
                <w:rFonts w:ascii="Arial" w:cs="Arial" w:eastAsia="Arial" w:hAnsi="Arial"/>
                <w:sz w:val="18"/>
                <w:szCs w:val="18"/>
                <w:color w:val="auto"/>
              </w:rPr>
              <w:t>Removal of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11.3</w:t>
            </w:r>
          </w:p>
        </w:tc>
        <w:tc>
          <w:tcPr>
            <w:tcW w:w="8880" w:type="dxa"/>
            <w:vAlign w:val="bottom"/>
          </w:tcPr>
          <w:p>
            <w:pPr>
              <w:ind w:left="120"/>
              <w:spacing w:after="0"/>
              <w:rPr>
                <w:sz w:val="20"/>
                <w:szCs w:val="20"/>
                <w:color w:val="auto"/>
              </w:rPr>
            </w:pPr>
            <w:r>
              <w:rPr>
                <w:rFonts w:ascii="Arial" w:cs="Arial" w:eastAsia="Arial" w:hAnsi="Arial"/>
                <w:sz w:val="18"/>
                <w:szCs w:val="18"/>
                <w:color w:val="auto"/>
              </w:rPr>
              <w:t>Interest of Departing General Partner and Successor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11.4</w:t>
            </w:r>
          </w:p>
        </w:tc>
        <w:tc>
          <w:tcPr>
            <w:tcW w:w="8880" w:type="dxa"/>
            <w:vAlign w:val="bottom"/>
          </w:tcPr>
          <w:p>
            <w:pPr>
              <w:ind w:left="120"/>
              <w:spacing w:after="0"/>
              <w:rPr>
                <w:sz w:val="20"/>
                <w:szCs w:val="20"/>
                <w:color w:val="auto"/>
              </w:rPr>
            </w:pPr>
            <w:r>
              <w:rPr>
                <w:rFonts w:ascii="Arial" w:cs="Arial" w:eastAsia="Arial" w:hAnsi="Arial"/>
                <w:sz w:val="18"/>
                <w:szCs w:val="18"/>
                <w:color w:val="auto"/>
              </w:rPr>
              <w:t>Withdrawal of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rPr>
              <w:t>ARTICLE XII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8"/>
              </w:rPr>
              <w:t>DISSOLUTION AND LIQUIDATION</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12.1</w:t>
            </w:r>
          </w:p>
        </w:tc>
        <w:tc>
          <w:tcPr>
            <w:tcW w:w="8880" w:type="dxa"/>
            <w:vAlign w:val="bottom"/>
          </w:tcPr>
          <w:p>
            <w:pPr>
              <w:ind w:left="120"/>
              <w:spacing w:after="0"/>
              <w:rPr>
                <w:sz w:val="20"/>
                <w:szCs w:val="20"/>
                <w:color w:val="auto"/>
              </w:rPr>
            </w:pPr>
            <w:r>
              <w:rPr>
                <w:rFonts w:ascii="Arial" w:cs="Arial" w:eastAsia="Arial" w:hAnsi="Arial"/>
                <w:sz w:val="18"/>
                <w:szCs w:val="18"/>
                <w:color w:val="auto"/>
              </w:rPr>
              <w:t>Dissolution</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12.2</w:t>
            </w:r>
          </w:p>
        </w:tc>
        <w:tc>
          <w:tcPr>
            <w:tcW w:w="8880" w:type="dxa"/>
            <w:vAlign w:val="bottom"/>
          </w:tcPr>
          <w:p>
            <w:pPr>
              <w:ind w:left="120"/>
              <w:spacing w:after="0"/>
              <w:rPr>
                <w:sz w:val="20"/>
                <w:szCs w:val="20"/>
                <w:color w:val="auto"/>
              </w:rPr>
            </w:pPr>
            <w:r>
              <w:rPr>
                <w:rFonts w:ascii="Arial" w:cs="Arial" w:eastAsia="Arial" w:hAnsi="Arial"/>
                <w:sz w:val="18"/>
                <w:szCs w:val="18"/>
                <w:color w:val="auto"/>
              </w:rPr>
              <w:t>Continuation of the Business of the Partnership After Dissolution</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12.3</w:t>
            </w:r>
          </w:p>
        </w:tc>
        <w:tc>
          <w:tcPr>
            <w:tcW w:w="8880" w:type="dxa"/>
            <w:vAlign w:val="bottom"/>
          </w:tcPr>
          <w:p>
            <w:pPr>
              <w:ind w:left="120"/>
              <w:spacing w:after="0"/>
              <w:rPr>
                <w:sz w:val="20"/>
                <w:szCs w:val="20"/>
                <w:color w:val="auto"/>
              </w:rPr>
            </w:pPr>
            <w:r>
              <w:rPr>
                <w:rFonts w:ascii="Arial" w:cs="Arial" w:eastAsia="Arial" w:hAnsi="Arial"/>
                <w:sz w:val="18"/>
                <w:szCs w:val="18"/>
                <w:color w:val="auto"/>
              </w:rPr>
              <w:t>Liquidator</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12.4</w:t>
            </w:r>
          </w:p>
        </w:tc>
        <w:tc>
          <w:tcPr>
            <w:tcW w:w="8880" w:type="dxa"/>
            <w:vAlign w:val="bottom"/>
          </w:tcPr>
          <w:p>
            <w:pPr>
              <w:ind w:left="120"/>
              <w:spacing w:after="0"/>
              <w:rPr>
                <w:sz w:val="20"/>
                <w:szCs w:val="20"/>
                <w:color w:val="auto"/>
              </w:rPr>
            </w:pPr>
            <w:r>
              <w:rPr>
                <w:rFonts w:ascii="Arial" w:cs="Arial" w:eastAsia="Arial" w:hAnsi="Arial"/>
                <w:sz w:val="18"/>
                <w:szCs w:val="18"/>
                <w:color w:val="auto"/>
              </w:rPr>
              <w:t>Liquidation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12.5</w:t>
            </w:r>
          </w:p>
        </w:tc>
        <w:tc>
          <w:tcPr>
            <w:tcW w:w="8880" w:type="dxa"/>
            <w:vAlign w:val="bottom"/>
          </w:tcPr>
          <w:p>
            <w:pPr>
              <w:ind w:left="120"/>
              <w:spacing w:after="0"/>
              <w:rPr>
                <w:sz w:val="20"/>
                <w:szCs w:val="20"/>
                <w:color w:val="auto"/>
              </w:rPr>
            </w:pPr>
            <w:r>
              <w:rPr>
                <w:rFonts w:ascii="Arial" w:cs="Arial" w:eastAsia="Arial" w:hAnsi="Arial"/>
                <w:sz w:val="18"/>
                <w:szCs w:val="18"/>
                <w:color w:val="auto"/>
              </w:rPr>
              <w:t>Cancellation of Certificate of Limited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12.6</w:t>
            </w:r>
          </w:p>
        </w:tc>
        <w:tc>
          <w:tcPr>
            <w:tcW w:w="8880" w:type="dxa"/>
            <w:vAlign w:val="bottom"/>
          </w:tcPr>
          <w:p>
            <w:pPr>
              <w:ind w:left="120"/>
              <w:spacing w:after="0"/>
              <w:rPr>
                <w:sz w:val="20"/>
                <w:szCs w:val="20"/>
                <w:color w:val="auto"/>
              </w:rPr>
            </w:pPr>
            <w:r>
              <w:rPr>
                <w:rFonts w:ascii="Arial" w:cs="Arial" w:eastAsia="Arial" w:hAnsi="Arial"/>
                <w:sz w:val="18"/>
                <w:szCs w:val="18"/>
                <w:color w:val="auto"/>
              </w:rPr>
              <w:t>Return of Contributions</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12.7</w:t>
            </w:r>
          </w:p>
        </w:tc>
        <w:tc>
          <w:tcPr>
            <w:tcW w:w="8880" w:type="dxa"/>
            <w:vAlign w:val="bottom"/>
          </w:tcPr>
          <w:p>
            <w:pPr>
              <w:ind w:left="120"/>
              <w:spacing w:after="0"/>
              <w:rPr>
                <w:sz w:val="20"/>
                <w:szCs w:val="20"/>
                <w:color w:val="auto"/>
              </w:rPr>
            </w:pPr>
            <w:r>
              <w:rPr>
                <w:rFonts w:ascii="Arial" w:cs="Arial" w:eastAsia="Arial" w:hAnsi="Arial"/>
                <w:sz w:val="18"/>
                <w:szCs w:val="18"/>
                <w:color w:val="auto"/>
              </w:rPr>
              <w:t>Waiver of Partition</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rPr>
              <w:t>ARTICLE XIII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w w:val="95"/>
              </w:rPr>
              <w:t>AMENDMENT OF PARTNERSHIP AGREEMENT; MEETINGS; RECORD DATE</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13.1</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Amendments to be Adopted Solely by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13.2</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Procedures</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13.3</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Requirements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13.4</w:t>
            </w:r>
          </w:p>
        </w:tc>
        <w:tc>
          <w:tcPr>
            <w:tcW w:w="8880" w:type="dxa"/>
            <w:vAlign w:val="bottom"/>
          </w:tcPr>
          <w:p>
            <w:pPr>
              <w:ind w:left="120"/>
              <w:spacing w:after="0"/>
              <w:rPr>
                <w:sz w:val="20"/>
                <w:szCs w:val="20"/>
                <w:color w:val="auto"/>
              </w:rPr>
            </w:pPr>
            <w:r>
              <w:rPr>
                <w:rFonts w:ascii="Arial" w:cs="Arial" w:eastAsia="Arial" w:hAnsi="Arial"/>
                <w:sz w:val="18"/>
                <w:szCs w:val="18"/>
                <w:color w:val="auto"/>
              </w:rPr>
              <w:t>Meetings</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13.5</w:t>
            </w:r>
          </w:p>
        </w:tc>
        <w:tc>
          <w:tcPr>
            <w:tcW w:w="8880" w:type="dxa"/>
            <w:vAlign w:val="bottom"/>
          </w:tcPr>
          <w:p>
            <w:pPr>
              <w:ind w:left="120"/>
              <w:spacing w:after="0"/>
              <w:rPr>
                <w:sz w:val="20"/>
                <w:szCs w:val="20"/>
                <w:color w:val="auto"/>
              </w:rPr>
            </w:pPr>
            <w:r>
              <w:rPr>
                <w:rFonts w:ascii="Arial" w:cs="Arial" w:eastAsia="Arial" w:hAnsi="Arial"/>
                <w:sz w:val="18"/>
                <w:szCs w:val="18"/>
                <w:color w:val="auto"/>
              </w:rPr>
              <w:t>Notice of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13.6</w:t>
            </w:r>
          </w:p>
        </w:tc>
        <w:tc>
          <w:tcPr>
            <w:tcW w:w="8880" w:type="dxa"/>
            <w:vAlign w:val="bottom"/>
          </w:tcPr>
          <w:p>
            <w:pPr>
              <w:ind w:left="120"/>
              <w:spacing w:after="0"/>
              <w:rPr>
                <w:sz w:val="20"/>
                <w:szCs w:val="20"/>
                <w:color w:val="auto"/>
              </w:rPr>
            </w:pPr>
            <w:r>
              <w:rPr>
                <w:rFonts w:ascii="Arial" w:cs="Arial" w:eastAsia="Arial" w:hAnsi="Arial"/>
                <w:sz w:val="18"/>
                <w:szCs w:val="18"/>
                <w:color w:val="auto"/>
              </w:rPr>
              <w:t>Record Date</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13.7</w:t>
            </w:r>
          </w:p>
        </w:tc>
        <w:tc>
          <w:tcPr>
            <w:tcW w:w="8880" w:type="dxa"/>
            <w:vAlign w:val="bottom"/>
          </w:tcPr>
          <w:p>
            <w:pPr>
              <w:ind w:left="120"/>
              <w:spacing w:after="0"/>
              <w:rPr>
                <w:sz w:val="20"/>
                <w:szCs w:val="20"/>
                <w:color w:val="auto"/>
              </w:rPr>
            </w:pPr>
            <w:r>
              <w:rPr>
                <w:rFonts w:ascii="Arial" w:cs="Arial" w:eastAsia="Arial" w:hAnsi="Arial"/>
                <w:sz w:val="18"/>
                <w:szCs w:val="18"/>
                <w:color w:val="auto"/>
              </w:rPr>
              <w:t>Adjournment</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13.8</w:t>
            </w:r>
          </w:p>
        </w:tc>
        <w:tc>
          <w:tcPr>
            <w:tcW w:w="8880" w:type="dxa"/>
            <w:vAlign w:val="bottom"/>
          </w:tcPr>
          <w:p>
            <w:pPr>
              <w:ind w:left="120"/>
              <w:spacing w:after="0"/>
              <w:rPr>
                <w:sz w:val="20"/>
                <w:szCs w:val="20"/>
                <w:color w:val="auto"/>
              </w:rPr>
            </w:pPr>
            <w:r>
              <w:rPr>
                <w:rFonts w:ascii="Arial" w:cs="Arial" w:eastAsia="Arial" w:hAnsi="Arial"/>
                <w:sz w:val="18"/>
                <w:szCs w:val="18"/>
                <w:color w:val="auto"/>
              </w:rPr>
              <w:t>Waiver of Notice; Approval of Meeting; Approval of Minutes</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13.9</w:t>
            </w:r>
          </w:p>
        </w:tc>
        <w:tc>
          <w:tcPr>
            <w:tcW w:w="8880" w:type="dxa"/>
            <w:vAlign w:val="bottom"/>
          </w:tcPr>
          <w:p>
            <w:pPr>
              <w:ind w:left="120"/>
              <w:spacing w:after="0"/>
              <w:rPr>
                <w:sz w:val="20"/>
                <w:szCs w:val="20"/>
                <w:color w:val="auto"/>
              </w:rPr>
            </w:pPr>
            <w:r>
              <w:rPr>
                <w:rFonts w:ascii="Arial" w:cs="Arial" w:eastAsia="Arial" w:hAnsi="Arial"/>
                <w:sz w:val="18"/>
                <w:szCs w:val="18"/>
                <w:color w:val="auto"/>
              </w:rPr>
              <w:t>Quorum</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13.10</w:t>
            </w:r>
          </w:p>
        </w:tc>
        <w:tc>
          <w:tcPr>
            <w:tcW w:w="8880" w:type="dxa"/>
            <w:vAlign w:val="bottom"/>
          </w:tcPr>
          <w:p>
            <w:pPr>
              <w:ind w:left="120"/>
              <w:spacing w:after="0"/>
              <w:rPr>
                <w:sz w:val="20"/>
                <w:szCs w:val="20"/>
                <w:color w:val="auto"/>
              </w:rPr>
            </w:pPr>
            <w:r>
              <w:rPr>
                <w:rFonts w:ascii="Arial" w:cs="Arial" w:eastAsia="Arial" w:hAnsi="Arial"/>
                <w:sz w:val="18"/>
                <w:szCs w:val="18"/>
                <w:color w:val="auto"/>
              </w:rPr>
              <w:t>Conduct of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13.11</w:t>
            </w:r>
          </w:p>
        </w:tc>
        <w:tc>
          <w:tcPr>
            <w:tcW w:w="8880" w:type="dxa"/>
            <w:vAlign w:val="bottom"/>
          </w:tcPr>
          <w:p>
            <w:pPr>
              <w:ind w:left="120"/>
              <w:spacing w:after="0"/>
              <w:rPr>
                <w:sz w:val="20"/>
                <w:szCs w:val="20"/>
                <w:color w:val="auto"/>
              </w:rPr>
            </w:pPr>
            <w:r>
              <w:rPr>
                <w:rFonts w:ascii="Arial" w:cs="Arial" w:eastAsia="Arial" w:hAnsi="Arial"/>
                <w:sz w:val="18"/>
                <w:szCs w:val="18"/>
                <w:color w:val="auto"/>
              </w:rPr>
              <w:t>Action Without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13.12</w:t>
            </w:r>
          </w:p>
        </w:tc>
        <w:tc>
          <w:tcPr>
            <w:tcW w:w="8880" w:type="dxa"/>
            <w:vAlign w:val="bottom"/>
          </w:tcPr>
          <w:p>
            <w:pPr>
              <w:ind w:left="120"/>
              <w:spacing w:after="0"/>
              <w:rPr>
                <w:sz w:val="20"/>
                <w:szCs w:val="20"/>
                <w:color w:val="auto"/>
              </w:rPr>
            </w:pPr>
            <w:r>
              <w:rPr>
                <w:rFonts w:ascii="Arial" w:cs="Arial" w:eastAsia="Arial" w:hAnsi="Arial"/>
                <w:sz w:val="18"/>
                <w:szCs w:val="18"/>
                <w:color w:val="auto"/>
              </w:rPr>
              <w:t>Voting and Other Rights</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rPr>
              <w:t>ARTICLE XIV</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5"/>
              </w:rPr>
              <w:t>MERGER, CONSOLIDATION OR CONVERSION</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14.1</w:t>
            </w:r>
          </w:p>
        </w:tc>
        <w:tc>
          <w:tcPr>
            <w:tcW w:w="888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14.2</w:t>
            </w:r>
          </w:p>
        </w:tc>
        <w:tc>
          <w:tcPr>
            <w:tcW w:w="8880" w:type="dxa"/>
            <w:vAlign w:val="bottom"/>
          </w:tcPr>
          <w:p>
            <w:pPr>
              <w:ind w:left="120"/>
              <w:spacing w:after="0"/>
              <w:rPr>
                <w:sz w:val="20"/>
                <w:szCs w:val="20"/>
                <w:color w:val="auto"/>
              </w:rPr>
            </w:pPr>
            <w:r>
              <w:rPr>
                <w:rFonts w:ascii="Arial" w:cs="Arial" w:eastAsia="Arial" w:hAnsi="Arial"/>
                <w:sz w:val="18"/>
                <w:szCs w:val="18"/>
                <w:color w:val="auto"/>
              </w:rPr>
              <w:t>Procedure for Merger, Consolidation or Conversion</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14.3</w:t>
            </w:r>
          </w:p>
        </w:tc>
        <w:tc>
          <w:tcPr>
            <w:tcW w:w="8880" w:type="dxa"/>
            <w:vAlign w:val="bottom"/>
          </w:tcPr>
          <w:p>
            <w:pPr>
              <w:ind w:left="120"/>
              <w:spacing w:after="0"/>
              <w:rPr>
                <w:sz w:val="20"/>
                <w:szCs w:val="20"/>
                <w:color w:val="auto"/>
              </w:rPr>
            </w:pPr>
            <w:r>
              <w:rPr>
                <w:rFonts w:ascii="Arial" w:cs="Arial" w:eastAsia="Arial" w:hAnsi="Arial"/>
                <w:sz w:val="18"/>
                <w:szCs w:val="18"/>
                <w:color w:val="auto"/>
              </w:rPr>
              <w:t>Approval by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14.4</w:t>
            </w:r>
          </w:p>
        </w:tc>
        <w:tc>
          <w:tcPr>
            <w:tcW w:w="8880" w:type="dxa"/>
            <w:vAlign w:val="bottom"/>
          </w:tcPr>
          <w:p>
            <w:pPr>
              <w:ind w:left="120"/>
              <w:spacing w:after="0"/>
              <w:rPr>
                <w:sz w:val="20"/>
                <w:szCs w:val="20"/>
                <w:color w:val="auto"/>
              </w:rPr>
            </w:pPr>
            <w:r>
              <w:rPr>
                <w:rFonts w:ascii="Arial" w:cs="Arial" w:eastAsia="Arial" w:hAnsi="Arial"/>
                <w:sz w:val="18"/>
                <w:szCs w:val="18"/>
                <w:color w:val="auto"/>
              </w:rPr>
              <w:t>Certificate of Merger</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14.5</w:t>
            </w:r>
          </w:p>
        </w:tc>
        <w:tc>
          <w:tcPr>
            <w:tcW w:w="8880" w:type="dxa"/>
            <w:vAlign w:val="bottom"/>
          </w:tcPr>
          <w:p>
            <w:pPr>
              <w:ind w:left="120"/>
              <w:spacing w:after="0"/>
              <w:rPr>
                <w:sz w:val="20"/>
                <w:szCs w:val="20"/>
                <w:color w:val="auto"/>
              </w:rPr>
            </w:pPr>
            <w:r>
              <w:rPr>
                <w:rFonts w:ascii="Arial" w:cs="Arial" w:eastAsia="Arial" w:hAnsi="Arial"/>
                <w:sz w:val="18"/>
                <w:szCs w:val="18"/>
                <w:color w:val="auto"/>
              </w:rPr>
              <w:t>Effect of Merger, Consolidation or Conversion</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14.6</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of Partnership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-6699250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-6699250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0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TO ACQUIRE LIMITED PARTNER INTERESTS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15.1</w:t>
            </w:r>
          </w:p>
        </w:tc>
        <w:tc>
          <w:tcPr>
            <w:tcW w:w="7820" w:type="dxa"/>
            <w:vAlign w:val="bottom"/>
          </w:tcPr>
          <w:p>
            <w:pPr>
              <w:ind w:left="120"/>
              <w:spacing w:after="0"/>
              <w:rPr>
                <w:sz w:val="20"/>
                <w:szCs w:val="20"/>
                <w:color w:val="auto"/>
              </w:rPr>
            </w:pPr>
            <w:r>
              <w:rPr>
                <w:rFonts w:ascii="Arial" w:cs="Arial" w:eastAsia="Arial" w:hAnsi="Arial"/>
                <w:sz w:val="18"/>
                <w:szCs w:val="18"/>
                <w:color w:val="auto"/>
              </w:rPr>
              <w:t>Right to Acquire Limited Partner Interests</w:t>
            </w:r>
          </w:p>
        </w:tc>
        <w:tc>
          <w:tcPr>
            <w:tcW w:w="2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140" w:type="dxa"/>
            <w:vAlign w:val="bottom"/>
          </w:tcPr>
          <w:p>
            <w:pPr>
              <w:spacing w:after="0"/>
              <w:rPr>
                <w:sz w:val="24"/>
                <w:szCs w:val="24"/>
                <w:color w:val="auto"/>
              </w:rPr>
            </w:pPr>
          </w:p>
        </w:tc>
        <w:tc>
          <w:tcPr>
            <w:tcW w:w="7820" w:type="dxa"/>
            <w:vAlign w:val="bottom"/>
          </w:tcPr>
          <w:p>
            <w:pPr>
              <w:ind w:left="4020"/>
              <w:spacing w:after="0"/>
              <w:rPr>
                <w:sz w:val="20"/>
                <w:szCs w:val="20"/>
                <w:color w:val="auto"/>
              </w:rPr>
            </w:pPr>
            <w:r>
              <w:rPr>
                <w:rFonts w:ascii="Arial" w:cs="Arial" w:eastAsia="Arial" w:hAnsi="Arial"/>
                <w:sz w:val="18"/>
                <w:szCs w:val="18"/>
                <w:color w:val="auto"/>
              </w:rPr>
              <w:t>ARTICLE XVI</w:t>
            </w:r>
          </w:p>
        </w:tc>
        <w:tc>
          <w:tcPr>
            <w:tcW w:w="246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820" w:type="dxa"/>
            <w:vAlign w:val="bottom"/>
          </w:tcPr>
          <w:p>
            <w:pPr>
              <w:ind w:left="3600"/>
              <w:spacing w:after="0"/>
              <w:rPr>
                <w:sz w:val="20"/>
                <w:szCs w:val="20"/>
                <w:color w:val="auto"/>
              </w:rPr>
            </w:pPr>
            <w:r>
              <w:rPr>
                <w:rFonts w:ascii="Arial" w:cs="Arial" w:eastAsia="Arial" w:hAnsi="Arial"/>
                <w:sz w:val="18"/>
                <w:szCs w:val="18"/>
                <w:color w:val="auto"/>
              </w:rPr>
              <w:t>GENERAL PROVISIONS</w:t>
            </w:r>
          </w:p>
        </w:tc>
        <w:tc>
          <w:tcPr>
            <w:tcW w:w="246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16.1</w:t>
            </w:r>
          </w:p>
        </w:tc>
        <w:tc>
          <w:tcPr>
            <w:tcW w:w="7820" w:type="dxa"/>
            <w:vAlign w:val="bottom"/>
          </w:tcPr>
          <w:p>
            <w:pPr>
              <w:ind w:left="120"/>
              <w:spacing w:after="0"/>
              <w:rPr>
                <w:sz w:val="20"/>
                <w:szCs w:val="20"/>
                <w:color w:val="auto"/>
              </w:rPr>
            </w:pPr>
            <w:r>
              <w:rPr>
                <w:rFonts w:ascii="Arial" w:cs="Arial" w:eastAsia="Arial" w:hAnsi="Arial"/>
                <w:sz w:val="18"/>
                <w:szCs w:val="18"/>
                <w:color w:val="auto"/>
              </w:rPr>
              <w:t>Addresses and 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16.2</w:t>
            </w:r>
          </w:p>
        </w:tc>
        <w:tc>
          <w:tcPr>
            <w:tcW w:w="7820" w:type="dxa"/>
            <w:vAlign w:val="bottom"/>
          </w:tcPr>
          <w:p>
            <w:pPr>
              <w:ind w:left="120"/>
              <w:spacing w:after="0"/>
              <w:rPr>
                <w:sz w:val="20"/>
                <w:szCs w:val="20"/>
                <w:color w:val="auto"/>
              </w:rPr>
            </w:pPr>
            <w:r>
              <w:rPr>
                <w:rFonts w:ascii="Arial" w:cs="Arial" w:eastAsia="Arial" w:hAnsi="Arial"/>
                <w:sz w:val="18"/>
                <w:szCs w:val="18"/>
                <w:color w:val="auto"/>
              </w:rPr>
              <w:t>Further Action</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16.3</w:t>
            </w:r>
          </w:p>
        </w:tc>
        <w:tc>
          <w:tcPr>
            <w:tcW w:w="7820" w:type="dxa"/>
            <w:vAlign w:val="bottom"/>
          </w:tcPr>
          <w:p>
            <w:pPr>
              <w:ind w:left="120"/>
              <w:spacing w:after="0"/>
              <w:rPr>
                <w:sz w:val="20"/>
                <w:szCs w:val="20"/>
                <w:color w:val="auto"/>
              </w:rPr>
            </w:pPr>
            <w:r>
              <w:rPr>
                <w:rFonts w:ascii="Arial" w:cs="Arial" w:eastAsia="Arial" w:hAnsi="Arial"/>
                <w:sz w:val="18"/>
                <w:szCs w:val="18"/>
                <w:color w:val="auto"/>
              </w:rPr>
              <w:t>Binding Effect</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16.4</w:t>
            </w:r>
          </w:p>
        </w:tc>
        <w:tc>
          <w:tcPr>
            <w:tcW w:w="782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16.5</w:t>
            </w:r>
          </w:p>
        </w:tc>
        <w:tc>
          <w:tcPr>
            <w:tcW w:w="7820" w:type="dxa"/>
            <w:vAlign w:val="bottom"/>
          </w:tcPr>
          <w:p>
            <w:pPr>
              <w:ind w:left="120"/>
              <w:spacing w:after="0"/>
              <w:rPr>
                <w:sz w:val="20"/>
                <w:szCs w:val="20"/>
                <w:color w:val="auto"/>
              </w:rPr>
            </w:pPr>
            <w:r>
              <w:rPr>
                <w:rFonts w:ascii="Arial" w:cs="Arial" w:eastAsia="Arial" w:hAnsi="Arial"/>
                <w:sz w:val="18"/>
                <w:szCs w:val="18"/>
                <w:color w:val="auto"/>
              </w:rPr>
              <w:t>Creditors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16.6</w:t>
            </w:r>
          </w:p>
        </w:tc>
        <w:tc>
          <w:tcPr>
            <w:tcW w:w="7820" w:type="dxa"/>
            <w:vAlign w:val="bottom"/>
          </w:tcPr>
          <w:p>
            <w:pPr>
              <w:ind w:left="120"/>
              <w:spacing w:after="0"/>
              <w:rPr>
                <w:sz w:val="20"/>
                <w:szCs w:val="20"/>
                <w:color w:val="auto"/>
              </w:rPr>
            </w:pPr>
            <w:r>
              <w:rPr>
                <w:rFonts w:ascii="Arial" w:cs="Arial" w:eastAsia="Arial" w:hAnsi="Arial"/>
                <w:sz w:val="18"/>
                <w:szCs w:val="18"/>
                <w:color w:val="auto"/>
              </w:rPr>
              <w:t>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16.7</w:t>
            </w:r>
          </w:p>
        </w:tc>
        <w:tc>
          <w:tcPr>
            <w:tcW w:w="7820" w:type="dxa"/>
            <w:vAlign w:val="bottom"/>
          </w:tcPr>
          <w:p>
            <w:pPr>
              <w:ind w:left="120"/>
              <w:spacing w:after="0"/>
              <w:rPr>
                <w:sz w:val="20"/>
                <w:szCs w:val="20"/>
                <w:color w:val="auto"/>
              </w:rPr>
            </w:pPr>
            <w:r>
              <w:rPr>
                <w:rFonts w:ascii="Arial" w:cs="Arial" w:eastAsia="Arial" w:hAnsi="Arial"/>
                <w:sz w:val="18"/>
                <w:szCs w:val="18"/>
                <w:color w:val="auto"/>
              </w:rPr>
              <w:t>Third-Party Beneficiaries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16.8</w:t>
            </w:r>
          </w:p>
        </w:tc>
        <w:tc>
          <w:tcPr>
            <w:tcW w:w="78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16.9</w:t>
            </w:r>
          </w:p>
        </w:tc>
        <w:tc>
          <w:tcPr>
            <w:tcW w:w="7820" w:type="dxa"/>
            <w:vAlign w:val="bottom"/>
          </w:tcPr>
          <w:p>
            <w:pPr>
              <w:ind w:left="120"/>
              <w:spacing w:after="0"/>
              <w:rPr>
                <w:sz w:val="20"/>
                <w:szCs w:val="20"/>
                <w:color w:val="auto"/>
              </w:rPr>
            </w:pPr>
            <w:r>
              <w:rPr>
                <w:rFonts w:ascii="Arial" w:cs="Arial" w:eastAsia="Arial" w:hAnsi="Arial"/>
                <w:sz w:val="18"/>
                <w:szCs w:val="18"/>
                <w:color w:val="auto"/>
              </w:rPr>
              <w:t>Applicable Law; Forum; Venue and Jurisdiction; Waiver of Trial by Jury</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16.10</w:t>
            </w:r>
          </w:p>
        </w:tc>
        <w:tc>
          <w:tcPr>
            <w:tcW w:w="7820" w:type="dxa"/>
            <w:vAlign w:val="bottom"/>
          </w:tcPr>
          <w:p>
            <w:pPr>
              <w:ind w:left="120"/>
              <w:spacing w:after="0"/>
              <w:rPr>
                <w:sz w:val="20"/>
                <w:szCs w:val="20"/>
                <w:color w:val="auto"/>
              </w:rPr>
            </w:pPr>
            <w:r>
              <w:rPr>
                <w:rFonts w:ascii="Arial" w:cs="Arial" w:eastAsia="Arial" w:hAnsi="Arial"/>
                <w:sz w:val="18"/>
                <w:szCs w:val="18"/>
                <w:color w:val="auto"/>
              </w:rPr>
              <w:t>Invalidity of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16.11</w:t>
            </w:r>
          </w:p>
        </w:tc>
        <w:tc>
          <w:tcPr>
            <w:tcW w:w="7820" w:type="dxa"/>
            <w:vAlign w:val="bottom"/>
          </w:tcPr>
          <w:p>
            <w:pPr>
              <w:ind w:left="120"/>
              <w:spacing w:after="0"/>
              <w:rPr>
                <w:sz w:val="20"/>
                <w:szCs w:val="20"/>
                <w:color w:val="auto"/>
              </w:rPr>
            </w:pPr>
            <w:r>
              <w:rPr>
                <w:rFonts w:ascii="Arial" w:cs="Arial" w:eastAsia="Arial" w:hAnsi="Arial"/>
                <w:sz w:val="18"/>
                <w:szCs w:val="18"/>
                <w:color w:val="auto"/>
              </w:rPr>
              <w:t>Consent of Partners</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16.12</w:t>
            </w:r>
          </w:p>
        </w:tc>
        <w:tc>
          <w:tcPr>
            <w:tcW w:w="7820" w:type="dxa"/>
            <w:vAlign w:val="bottom"/>
          </w:tcPr>
          <w:p>
            <w:pPr>
              <w:ind w:left="120"/>
              <w:spacing w:after="0"/>
              <w:rPr>
                <w:sz w:val="20"/>
                <w:szCs w:val="20"/>
                <w:color w:val="auto"/>
              </w:rPr>
            </w:pPr>
            <w:r>
              <w:rPr>
                <w:rFonts w:ascii="Arial" w:cs="Arial" w:eastAsia="Arial" w:hAnsi="Arial"/>
                <w:sz w:val="18"/>
                <w:szCs w:val="18"/>
                <w:color w:val="auto"/>
              </w:rPr>
              <w:t>Facsimile Signatures</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AGREEMENT OF LIMITED PARTNERSHIP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This SECOND AMENDED AND RESTATED AGREEMENT OF LIMITED PARTNERSHIP OF PLAINS GP HOLDINGS, L.P. dated as of [·], 2016, is entered into by and among PAA GP Holdings LLC, a Delaware limited liability company, as the General Partner, together with any other Persons who are or become Partners in the Partnership or parties hereto as provided herein.</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the General Partner and the other parties thereto entered into that certain Amended and Restated Agreement of Limited Partnership dated as of October 21, 2013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General Partner desires to amend and restate the Original Agreement, to reflect the amendments set forth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Shareholders holding a Share Majority have approved each of the amendments set forth herein; and</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covenants, conditions and agreements contained herein, the parties hereto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for all purposes, unless otherwise clearly indicated to the contrary, applied to the terms used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Agreement</w:t>
      </w:r>
      <w:r>
        <w:rPr>
          <w:rFonts w:ascii="Arial" w:cs="Arial" w:eastAsia="Arial" w:hAnsi="Arial"/>
          <w:sz w:val="18"/>
          <w:szCs w:val="18"/>
          <w:color w:val="auto"/>
        </w:rPr>
        <w:t>” means the Eighth Amended and Restated Limited Partnership Agreement of AAP, dated as of the date hereof, as such may be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Class A Units representing limited partner interests in 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Class B Units representing limited partner interests in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Exchange</w:t>
      </w:r>
      <w:r>
        <w:rPr>
          <w:rFonts w:ascii="Arial" w:cs="Arial" w:eastAsia="Arial" w:hAnsi="Arial"/>
          <w:sz w:val="18"/>
          <w:szCs w:val="18"/>
          <w:color w:val="auto"/>
        </w:rPr>
        <w:t>” has the meaning ascribed to the term “Exchange” in the AAP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Redemption</w:t>
      </w:r>
      <w:r>
        <w:rPr>
          <w:rFonts w:ascii="Arial" w:cs="Arial" w:eastAsia="Arial" w:hAnsi="Arial"/>
          <w:sz w:val="18"/>
          <w:szCs w:val="18"/>
          <w:color w:val="auto"/>
        </w:rPr>
        <w:t>” means a redemption of AAP Class A Units in accordance with Section 7.11 of the AAP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Units</w:t>
      </w:r>
      <w:r>
        <w:rPr>
          <w:rFonts w:ascii="Arial" w:cs="Arial" w:eastAsia="Arial" w:hAnsi="Arial"/>
          <w:sz w:val="18"/>
          <w:szCs w:val="18"/>
          <w:color w:val="auto"/>
        </w:rPr>
        <w:t>” means limited partnership interests in AAP, including AAP Class A Units and AAP Class B Units.</w:t>
      </w:r>
    </w:p>
    <w:p>
      <w:pPr>
        <w:sectPr>
          <w:pgSz w:w="11900" w:h="16838" w:orient="portrait"/>
          <w:cols w:equalWidth="0" w:num="1">
            <w:col w:w="11420"/>
          </w:cols>
          <w:pgMar w:left="240" w:top="341" w:right="239" w:bottom="32" w:gutter="0" w:footer="0" w:header="0"/>
        </w:sectPr>
      </w:pPr>
    </w:p>
    <w:bookmarkStart w:id="128" w:name="page129"/>
    <w:bookmarkEnd w:id="128"/>
    <w:p>
      <w:pPr>
        <w:spacing w:after="0" w:line="1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Agreement</w:t>
      </w:r>
      <w:r>
        <w:rPr>
          <w:rFonts w:ascii="Arial" w:cs="Arial" w:eastAsia="Arial" w:hAnsi="Arial"/>
          <w:sz w:val="18"/>
          <w:szCs w:val="18"/>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ind w:right="280" w:firstLine="656"/>
        <w:spacing w:after="0" w:line="259" w:lineRule="auto"/>
        <w:tabs>
          <w:tab w:leader="none" w:pos="129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6"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88" w:lineRule="exact"/>
        <w:rPr>
          <w:rFonts w:ascii="Arial" w:cs="Arial" w:eastAsia="Arial" w:hAnsi="Arial"/>
          <w:sz w:val="18"/>
          <w:szCs w:val="18"/>
          <w:color w:val="auto"/>
        </w:rPr>
      </w:pPr>
    </w:p>
    <w:p>
      <w:pPr>
        <w:ind w:right="520" w:firstLine="656"/>
        <w:spacing w:after="0" w:line="342" w:lineRule="auto"/>
        <w:tabs>
          <w:tab w:leader="none" w:pos="130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or any Group Member by virtue of the ownership by such Person (and Affiliate Group, if applicable) of such General Partner Units; and</w:t>
      </w:r>
    </w:p>
    <w:p>
      <w:pPr>
        <w:spacing w:after="0" w:line="237" w:lineRule="exact"/>
        <w:rPr>
          <w:sz w:val="20"/>
          <w:szCs w:val="20"/>
          <w:color w:val="auto"/>
        </w:rPr>
      </w:pPr>
    </w:p>
    <w:p>
      <w:pPr>
        <w:jc w:val="both"/>
        <w:ind w:right="200" w:firstLine="656"/>
        <w:spacing w:after="0" w:line="312" w:lineRule="auto"/>
        <w:tabs>
          <w:tab w:leader="none" w:pos="130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4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 Group</w:t>
      </w:r>
      <w:r>
        <w:rPr>
          <w:rFonts w:ascii="Arial" w:cs="Arial" w:eastAsia="Arial" w:hAnsi="Arial"/>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Second Amended and Restated Agreement of Limited Partnership of Plains GP Holdings, L.P., as it may be amended, modified, supplemented or restated from time to time in accordance with the terms hereof.</w:t>
      </w:r>
    </w:p>
    <w:p>
      <w:pPr>
        <w:spacing w:after="0" w:line="170"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Associate</w:t>
      </w:r>
      <w:r>
        <w:rPr>
          <w:rFonts w:ascii="Arial" w:cs="Arial" w:eastAsia="Arial" w:hAnsi="Arial"/>
          <w:sz w:val="16"/>
          <w:szCs w:val="16"/>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with respect to any Quarter ending prior to the Liquidation Date,</w:t>
      </w:r>
    </w:p>
    <w:p>
      <w:pPr>
        <w:spacing w:after="0" w:line="225" w:lineRule="exact"/>
        <w:rPr>
          <w:sz w:val="20"/>
          <w:szCs w:val="20"/>
          <w:color w:val="auto"/>
        </w:rPr>
      </w:pPr>
    </w:p>
    <w:p>
      <w:pPr>
        <w:ind w:right="20" w:firstLine="1305"/>
        <w:spacing w:after="0" w:line="291" w:lineRule="auto"/>
        <w:tabs>
          <w:tab w:leader="none" w:pos="1942"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w:t>
      </w:r>
    </w:p>
    <w:p>
      <w:pPr>
        <w:ind w:firstLine="8"/>
        <w:spacing w:after="0" w:line="253" w:lineRule="auto"/>
        <w:tabs>
          <w:tab w:leader="none" w:pos="26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91" w:lineRule="exact"/>
        <w:rPr>
          <w:rFonts w:ascii="Arial" w:cs="Arial" w:eastAsia="Arial" w:hAnsi="Arial"/>
          <w:sz w:val="18"/>
          <w:szCs w:val="18"/>
          <w:color w:val="auto"/>
        </w:rPr>
      </w:pPr>
    </w:p>
    <w:p>
      <w:pPr>
        <w:ind w:right="640" w:firstLine="1305"/>
        <w:spacing w:after="0" w:line="308" w:lineRule="auto"/>
        <w:tabs>
          <w:tab w:leader="none" w:pos="1952"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amount of any cash reserves established by the General Partner (or the Partnership Group’s proportionate share of cash reserves in the case of Subsidiaries of Group Members that are not wholly owned) to (i) comply with applicable law, (ii) comply with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loan agreement, security agreement, mortgage, debt instrument or other agreement or obligation to which any Group Member is a party or by which it is bound or its assets are subject, (iii) provide funds for future distributions to the Shareholders under Section 6.3,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88" w:lineRule="exact"/>
        <w:rPr>
          <w:sz w:val="20"/>
          <w:szCs w:val="20"/>
          <w:color w:val="auto"/>
        </w:rPr>
      </w:pPr>
    </w:p>
    <w:p>
      <w:pPr>
        <w:ind w:left="660" w:right="30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disbursements made by a Group Member or cash reserves established, increased or reduced after the end of such Quarter, but on or</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date of determination of Available Cash with respect to such Quarter, shall be deemed to have been made, established, increased or</w:t>
      </w:r>
    </w:p>
    <w:p>
      <w:pPr>
        <w:sectPr>
          <w:pgSz w:w="11900" w:h="16975" w:orient="portrait"/>
          <w:cols w:equalWidth="0" w:num="1">
            <w:col w:w="11420"/>
          </w:cols>
          <w:pgMar w:left="240" w:top="125" w:right="239" w:bottom="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color w:val="auto"/>
        </w:rPr>
        <w:t>reduced, for purposes of determining Available Cash, within such Quarter if the General Partner so determines.</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Notwithstanding the foregoing, “Available Cash” with respect to the Quarter in which the Liquidation Date occurs and any subsequent Quarter shall equal zero.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Classification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Limited Partnership</w:t>
      </w:r>
      <w:r>
        <w:rPr>
          <w:rFonts w:ascii="Arial" w:cs="Arial" w:eastAsia="Arial" w:hAnsi="Arial"/>
          <w:sz w:val="16"/>
          <w:szCs w:val="16"/>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Citizenship Assignee</w:t>
      </w:r>
      <w:r>
        <w:rPr>
          <w:rFonts w:ascii="Arial" w:cs="Arial" w:eastAsia="Arial" w:hAnsi="Arial"/>
          <w:sz w:val="18"/>
          <w:szCs w:val="18"/>
          <w:color w:val="auto"/>
        </w:rPr>
        <w:t>” means a Non-citizen Assignee or a Person to whom one or more Limited Partner Interests have been transferred in a manner permitted under this Agreement who has not been admitted as a Substituted Limited Partner.</w:t>
      </w:r>
    </w:p>
    <w:p>
      <w:pPr>
        <w:spacing w:after="0" w:line="17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A Shares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Shareholders</w:t>
      </w:r>
      <w:r>
        <w:rPr>
          <w:rFonts w:ascii="Arial" w:cs="Arial" w:eastAsia="Arial" w:hAnsi="Arial"/>
          <w:sz w:val="18"/>
          <w:szCs w:val="18"/>
          <w:color w:val="auto"/>
        </w:rPr>
        <w:t>” means the holders of Class A Shares.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Shareholders</w:t>
      </w:r>
      <w:r>
        <w:rPr>
          <w:rFonts w:ascii="Arial" w:cs="Arial" w:eastAsia="Arial" w:hAnsi="Arial"/>
          <w:sz w:val="18"/>
          <w:szCs w:val="18"/>
          <w:color w:val="auto"/>
        </w:rPr>
        <w:t>” means the holders of Class B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Transfer</w:t>
      </w:r>
      <w:r>
        <w:rPr>
          <w:rFonts w:ascii="Arial" w:cs="Arial" w:eastAsia="Arial" w:hAnsi="Arial"/>
          <w:sz w:val="18"/>
          <w:szCs w:val="18"/>
          <w:color w:val="auto"/>
        </w:rPr>
        <w:t>” has the meaning assigned to such term in Section 4.5(e).</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Shareholders</w:t>
      </w:r>
      <w:r>
        <w:rPr>
          <w:rFonts w:ascii="Arial" w:cs="Arial" w:eastAsia="Arial" w:hAnsi="Arial"/>
          <w:sz w:val="18"/>
          <w:szCs w:val="18"/>
          <w:color w:val="auto"/>
        </w:rPr>
        <w:t>” means the holders of Class C Shares.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first date on which Class A Shares were sold by the Partnership to the Underwriters pursuant to the provisions of the Underwriting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Price</w:t>
      </w:r>
      <w:r>
        <w:rPr>
          <w:rFonts w:ascii="Arial" w:cs="Arial" w:eastAsia="Arial" w:hAnsi="Arial"/>
          <w:sz w:val="18"/>
          <w:szCs w:val="18"/>
          <w:color w:val="auto"/>
        </w:rPr>
        <w:t>” has the meaning assigned to such term in Section 15.1(a).</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Interest</w:t>
      </w:r>
      <w:r>
        <w:rPr>
          <w:rFonts w:ascii="Arial" w:cs="Arial" w:eastAsia="Arial" w:hAnsi="Arial"/>
          <w:sz w:val="18"/>
          <w:szCs w:val="18"/>
          <w:color w:val="auto"/>
        </w:rPr>
        <w:t>” 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Conflicts Committee</w:t>
      </w:r>
      <w:r>
        <w:rPr>
          <w:rFonts w:ascii="Arial" w:cs="Arial" w:eastAsia="Arial" w:hAnsi="Arial"/>
          <w:sz w:val="16"/>
          <w:szCs w:val="16"/>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w:t>
      </w:r>
    </w:p>
    <w:p>
      <w:pPr>
        <w:ind w:firstLine="8"/>
        <w:spacing w:after="0" w:line="261" w:lineRule="auto"/>
        <w:tabs>
          <w:tab w:leader="none" w:pos="21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Class A Shares or (ii) other awards of Partnership Interests that are granted to such Director under a long-term incentive plan) or MLP Group (except that a Director shall not be precluded from serving on such committee due to the ownership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130" w:name="page131"/>
    <w:bookmarkEnd w:id="130"/>
    <w:p>
      <w:pPr>
        <w:ind w:right="20"/>
        <w:spacing w:after="0" w:line="254" w:lineRule="auto"/>
        <w:rPr>
          <w:sz w:val="20"/>
          <w:szCs w:val="20"/>
          <w:color w:val="auto"/>
        </w:rPr>
      </w:pPr>
      <w:r>
        <w:rPr>
          <w:rFonts w:ascii="Arial" w:cs="Arial" w:eastAsia="Arial" w:hAnsi="Arial"/>
          <w:sz w:val="18"/>
          <w:szCs w:val="18"/>
          <w:color w:val="auto"/>
        </w:rPr>
        <w:t>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has the meaning assigned to such term in Section 15.1(a).</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means the Delaware Revised Uniform Limited Partnership Act, 6 Del C. Section 17-101, et seq., as amended, supplemented or restated from time to time, and any successor to such statute.</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Departing General Partner</w:t>
      </w:r>
      <w:r>
        <w:rPr>
          <w:rFonts w:ascii="Arial" w:cs="Arial" w:eastAsia="Arial" w:hAnsi="Arial"/>
          <w:sz w:val="18"/>
          <w:szCs w:val="18"/>
          <w:color w:val="auto"/>
        </w:rPr>
        <w:t>” means a former General Partner from and after the effective date of any withdrawal or removal of such former General Partner pursuant to Section 11.1 or 11.2.</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Directors</w:t>
      </w:r>
      <w:r>
        <w:rPr>
          <w:rFonts w:ascii="Arial" w:cs="Arial" w:eastAsia="Arial" w:hAnsi="Arial"/>
          <w:sz w:val="18"/>
          <w:szCs w:val="18"/>
          <w:color w:val="auto"/>
        </w:rPr>
        <w:t>” means the Directors appointed by the Existing Owners or their permitted transferees pursuant to Sections 6.1 and 6.2 of the Holdings GP LLC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shall mean the members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shall have the meaning given such term in the Holdings GP LLC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Eligibility Certificate</w:t>
      </w:r>
      <w:r>
        <w:rPr>
          <w:rFonts w:ascii="Arial" w:cs="Arial" w:eastAsia="Arial" w:hAnsi="Arial"/>
          <w:sz w:val="18"/>
          <w:szCs w:val="18"/>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Citizen</w:t>
      </w:r>
      <w:r>
        <w:rPr>
          <w:rFonts w:ascii="Arial" w:cs="Arial" w:eastAsia="Arial" w:hAnsi="Arial"/>
          <w:sz w:val="18"/>
          <w:szCs w:val="18"/>
          <w:color w:val="auto"/>
        </w:rPr>
        <w:t>” means a Person qualified to own interests in real property in jurisdictions in which any Group Member does business or proposes to do business from time to time, and whose status as a Limited Partner does not or would not subject such Group Member to a significant risk of cancellation or forfeiture of any of its real properties or interests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 has the meaning assigned to such term in Section 11.1(a).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each of the owners of General Partner Units as of the date of the Original Agreement, in each case for so long as they continue to own General Partner Units.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70"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 Unit</w:t>
      </w:r>
      <w:r>
        <w:rPr>
          <w:rFonts w:ascii="Arial" w:cs="Arial" w:eastAsia="Arial" w:hAnsi="Arial"/>
          <w:sz w:val="18"/>
          <w:szCs w:val="18"/>
          <w:color w:val="auto"/>
        </w:rPr>
        <w:t>” means a fractional part of the membership interest of the General Partner.</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Partnership Group.</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 Agreement</w:t>
      </w:r>
      <w:r>
        <w:rPr>
          <w:rFonts w:ascii="Arial" w:cs="Arial" w:eastAsia="Arial" w:hAnsi="Arial"/>
          <w:sz w:val="18"/>
          <w:szCs w:val="18"/>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93"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Holdings GP LLC Agreement</w:t>
      </w:r>
      <w:r>
        <w:rPr>
          <w:rFonts w:ascii="Arial" w:cs="Arial" w:eastAsia="Arial" w:hAnsi="Arial"/>
          <w:sz w:val="16"/>
          <w:szCs w:val="16"/>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2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w:t>
      </w:r>
    </w:p>
    <w:p>
      <w:pPr>
        <w:sectPr>
          <w:pgSz w:w="11900" w:h="16838" w:orient="portrait"/>
          <w:cols w:equalWidth="0" w:num="1">
            <w:col w:w="11420"/>
          </w:cols>
          <w:pgMar w:left="240" w:top="125" w:right="239" w:bottom="0" w:gutter="0" w:footer="0" w:header="0"/>
        </w:sectPr>
      </w:pPr>
    </w:p>
    <w:bookmarkStart w:id="131" w:name="page132"/>
    <w:bookmarkEnd w:id="131"/>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Departing General Partner, any Existing Owner or any Qualifying Interest Holder or any Affiliate of any Group Member, the General Partner, any Departing General Partner,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Ineligible Holder</w:t>
      </w:r>
      <w:r>
        <w:rPr>
          <w:rFonts w:ascii="Arial" w:cs="Arial" w:eastAsia="Arial" w:hAnsi="Arial"/>
          <w:sz w:val="18"/>
          <w:szCs w:val="18"/>
          <w:color w:val="auto"/>
        </w:rPr>
        <w:t>” has the meaning assigned to such term in Section 4.8(a).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Class A Shares</w:t>
      </w:r>
      <w:r>
        <w:rPr>
          <w:rFonts w:ascii="Arial" w:cs="Arial" w:eastAsia="Arial" w:hAnsi="Arial"/>
          <w:sz w:val="18"/>
          <w:szCs w:val="18"/>
          <w:color w:val="auto"/>
        </w:rPr>
        <w:t>” means the Class A Shares sold in the Initial Offering.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Limited Partners</w:t>
      </w:r>
      <w:r>
        <w:rPr>
          <w:rFonts w:ascii="Arial" w:cs="Arial" w:eastAsia="Arial" w:hAnsi="Arial"/>
          <w:sz w:val="18"/>
          <w:szCs w:val="18"/>
          <w:color w:val="auto"/>
        </w:rPr>
        <w:t>” means the Existing Owners (with respect to the Class B Shares received by them as described in Section 5.2) upon being admitted to the Partnership in accordance with Section 10.1.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Offering</w:t>
      </w:r>
      <w:r>
        <w:rPr>
          <w:rFonts w:ascii="Arial" w:cs="Arial" w:eastAsia="Arial" w:hAnsi="Arial"/>
          <w:sz w:val="18"/>
          <w:szCs w:val="18"/>
          <w:color w:val="auto"/>
        </w:rPr>
        <w:t>” means the initial offering and sale of Class A Shares to the public, as described in the Registration Statement.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Price</w:t>
      </w:r>
      <w:r>
        <w:rPr>
          <w:rFonts w:ascii="Arial" w:cs="Arial" w:eastAsia="Arial" w:hAnsi="Arial"/>
          <w:sz w:val="18"/>
          <w:szCs w:val="18"/>
          <w:color w:val="auto"/>
        </w:rPr>
        <w:t>” means the price at which an Initial Class A Share is purchased from the Partnership net of any sales commission or underwriting discount charged to the Partnership.</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w:t>
      </w:r>
      <w:r>
        <w:rPr>
          <w:rFonts w:ascii="Arial" w:cs="Arial" w:eastAsia="Arial" w:hAnsi="Arial"/>
          <w:sz w:val="18"/>
          <w:szCs w:val="18"/>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 Interest</w:t>
      </w:r>
      <w:r>
        <w:rPr>
          <w:rFonts w:ascii="Arial" w:cs="Arial" w:eastAsia="Arial" w:hAnsi="Arial"/>
          <w:sz w:val="18"/>
          <w:szCs w:val="18"/>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Date</w:t>
      </w:r>
      <w:r>
        <w:rPr>
          <w:rFonts w:ascii="Arial" w:cs="Arial" w:eastAsia="Arial" w:hAnsi="Arial"/>
          <w:sz w:val="18"/>
          <w:szCs w:val="18"/>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Liquidator</w:t>
      </w:r>
      <w:r>
        <w:rPr>
          <w:rFonts w:ascii="Arial" w:cs="Arial" w:eastAsia="Arial" w:hAnsi="Arial"/>
          <w:sz w:val="18"/>
          <w:szCs w:val="18"/>
          <w:color w:val="auto"/>
        </w:rPr>
        <w:t>” means one or more Persons selected by the General Partner to perform the functions described in Section 12.3 as liquidating trustee of the Partnership within the meaning of the Delaware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 and any successors thereto.</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Agreement</w:t>
      </w:r>
      <w:r>
        <w:rPr>
          <w:rFonts w:ascii="Arial" w:cs="Arial" w:eastAsia="Arial" w:hAnsi="Arial"/>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General Partner</w:t>
      </w:r>
      <w:r>
        <w:rPr>
          <w:rFonts w:ascii="Arial" w:cs="Arial" w:eastAsia="Arial" w:hAnsi="Arial"/>
          <w:sz w:val="16"/>
          <w:szCs w:val="16"/>
          <w:color w:val="auto"/>
        </w:rPr>
        <w:t>” means PAA GP LLC, a Delaware limited liability company and the general partner of the MLP, and any successors thereto.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Group</w:t>
      </w:r>
      <w:r>
        <w:rPr>
          <w:rFonts w:ascii="Arial" w:cs="Arial" w:eastAsia="Arial" w:hAnsi="Arial"/>
          <w:sz w:val="18"/>
          <w:szCs w:val="18"/>
          <w:color w:val="auto"/>
        </w:rPr>
        <w:t>” means the MLP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Managing General Partner</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Securities Exchange Act or any successor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Non-citizen Assignee</w:t>
      </w:r>
      <w:r>
        <w:rPr>
          <w:rFonts w:ascii="Arial" w:cs="Arial" w:eastAsia="Arial" w:hAnsi="Arial"/>
          <w:sz w:val="17"/>
          <w:szCs w:val="17"/>
          <w:color w:val="auto"/>
        </w:rPr>
        <w:t xml:space="preserve">” means a Person whom the General Partner has determined in accordance with </w:t>
      </w:r>
      <w:r>
        <w:rPr>
          <w:rFonts w:ascii="Arial" w:cs="Arial" w:eastAsia="Arial" w:hAnsi="Arial"/>
          <w:sz w:val="17"/>
          <w:szCs w:val="17"/>
          <w:u w:val="single" w:color="auto"/>
          <w:color w:val="auto"/>
        </w:rPr>
        <w:t>Section 4.8(a)</w:t>
      </w:r>
      <w:r>
        <w:rPr>
          <w:rFonts w:ascii="Arial" w:cs="Arial" w:eastAsia="Arial" w:hAnsi="Arial"/>
          <w:sz w:val="17"/>
          <w:szCs w:val="17"/>
          <w:color w:val="auto"/>
        </w:rPr>
        <w:t xml:space="preserve"> does not constitute an Eligible Citizen and as to whose Partnership Interest the General Partner has become the Substituted Limited Partner, pursuant to </w:t>
      </w:r>
      <w:r>
        <w:rPr>
          <w:rFonts w:ascii="Arial" w:cs="Arial" w:eastAsia="Arial" w:hAnsi="Arial"/>
          <w:sz w:val="17"/>
          <w:szCs w:val="17"/>
          <w:u w:val="single" w:color="auto"/>
          <w:color w:val="auto"/>
        </w:rPr>
        <w:t>Section 4.9</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Election to Purchase</w:t>
      </w:r>
      <w:r>
        <w:rPr>
          <w:rFonts w:ascii="Arial" w:cs="Arial" w:eastAsia="Arial" w:hAnsi="Arial"/>
          <w:sz w:val="18"/>
          <w:szCs w:val="18"/>
          <w:color w:val="auto"/>
        </w:rPr>
        <w:t>” has the meaning assigned to such term in Section 15.1(b).</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Omnibus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counsel (who may be regular counsel to the Partnership or the General Partner or any of its Affiliates) in a form acceptable to the General Partner.</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Closing Date</w:t>
      </w:r>
      <w:r>
        <w:rPr>
          <w:rFonts w:ascii="Arial" w:cs="Arial" w:eastAsia="Arial" w:hAnsi="Arial"/>
          <w:sz w:val="18"/>
          <w:szCs w:val="18"/>
          <w:color w:val="auto"/>
        </w:rPr>
        <w:t>” means the date or dates on which any Class A Shares are sold by the Partnership to the Underwriters upon exercise of the Over-Allotment Option.</w:t>
      </w:r>
    </w:p>
    <w:p>
      <w:pPr>
        <w:sectPr>
          <w:pgSz w:w="11900" w:h="16929" w:orient="portrait"/>
          <w:cols w:equalWidth="0" w:num="1">
            <w:col w:w="11420"/>
          </w:cols>
          <w:pgMar w:left="240" w:top="125" w:right="239" w:bottom="0" w:gutter="0" w:footer="0" w:header="0"/>
        </w:sectPr>
      </w:pPr>
    </w:p>
    <w:bookmarkStart w:id="132" w:name="page133"/>
    <w:bookmarkEnd w:id="132"/>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Limited Partner</w:t>
      </w:r>
      <w:r>
        <w:rPr>
          <w:rFonts w:ascii="Arial" w:cs="Arial" w:eastAsia="Arial" w:hAnsi="Arial"/>
          <w:sz w:val="18"/>
          <w:szCs w:val="18"/>
          <w:color w:val="auto"/>
        </w:rPr>
        <w:t>” means PAA Management, L.P., in its capacity as the organizational limited partner of the Partnership pursuant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means, with respect to Partnership Interests, all Partnership Interests that are issued by the Partnership and reflected as outstanding on the Partnership’s books and records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as of the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 (i)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General Partner shall have notified such Person or Group in writing that such limitation shall not apply or (iii) any Person or Group who acquired 20% or more of any Partnership Interests with the prior approval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 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means the over-allotment option granted to the Underwriters by the Partnership pursuant to the Underwriting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Group</w:t>
      </w:r>
      <w:r>
        <w:rPr>
          <w:rFonts w:ascii="Arial" w:cs="Arial" w:eastAsia="Arial" w:hAnsi="Arial"/>
          <w:sz w:val="18"/>
          <w:szCs w:val="18"/>
          <w:color w:val="auto"/>
        </w:rPr>
        <w:t>” means the Partnership and its Subsidiaries treated as a single consolidated entity, but excluding the MLP Group.</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Interest</w:t>
      </w:r>
      <w:r>
        <w:rPr>
          <w:rFonts w:ascii="Arial" w:cs="Arial" w:eastAsia="Arial" w:hAnsi="Arial"/>
          <w:sz w:val="18"/>
          <w:szCs w:val="18"/>
          <w:color w:val="auto"/>
        </w:rPr>
        <w:t>” means any class or series of equity interest in the Partnership (but excluding any options to purchase, rights, warrants or appreciation rights or phantom or tracking interests relating to an equity interest in the Partnership), including Class A Shares, Class B Shares and Class C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6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firm,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of Conversion</w:t>
      </w:r>
      <w:r>
        <w:rPr>
          <w:rFonts w:ascii="Arial" w:cs="Arial" w:eastAsia="Arial" w:hAnsi="Arial"/>
          <w:sz w:val="18"/>
          <w:szCs w:val="18"/>
          <w:color w:val="auto"/>
        </w:rPr>
        <w:t>” has the meaning assigned to such term in Section 14.1.</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w:t>
      </w:r>
      <w:r>
        <w:rPr>
          <w:rFonts w:ascii="Arial" w:cs="Arial" w:eastAsia="Arial" w:hAnsi="Arial"/>
          <w:sz w:val="18"/>
          <w:szCs w:val="18"/>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ectPr>
          <w:pgSz w:w="11900" w:h="16838" w:orient="portrait"/>
          <w:cols w:equalWidth="0" w:num="1">
            <w:col w:w="11420"/>
          </w:cols>
          <w:pgMar w:left="240" w:top="341" w:right="239" w:bottom="0" w:gutter="0" w:footer="0" w:header="0"/>
        </w:sectPr>
      </w:pPr>
    </w:p>
    <w:bookmarkStart w:id="133" w:name="page134"/>
    <w:bookmarkEnd w:id="133"/>
    <w:p>
      <w:pPr>
        <w:ind w:right="2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Record Holder</w:t>
      </w:r>
      <w:r>
        <w:rPr>
          <w:rFonts w:ascii="Arial" w:cs="Arial" w:eastAsia="Arial" w:hAnsi="Arial"/>
          <w:sz w:val="16"/>
          <w:szCs w:val="16"/>
          <w:color w:val="auto"/>
        </w:rPr>
        <w:t>” means (a) with respect to Partnership Interests of any class for which a Transfer Agent has been appointed, the Person in whose name a Partnership Interest of such class is registered on the books of the Transfer Agent as of the opening of business on a particular Business Day, or</w:t>
      </w:r>
    </w:p>
    <w:p>
      <w:pPr>
        <w:ind w:right="380" w:firstLine="8"/>
        <w:spacing w:after="0" w:line="261" w:lineRule="auto"/>
        <w:tabs>
          <w:tab w:leader="none" w:pos="2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Redeemable Interests</w:t>
      </w:r>
      <w:r>
        <w:rPr>
          <w:rFonts w:ascii="Arial" w:cs="Arial" w:eastAsia="Arial" w:hAnsi="Arial"/>
          <w:sz w:val="18"/>
          <w:szCs w:val="18"/>
          <w:color w:val="auto"/>
        </w:rPr>
        <w:t>” means any Partnership Interests for which a redemption notice has been given, and has not been withdrawn, pursuant to Section 4.9.</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by the Partnership with the Commission under the Securities Act to register the offering and sale of the Class A Shares in the Initial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 statute.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 supplemented or restated from time to time and any successor to such statute.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Partnership Interest that is designated as a “Share” and shall include Class A Shares and Class B Shares, but shall not include Class C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Majority</w:t>
      </w:r>
      <w:r>
        <w:rPr>
          <w:rFonts w:ascii="Arial" w:cs="Arial" w:eastAsia="Arial" w:hAnsi="Arial"/>
          <w:sz w:val="18"/>
          <w:szCs w:val="18"/>
          <w:color w:val="auto"/>
        </w:rPr>
        <w:t>” means at least a majority of the Outstanding Shares, voting together as a single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 means the holders of Shares. For the avoidance of doubt, Shareholders shall not include Class C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Simplification</w:t>
      </w:r>
      <w:r>
        <w:rPr>
          <w:rFonts w:ascii="Arial" w:cs="Arial" w:eastAsia="Arial" w:hAnsi="Arial"/>
          <w:sz w:val="18"/>
          <w:szCs w:val="18"/>
          <w:color w:val="auto"/>
        </w:rPr>
        <w:t>” means the transactions contemplated by the Simplification Agreement.</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4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Special Approval</w:t>
      </w:r>
      <w:r>
        <w:rPr>
          <w:rFonts w:ascii="Arial" w:cs="Arial" w:eastAsia="Arial" w:hAnsi="Arial"/>
          <w:sz w:val="16"/>
          <w:szCs w:val="16"/>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Limited Partner</w:t>
      </w:r>
      <w:r>
        <w:rPr>
          <w:rFonts w:ascii="Arial" w:cs="Arial" w:eastAsia="Arial" w:hAnsi="Arial"/>
          <w:sz w:val="18"/>
          <w:szCs w:val="18"/>
          <w:color w:val="auto"/>
        </w:rPr>
        <w:t xml:space="preserve">” means the General Partner, in its capacity as the holder of Limited Partner Interests on behalf of a Non-citizen Assignee, in accordance with the provisions of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Business Entity</w:t>
      </w:r>
      <w:r>
        <w:rPr>
          <w:rFonts w:ascii="Arial" w:cs="Arial" w:eastAsia="Arial" w:hAnsi="Arial"/>
          <w:sz w:val="18"/>
          <w:szCs w:val="18"/>
          <w:color w:val="auto"/>
        </w:rPr>
        <w:t>” has the meaning assigned to such term in Section 14.2(b)(ii).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has the meaning assigned to such term in Section 15.1(a)(iii).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assigned to such term in Section 4.4(a).</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purchased Class A Shares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means that certain Underwriting Agreement dated October 15, 2013 among the Underwriters, the Partnership and certain other parties, providing for the purchase of Class A Shares by the Underwriters.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Opinion of Counsel</w:t>
      </w:r>
      <w:r>
        <w:rPr>
          <w:rFonts w:ascii="Arial" w:cs="Arial" w:eastAsia="Arial" w:hAnsi="Arial"/>
          <w:sz w:val="16"/>
          <w:szCs w:val="16"/>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ectPr>
          <w:pgSz w:w="11900" w:h="16838" w:orient="portrait"/>
          <w:cols w:equalWidth="0" w:num="1">
            <w:col w:w="11360"/>
          </w:cols>
          <w:pgMar w:left="240" w:top="125" w:right="299" w:bottom="0" w:gutter="0" w:footer="0" w:header="0"/>
        </w:sectPr>
      </w:pPr>
    </w:p>
    <w:bookmarkStart w:id="134" w:name="page135"/>
    <w:bookmarkEnd w:id="134"/>
    <w:p>
      <w:pPr>
        <w:spacing w:after="0" w:line="13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Construction</w:t>
      </w:r>
      <w:r>
        <w:rPr>
          <w:rFonts w:ascii="Arial" w:cs="Arial" w:eastAsia="Arial" w:hAnsi="Arial"/>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ORGANIZATION</w:t>
      </w:r>
    </w:p>
    <w:p>
      <w:pPr>
        <w:spacing w:after="0" w:line="21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Formation</w:t>
      </w:r>
      <w:r>
        <w:rPr>
          <w:rFonts w:ascii="Arial" w:cs="Arial" w:eastAsia="Arial" w:hAnsi="Arial"/>
          <w:sz w:val="18"/>
          <w:szCs w:val="18"/>
          <w:color w:val="auto"/>
        </w:rPr>
        <w:t>.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Name</w:t>
      </w:r>
      <w:r>
        <w:rPr>
          <w:rFonts w:ascii="Arial" w:cs="Arial" w:eastAsia="Arial" w:hAnsi="Arial"/>
          <w:sz w:val="18"/>
          <w:szCs w:val="18"/>
          <w:color w:val="auto"/>
        </w:rPr>
        <w:t>.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 of the Partnership at any time and from time to time and shall notify the Limited Partners of such change in the next regular communication to the Limited Partners.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Purpose and Business</w:t>
      </w:r>
      <w:r>
        <w:rPr>
          <w:rFonts w:ascii="Arial" w:cs="Arial" w:eastAsia="Arial" w:hAnsi="Arial"/>
          <w:sz w:val="16"/>
          <w:szCs w:val="16"/>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Powers</w:t>
      </w:r>
      <w:r>
        <w:rPr>
          <w:rFonts w:ascii="Arial" w:cs="Arial" w:eastAsia="Arial" w:hAnsi="Arial"/>
          <w:sz w:val="18"/>
          <w:szCs w:val="18"/>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81"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Term</w:t>
      </w:r>
      <w:r>
        <w:rPr>
          <w:rFonts w:ascii="Arial" w:cs="Arial" w:eastAsia="Arial" w:hAnsi="Arial"/>
          <w:sz w:val="16"/>
          <w:szCs w:val="16"/>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i w:val="1"/>
          <w:iCs w:val="1"/>
          <w:color w:val="auto"/>
        </w:rPr>
        <w:t>Title to Partnership Assets</w:t>
      </w:r>
      <w:r>
        <w:rPr>
          <w:rFonts w:ascii="Arial" w:cs="Arial" w:eastAsia="Arial" w:hAnsi="Arial"/>
          <w:sz w:val="16"/>
          <w:szCs w:val="16"/>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OF LIMITED PARTNERS</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Limitation of Liability</w:t>
      </w:r>
      <w:r>
        <w:rPr>
          <w:rFonts w:ascii="Arial" w:cs="Arial" w:eastAsia="Arial" w:hAnsi="Arial"/>
          <w:sz w:val="18"/>
          <w:szCs w:val="18"/>
          <w:color w:val="auto"/>
        </w:rPr>
        <w:t>. The Limited Partners shall have no liability under this Agreement except as expressly provided in this Agreement or required under the Delaware Act.</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Management of Business</w:t>
      </w:r>
      <w:r>
        <w:rPr>
          <w:rFonts w:ascii="Arial" w:cs="Arial" w:eastAsia="Arial" w:hAnsi="Arial"/>
          <w:sz w:val="16"/>
          <w:szCs w:val="16"/>
          <w:color w:val="auto"/>
        </w:rPr>
        <w:t>. No Limited Partner, in its capacity as such, shall participate in the operation, management or control (within the meaning of the Delaware Act) of the Partnership’s business, transact any business in the Partnership’s name or have the power to sign documents</w:t>
      </w:r>
    </w:p>
    <w:p>
      <w:pPr>
        <w:sectPr>
          <w:pgSz w:w="11900" w:h="16975" w:orient="portrait"/>
          <w:cols w:equalWidth="0" w:num="1">
            <w:col w:w="11420"/>
          </w:cols>
          <w:pgMar w:left="240" w:top="125" w:right="239" w:bottom="0" w:gutter="0" w:footer="0" w:header="0"/>
        </w:sectPr>
      </w:pPr>
    </w:p>
    <w:bookmarkStart w:id="135" w:name="page136"/>
    <w:bookmarkEnd w:id="135"/>
    <w:p>
      <w:pPr>
        <w:spacing w:after="0" w:line="257" w:lineRule="auto"/>
        <w:rPr>
          <w:sz w:val="20"/>
          <w:szCs w:val="20"/>
          <w:color w:val="auto"/>
        </w:rPr>
      </w:pPr>
      <w:r>
        <w:rPr>
          <w:rFonts w:ascii="Arial" w:cs="Arial" w:eastAsia="Arial" w:hAnsi="Arial"/>
          <w:sz w:val="18"/>
          <w:szCs w:val="18"/>
          <w:color w:val="auto"/>
        </w:rPr>
        <w:t>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Outside Activities of the Limited Partners</w:t>
      </w:r>
      <w:r>
        <w:rPr>
          <w:rFonts w:ascii="Arial" w:cs="Arial" w:eastAsia="Arial" w:hAnsi="Arial"/>
          <w:sz w:val="18"/>
          <w:szCs w:val="18"/>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i w:val="1"/>
          <w:iCs w:val="1"/>
          <w:color w:val="auto"/>
        </w:rPr>
        <w:t>Rights of Limited Partners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64" w:lineRule="auto"/>
        <w:tabs>
          <w:tab w:leader="none" w:pos="129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81" w:lineRule="exact"/>
        <w:rPr>
          <w:rFonts w:ascii="Arial" w:cs="Arial" w:eastAsia="Arial" w:hAnsi="Arial"/>
          <w:sz w:val="18"/>
          <w:szCs w:val="18"/>
          <w:color w:val="auto"/>
        </w:rPr>
      </w:pPr>
    </w:p>
    <w:p>
      <w:pPr>
        <w:ind w:left="660" w:right="40" w:firstLine="645"/>
        <w:spacing w:after="0" w:line="312" w:lineRule="auto"/>
        <w:tabs>
          <w:tab w:leader="none" w:pos="1978"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obtain a current list of the name and last known business, residence or mailing address of each Partner;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obtain a copy of this Agreement and the Certificate of Limited Partnership and all amendments thereto.</w:t>
      </w:r>
    </w:p>
    <w:p>
      <w:pPr>
        <w:spacing w:after="0" w:line="225" w:lineRule="exact"/>
        <w:rPr>
          <w:rFonts w:ascii="Arial" w:cs="Arial" w:eastAsia="Arial" w:hAnsi="Arial"/>
          <w:sz w:val="18"/>
          <w:szCs w:val="18"/>
          <w:color w:val="auto"/>
        </w:rPr>
      </w:pPr>
    </w:p>
    <w:p>
      <w:pPr>
        <w:jc w:val="both"/>
        <w:ind w:right="20" w:firstLine="656"/>
        <w:spacing w:after="0" w:line="259" w:lineRule="auto"/>
        <w:tabs>
          <w:tab w:leader="none" w:pos="130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General Partner may keep confidential from the Limited Partners, for such</w:t>
      </w:r>
    </w:p>
    <w:p>
      <w:pPr>
        <w:spacing w:after="0" w:line="35"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period of time as the General Partner determines, (i) any information that the General Partner reasonably believes to be in the nature of trade secrets or (ii) other information the disclosure of which the General Partner believes (A) is not in the best interests of the Partnership Group or the MLP Group,</w:t>
      </w:r>
    </w:p>
    <w:p>
      <w:pPr>
        <w:spacing w:after="0" w:line="1" w:lineRule="exact"/>
        <w:rPr>
          <w:sz w:val="20"/>
          <w:szCs w:val="20"/>
          <w:color w:val="auto"/>
        </w:rPr>
      </w:pPr>
    </w:p>
    <w:p>
      <w:pPr>
        <w:ind w:right="80" w:firstLine="8"/>
        <w:spacing w:after="0" w:line="261" w:lineRule="auto"/>
        <w:tabs>
          <w:tab w:leader="none" w:pos="28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could damage the Partnership Group or the MLP Group or either of their consolidated businesses or (C) that any Group Member is required by law or by agreement with any third party to keep confidential.</w:t>
      </w:r>
    </w:p>
    <w:p>
      <w:pPr>
        <w:spacing w:after="0" w:line="183" w:lineRule="exact"/>
        <w:rPr>
          <w:rFonts w:ascii="Arial" w:cs="Arial" w:eastAsia="Arial" w:hAnsi="Arial"/>
          <w:sz w:val="18"/>
          <w:szCs w:val="18"/>
          <w:color w:val="auto"/>
        </w:rPr>
      </w:pPr>
    </w:p>
    <w:p>
      <w:pPr>
        <w:ind w:right="20" w:firstLine="656"/>
        <w:spacing w:after="0" w:line="257" w:lineRule="auto"/>
        <w:tabs>
          <w:tab w:leader="none" w:pos="130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CERTIFICATES; RECORD HOLDERS; TRANSFER OF PARTNERSHIP INTERESTS; REDEMPTION OF PARTNERSHIP INTERESTS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Certificates</w:t>
      </w:r>
      <w:r>
        <w:rPr>
          <w:rFonts w:ascii="Arial" w:cs="Arial" w:eastAsia="Arial" w:hAnsi="Arial"/>
          <w:sz w:val="18"/>
          <w:szCs w:val="18"/>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Mutilated, Destroyed, Lost or Stolen Certificates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312" w:lineRule="auto"/>
        <w:tabs>
          <w:tab w:leader="none" w:pos="129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46" w:lineRule="exact"/>
        <w:rPr>
          <w:rFonts w:ascii="Arial" w:cs="Arial" w:eastAsia="Arial" w:hAnsi="Arial"/>
          <w:sz w:val="16"/>
          <w:szCs w:val="16"/>
          <w:color w:val="auto"/>
        </w:rPr>
      </w:pPr>
    </w:p>
    <w:p>
      <w:pPr>
        <w:ind w:right="60" w:firstLine="656"/>
        <w:spacing w:after="0" w:line="264" w:lineRule="auto"/>
        <w:tabs>
          <w:tab w:leader="none" w:pos="130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appropriate officers of the General Partner on behalf of the Partnership shall execute and deliver, and the Transfer Agent shall countersign a new Certificate, or shall deliver other evidence of the issuance of uncertificated Shares or other Partnership Interests, in place of any Certificate previously issued if the Record Holder of the Certificate:</w:t>
      </w:r>
    </w:p>
    <w:p>
      <w:pPr>
        <w:spacing w:after="0" w:line="181" w:lineRule="exact"/>
        <w:rPr>
          <w:rFonts w:ascii="Arial" w:cs="Arial" w:eastAsia="Arial" w:hAnsi="Arial"/>
          <w:sz w:val="18"/>
          <w:szCs w:val="18"/>
          <w:color w:val="auto"/>
        </w:rPr>
      </w:pPr>
    </w:p>
    <w:p>
      <w:pPr>
        <w:ind w:left="660" w:right="220" w:firstLine="645"/>
        <w:spacing w:after="0" w:line="277" w:lineRule="auto"/>
        <w:tabs>
          <w:tab w:leader="none" w:pos="197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General Partner, that a previously issued Certificate has been lost, destroyed or stolen;</w:t>
      </w:r>
    </w:p>
    <w:p>
      <w:pPr>
        <w:sectPr>
          <w:pgSz w:w="11900" w:h="16838" w:orient="portrait"/>
          <w:cols w:equalWidth="0" w:num="1">
            <w:col w:w="11400"/>
          </w:cols>
          <w:pgMar w:left="240" w:top="125" w:right="259" w:bottom="0" w:gutter="0" w:footer="0" w:header="0"/>
        </w:sectPr>
      </w:pPr>
    </w:p>
    <w:bookmarkStart w:id="136" w:name="page137"/>
    <w:bookmarkEnd w:id="136"/>
    <w:p>
      <w:pPr>
        <w:spacing w:after="0" w:line="137" w:lineRule="exact"/>
        <w:rPr>
          <w:sz w:val="20"/>
          <w:szCs w:val="20"/>
          <w:color w:val="auto"/>
        </w:rPr>
      </w:pPr>
    </w:p>
    <w:p>
      <w:pPr>
        <w:ind w:left="660" w:right="40" w:firstLine="645"/>
        <w:spacing w:after="0" w:line="264" w:lineRule="auto"/>
        <w:tabs>
          <w:tab w:leader="none" w:pos="198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81" w:lineRule="exact"/>
        <w:rPr>
          <w:rFonts w:ascii="Arial" w:cs="Arial" w:eastAsia="Arial" w:hAnsi="Arial"/>
          <w:sz w:val="18"/>
          <w:szCs w:val="18"/>
          <w:color w:val="auto"/>
        </w:rPr>
      </w:pPr>
    </w:p>
    <w:p>
      <w:pPr>
        <w:jc w:val="both"/>
        <w:ind w:left="660" w:right="20" w:firstLine="645"/>
        <w:spacing w:after="0" w:line="312" w:lineRule="auto"/>
        <w:tabs>
          <w:tab w:leader="none" w:pos="199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General Partner.</w:t>
      </w:r>
    </w:p>
    <w:p>
      <w:pPr>
        <w:spacing w:after="0" w:line="225" w:lineRule="exact"/>
        <w:rPr>
          <w:sz w:val="20"/>
          <w:szCs w:val="20"/>
          <w:color w:val="auto"/>
        </w:rPr>
      </w:pPr>
    </w:p>
    <w:p>
      <w:pPr>
        <w:ind w:right="80" w:firstLine="656"/>
        <w:spacing w:after="0" w:line="277" w:lineRule="auto"/>
        <w:tabs>
          <w:tab w:leader="none" w:pos="130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a Limited Partner fails to notify the General Partner within a reasonable period of time after he has notice of the loss, destruction or theft of a Certificate, and a transfer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81" w:lineRule="exact"/>
        <w:rPr>
          <w:sz w:val="20"/>
          <w:szCs w:val="20"/>
          <w:color w:val="auto"/>
        </w:rPr>
      </w:pPr>
    </w:p>
    <w:p>
      <w:pPr>
        <w:ind w:right="160" w:firstLine="656"/>
        <w:spacing w:after="0" w:line="286" w:lineRule="auto"/>
        <w:tabs>
          <w:tab w:leader="none" w:pos="130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Transfer Generally</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0" w:lineRule="auto"/>
        <w:tabs>
          <w:tab w:leader="none" w:pos="129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Article IV. Any transfer or purported transfer of a Partnership Interest not made in accordance with this Article IV shall be, to the fullest extent permitted by law, null and void.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56"/>
        <w:spacing w:after="0" w:line="264" w:lineRule="auto"/>
        <w:tabs>
          <w:tab w:leader="none" w:pos="130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Registration and Transfer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90" w:lineRule="auto"/>
        <w:tabs>
          <w:tab w:leader="none" w:pos="129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66" w:lineRule="exact"/>
        <w:rPr>
          <w:rFonts w:ascii="Arial" w:cs="Arial" w:eastAsia="Arial" w:hAnsi="Arial"/>
          <w:sz w:val="16"/>
          <w:szCs w:val="16"/>
          <w:color w:val="auto"/>
        </w:rPr>
      </w:pPr>
    </w:p>
    <w:p>
      <w:pPr>
        <w:ind w:right="240" w:firstLine="656"/>
        <w:spacing w:after="0" w:line="257" w:lineRule="auto"/>
        <w:tabs>
          <w:tab w:leader="none" w:pos="130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Arial" w:cs="Arial" w:eastAsia="Arial" w:hAnsi="Arial"/>
          <w:sz w:val="18"/>
          <w:szCs w:val="18"/>
          <w:i w:val="1"/>
          <w:iCs w:val="1"/>
          <w:color w:val="auto"/>
        </w:rPr>
        <w:t>provided</w:t>
      </w:r>
      <w:r>
        <w:rPr>
          <w:rFonts w:ascii="Arial" w:cs="Arial" w:eastAsia="Arial" w:hAnsi="Arial"/>
          <w:sz w:val="18"/>
          <w:szCs w:val="18"/>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8" w:lineRule="exact"/>
        <w:rPr>
          <w:rFonts w:ascii="Arial" w:cs="Arial" w:eastAsia="Arial" w:hAnsi="Arial"/>
          <w:sz w:val="18"/>
          <w:szCs w:val="18"/>
          <w:color w:val="auto"/>
        </w:rPr>
      </w:pPr>
    </w:p>
    <w:p>
      <w:pPr>
        <w:ind w:right="300" w:firstLine="656"/>
        <w:spacing w:after="0" w:line="342" w:lineRule="auto"/>
        <w:tabs>
          <w:tab w:leader="none" w:pos="130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By acceptance of the transfer of any Limited Partner Interests in accordance with this Section 4.5 and except as provided in Section 4.8, each transferee of a Limited Partner Interest (including any nominee holder or an agent or representative acquiring such Limited Partner Interests for the</w:t>
      </w:r>
    </w:p>
    <w:p>
      <w:pPr>
        <w:sectPr>
          <w:pgSz w:w="11900" w:h="16975" w:orient="portrait"/>
          <w:cols w:equalWidth="0" w:num="1">
            <w:col w:w="11400"/>
          </w:cols>
          <w:pgMar w:left="240" w:top="125" w:right="259" w:bottom="0" w:gutter="0" w:footer="0" w:header="0"/>
        </w:sectPr>
      </w:pPr>
    </w:p>
    <w:bookmarkStart w:id="137" w:name="page138"/>
    <w:bookmarkEnd w:id="137"/>
    <w:p>
      <w:pPr>
        <w:ind w:right="380"/>
        <w:spacing w:after="0" w:line="291" w:lineRule="auto"/>
        <w:rPr>
          <w:sz w:val="20"/>
          <w:szCs w:val="20"/>
          <w:color w:val="auto"/>
        </w:rPr>
      </w:pPr>
      <w:r>
        <w:rPr>
          <w:rFonts w:ascii="Arial" w:cs="Arial" w:eastAsia="Arial" w:hAnsi="Arial"/>
          <w:sz w:val="16"/>
          <w:szCs w:val="16"/>
          <w:color w:val="auto"/>
        </w:rPr>
        <w:t>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w:t>
      </w:r>
    </w:p>
    <w:p>
      <w:pPr>
        <w:ind w:right="20" w:firstLine="8"/>
        <w:spacing w:after="0" w:line="254" w:lineRule="auto"/>
        <w:tabs>
          <w:tab w:leader="none" w:pos="26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89" w:lineRule="exact"/>
        <w:rPr>
          <w:rFonts w:ascii="Arial" w:cs="Arial" w:eastAsia="Arial" w:hAnsi="Arial"/>
          <w:sz w:val="18"/>
          <w:szCs w:val="18"/>
          <w:color w:val="auto"/>
        </w:rPr>
      </w:pPr>
    </w:p>
    <w:p>
      <w:pPr>
        <w:ind w:right="100" w:firstLine="656"/>
        <w:spacing w:after="0" w:line="312" w:lineRule="auto"/>
        <w:tabs>
          <w:tab w:leader="none" w:pos="1304" w:val="left"/>
        </w:tabs>
        <w:numPr>
          <w:ilvl w:val="1"/>
          <w:numId w:val="319"/>
        </w:numPr>
        <w:rPr>
          <w:rFonts w:ascii="Arial" w:cs="Arial" w:eastAsia="Arial" w:hAnsi="Arial"/>
          <w:sz w:val="16"/>
          <w:szCs w:val="16"/>
          <w:color w:val="auto"/>
        </w:rPr>
      </w:pPr>
      <w:r>
        <w:rPr>
          <w:rFonts w:ascii="Arial" w:cs="Arial" w:eastAsia="Arial" w:hAnsi="Arial"/>
          <w:sz w:val="16"/>
          <w:szCs w:val="16"/>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5" w:lineRule="auto"/>
        <w:tabs>
          <w:tab w:leader="none" w:pos="130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Except for transfers that are necessary in order to give effect to an AAP Exchange, a Limited Partner shall be prohibited from transferring any of its Class B Shares (a “</w:t>
      </w:r>
      <w:r>
        <w:rPr>
          <w:rFonts w:ascii="Arial" w:cs="Arial" w:eastAsia="Arial" w:hAnsi="Arial"/>
          <w:sz w:val="18"/>
          <w:szCs w:val="18"/>
          <w:b w:val="1"/>
          <w:bCs w:val="1"/>
          <w:i w:val="1"/>
          <w:iCs w:val="1"/>
          <w:color w:val="auto"/>
        </w:rPr>
        <w:t>Class B Transfer</w:t>
      </w:r>
      <w:r>
        <w:rPr>
          <w:rFonts w:ascii="Arial" w:cs="Arial" w:eastAsia="Arial" w:hAnsi="Arial"/>
          <w:sz w:val="18"/>
          <w:szCs w:val="18"/>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Except for transfers that are approved in writing by the General Partner, a Limited Partner shall be prohibited from transferring any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C Shares.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i w:val="1"/>
          <w:iCs w:val="1"/>
          <w:color w:val="auto"/>
        </w:rPr>
        <w:t>Transfer of the General Partner Interest</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Section 4.6(b) below, the General Partner shall be free to transfer all or any part of its General Partner Interest to another Person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any time.</w:t>
      </w:r>
    </w:p>
    <w:p>
      <w:pPr>
        <w:spacing w:after="0" w:line="210" w:lineRule="exact"/>
        <w:rPr>
          <w:rFonts w:ascii="Arial" w:cs="Arial" w:eastAsia="Arial" w:hAnsi="Arial"/>
          <w:sz w:val="16"/>
          <w:szCs w:val="16"/>
          <w:color w:val="auto"/>
        </w:rPr>
      </w:pPr>
    </w:p>
    <w:p>
      <w:pPr>
        <w:ind w:firstLine="656"/>
        <w:spacing w:after="0" w:line="271" w:lineRule="auto"/>
        <w:tabs>
          <w:tab w:leader="none" w:pos="130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i w:val="1"/>
          <w:iCs w:val="1"/>
          <w:color w:val="auto"/>
        </w:rPr>
        <w:t>Restrictions on Transfers</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Notwithstanding the other provisions of this Article IV, no transfer of any Partnership Interests shall be made if such transfer would</w:t>
      </w:r>
    </w:p>
    <w:p>
      <w:pPr>
        <w:spacing w:after="0" w:line="34" w:lineRule="exact"/>
        <w:rPr>
          <w:rFonts w:ascii="Arial" w:cs="Arial" w:eastAsia="Arial" w:hAnsi="Arial"/>
          <w:sz w:val="17"/>
          <w:szCs w:val="17"/>
          <w:color w:val="auto"/>
        </w:rPr>
      </w:pPr>
    </w:p>
    <w:p>
      <w:pPr>
        <w:ind w:right="100" w:firstLine="8"/>
        <w:spacing w:after="0" w:line="255" w:lineRule="auto"/>
        <w:tabs>
          <w:tab w:leader="none" w:pos="2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90" w:lineRule="exact"/>
        <w:rPr>
          <w:rFonts w:ascii="Arial" w:cs="Arial" w:eastAsia="Arial" w:hAnsi="Arial"/>
          <w:sz w:val="18"/>
          <w:szCs w:val="18"/>
          <w:color w:val="auto"/>
        </w:rPr>
      </w:pPr>
    </w:p>
    <w:p>
      <w:pPr>
        <w:ind w:right="40" w:firstLine="656"/>
        <w:spacing w:after="0" w:line="342" w:lineRule="auto"/>
        <w:tabs>
          <w:tab w:leader="none" w:pos="1304" w:val="left"/>
        </w:tabs>
        <w:numPr>
          <w:ilvl w:val="1"/>
          <w:numId w:val="323"/>
        </w:numPr>
        <w:rPr>
          <w:rFonts w:ascii="Arial" w:cs="Arial" w:eastAsia="Arial" w:hAnsi="Arial"/>
          <w:sz w:val="16"/>
          <w:szCs w:val="16"/>
          <w:color w:val="auto"/>
        </w:rPr>
      </w:pPr>
      <w:r>
        <w:rPr>
          <w:rFonts w:ascii="Arial" w:cs="Arial" w:eastAsia="Arial" w:hAnsi="Arial"/>
          <w:sz w:val="16"/>
          <w:szCs w:val="16"/>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7"/>
          <w:szCs w:val="17"/>
          <w:i w:val="1"/>
          <w:iCs w:val="1"/>
          <w:color w:val="auto"/>
        </w:rPr>
        <w:t>Eligibility Certificates; Ineligible Holders</w:t>
      </w:r>
      <w:r>
        <w:rPr>
          <w:rFonts w:ascii="Arial" w:cs="Arial" w:eastAsia="Arial" w:hAnsi="Arial"/>
          <w:sz w:val="17"/>
          <w:szCs w:val="17"/>
          <w:color w:val="auto"/>
        </w:rPr>
        <w:t>.</w:t>
      </w:r>
    </w:p>
    <w:p>
      <w:pPr>
        <w:spacing w:after="0" w:line="225" w:lineRule="exact"/>
        <w:rPr>
          <w:sz w:val="20"/>
          <w:szCs w:val="20"/>
          <w:color w:val="auto"/>
        </w:rPr>
      </w:pPr>
    </w:p>
    <w:p>
      <w:pPr>
        <w:ind w:right="40" w:firstLine="656"/>
        <w:spacing w:after="0" w:line="269" w:lineRule="auto"/>
        <w:tabs>
          <w:tab w:leader="none" w:pos="129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Arial" w:cs="Arial" w:eastAsia="Arial" w:hAnsi="Arial"/>
          <w:sz w:val="17"/>
          <w:szCs w:val="17"/>
          <w:b w:val="1"/>
          <w:bCs w:val="1"/>
          <w:i w:val="1"/>
          <w:iCs w:val="1"/>
          <w:color w:val="auto"/>
        </w:rPr>
        <w:t>Ineligible Holder</w:t>
      </w:r>
      <w:r>
        <w:rPr>
          <w:rFonts w:ascii="Arial" w:cs="Arial" w:eastAsia="Arial" w:hAnsi="Arial"/>
          <w:sz w:val="17"/>
          <w:szCs w:val="17"/>
          <w:color w:val="auto"/>
        </w:rPr>
        <w:t>”), the Partnership Interests owned by such Ineligible Holder shall be subject to redemption in accordance with the provisions of 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79" w:lineRule="exact"/>
        <w:rPr>
          <w:rFonts w:ascii="Arial" w:cs="Arial" w:eastAsia="Arial" w:hAnsi="Arial"/>
          <w:sz w:val="17"/>
          <w:szCs w:val="17"/>
          <w:color w:val="auto"/>
        </w:rPr>
      </w:pPr>
    </w:p>
    <w:p>
      <w:pPr>
        <w:jc w:val="both"/>
        <w:ind w:right="160" w:firstLine="656"/>
        <w:spacing w:after="0" w:line="264" w:lineRule="auto"/>
        <w:tabs>
          <w:tab w:leader="none" w:pos="130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right="20" w:firstLine="656"/>
        <w:spacing w:after="0" w:line="342" w:lineRule="auto"/>
        <w:tabs>
          <w:tab w:leader="none" w:pos="130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w:t>
      </w:r>
    </w:p>
    <w:p>
      <w:pPr>
        <w:sectPr>
          <w:pgSz w:w="11900" w:h="16838" w:orient="portrait"/>
          <w:cols w:equalWidth="0" w:num="1">
            <w:col w:w="11420"/>
          </w:cols>
          <w:pgMar w:left="240" w:top="125" w:right="239" w:bottom="0" w:gutter="0" w:footer="0" w:header="0"/>
        </w:sectPr>
      </w:pPr>
    </w:p>
    <w:bookmarkStart w:id="138" w:name="page139"/>
    <w:bookmarkEnd w:id="138"/>
    <w:p>
      <w:pPr>
        <w:ind w:right="560"/>
        <w:spacing w:after="0" w:line="277" w:lineRule="auto"/>
        <w:rPr>
          <w:sz w:val="20"/>
          <w:szCs w:val="20"/>
          <w:color w:val="auto"/>
        </w:rPr>
      </w:pPr>
      <w:r>
        <w:rPr>
          <w:rFonts w:ascii="Arial" w:cs="Arial" w:eastAsia="Arial" w:hAnsi="Arial"/>
          <w:sz w:val="18"/>
          <w:szCs w:val="18"/>
          <w:color w:val="auto"/>
        </w:rPr>
        <w:t>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0" w:lineRule="exact"/>
        <w:rPr>
          <w:sz w:val="20"/>
          <w:szCs w:val="20"/>
          <w:color w:val="auto"/>
        </w:rPr>
      </w:pPr>
    </w:p>
    <w:p>
      <w:pPr>
        <w:ind w:right="180" w:firstLine="656"/>
        <w:spacing w:after="0" w:line="302" w:lineRule="auto"/>
        <w:tabs>
          <w:tab w:leader="none" w:pos="130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and upon such Non-citizen Assignee’s admission pursuant to Section 12.4, the General Partner shall cease to be deemed to be the Limited Partner in respect of the Non-citizen Assignee’s Limited Partner Interests.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Redemption of Partnership Interests of Ineligible Holders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77" w:lineRule="auto"/>
        <w:tabs>
          <w:tab w:leader="none" w:pos="129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54" w:lineRule="exact"/>
        <w:rPr>
          <w:sz w:val="20"/>
          <w:szCs w:val="20"/>
          <w:color w:val="auto"/>
        </w:rPr>
      </w:pPr>
    </w:p>
    <w:p>
      <w:pPr>
        <w:ind w:left="660" w:right="60" w:firstLine="645"/>
        <w:spacing w:after="0" w:line="255" w:lineRule="auto"/>
        <w:tabs>
          <w:tab w:leader="none" w:pos="1978"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89" w:lineRule="exact"/>
        <w:rPr>
          <w:rFonts w:ascii="Arial" w:cs="Arial" w:eastAsia="Arial" w:hAnsi="Arial"/>
          <w:sz w:val="18"/>
          <w:szCs w:val="18"/>
          <w:color w:val="auto"/>
        </w:rPr>
      </w:pPr>
    </w:p>
    <w:p>
      <w:pPr>
        <w:ind w:left="660" w:firstLine="645"/>
        <w:spacing w:after="0" w:line="255" w:lineRule="auto"/>
        <w:tabs>
          <w:tab w:leader="none" w:pos="198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93" w:lineRule="exact"/>
        <w:rPr>
          <w:rFonts w:ascii="Arial" w:cs="Arial" w:eastAsia="Arial" w:hAnsi="Arial"/>
          <w:sz w:val="18"/>
          <w:szCs w:val="18"/>
          <w:color w:val="auto"/>
        </w:rPr>
      </w:pPr>
    </w:p>
    <w:p>
      <w:pPr>
        <w:ind w:left="660" w:right="80" w:firstLine="645"/>
        <w:spacing w:after="0" w:line="259" w:lineRule="auto"/>
        <w:tabs>
          <w:tab w:leader="none" w:pos="199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 Interests.</w:t>
      </w:r>
    </w:p>
    <w:p>
      <w:pPr>
        <w:spacing w:after="0" w:line="236" w:lineRule="exact"/>
        <w:rPr>
          <w:rFonts w:ascii="Arial" w:cs="Arial" w:eastAsia="Arial" w:hAnsi="Arial"/>
          <w:sz w:val="17"/>
          <w:szCs w:val="17"/>
          <w:color w:val="auto"/>
        </w:rPr>
      </w:pPr>
    </w:p>
    <w:p>
      <w:pPr>
        <w:ind w:right="60" w:firstLine="656"/>
        <w:spacing w:after="0" w:line="277" w:lineRule="auto"/>
        <w:tabs>
          <w:tab w:leader="none" w:pos="130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provisions of this Section 4.9 shall also be applicable to Limited Partner Interests held by a Limited Partner or Citizenship Assignee as nominee of a Person determined to be other than an Eligible Citizen.</w:t>
      </w:r>
    </w:p>
    <w:p>
      <w:pPr>
        <w:spacing w:after="0" w:line="170" w:lineRule="exact"/>
        <w:rPr>
          <w:rFonts w:ascii="Arial" w:cs="Arial" w:eastAsia="Arial" w:hAnsi="Arial"/>
          <w:sz w:val="18"/>
          <w:szCs w:val="18"/>
          <w:color w:val="auto"/>
        </w:rPr>
      </w:pPr>
    </w:p>
    <w:p>
      <w:pPr>
        <w:ind w:right="280" w:firstLine="656"/>
        <w:spacing w:after="0" w:line="308" w:lineRule="auto"/>
        <w:tabs>
          <w:tab w:leader="none" w:pos="130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CONTRIBUTIONS AND ISSUANCE OF PARTNERSHIP INTERESTS</w:t>
      </w:r>
    </w:p>
    <w:p>
      <w:pPr>
        <w:spacing w:after="0" w:line="21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Organizational Issuances</w:t>
      </w:r>
      <w:r>
        <w:rPr>
          <w:rFonts w:ascii="Arial" w:cs="Arial" w:eastAsia="Arial" w:hAnsi="Arial"/>
          <w:sz w:val="17"/>
          <w:szCs w:val="17"/>
          <w:color w:val="auto"/>
        </w:rPr>
        <w:t>.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Contributions by Limited Partners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7" w:lineRule="auto"/>
        <w:tabs>
          <w:tab w:leader="none" w:pos="129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On the Closing Date, the General Partner and the Existing Owners made the contributions contemplated by the Contribution Agreement in exchange for the interests provided for therein, including the Class B Shares.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At the closing of the Simplification, the Class C Shares were issued to the MLP in accordance with the Simplification Agreement.</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5.3</w:t>
      </w:r>
      <w:r>
        <w:rPr>
          <w:rFonts w:ascii="Arial" w:cs="Arial" w:eastAsia="Arial" w:hAnsi="Arial"/>
          <w:sz w:val="16"/>
          <w:szCs w:val="16"/>
          <w:i w:val="1"/>
          <w:iCs w:val="1"/>
          <w:color w:val="auto"/>
        </w:rPr>
        <w:t>Contributions by the Underwriters.</w:t>
      </w:r>
    </w:p>
    <w:p>
      <w:pPr>
        <w:sectPr>
          <w:pgSz w:w="11900" w:h="16838" w:orient="portrait"/>
          <w:cols w:equalWidth="0" w:num="1">
            <w:col w:w="11380"/>
          </w:cols>
          <w:pgMar w:left="240" w:top="125" w:right="279" w:bottom="0" w:gutter="0" w:footer="0" w:header="0"/>
        </w:sectPr>
      </w:pPr>
    </w:p>
    <w:bookmarkStart w:id="139" w:name="page140"/>
    <w:bookmarkEnd w:id="139"/>
    <w:p>
      <w:pPr>
        <w:spacing w:after="0" w:line="106" w:lineRule="exact"/>
        <w:rPr>
          <w:sz w:val="20"/>
          <w:szCs w:val="20"/>
          <w:color w:val="auto"/>
        </w:rPr>
      </w:pPr>
    </w:p>
    <w:p>
      <w:pPr>
        <w:ind w:firstLine="656"/>
        <w:spacing w:after="0" w:line="273" w:lineRule="auto"/>
        <w:tabs>
          <w:tab w:leader="none" w:pos="129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78" w:lineRule="exact"/>
        <w:rPr>
          <w:rFonts w:ascii="Arial" w:cs="Arial" w:eastAsia="Arial" w:hAnsi="Arial"/>
          <w:sz w:val="17"/>
          <w:szCs w:val="17"/>
          <w:color w:val="auto"/>
        </w:rPr>
      </w:pPr>
    </w:p>
    <w:p>
      <w:pPr>
        <w:ind w:right="20" w:firstLine="656"/>
        <w:spacing w:after="0" w:line="273" w:lineRule="auto"/>
        <w:tabs>
          <w:tab w:leader="none" w:pos="130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Interest and Withdrawal</w:t>
      </w:r>
      <w:r>
        <w:rPr>
          <w:rFonts w:ascii="Arial" w:cs="Arial" w:eastAsia="Arial" w:hAnsi="Arial"/>
          <w:sz w:val="16"/>
          <w:szCs w:val="16"/>
          <w:color w:val="auto"/>
        </w:rPr>
        <w:t>. No interest on Capital Contributions shall be paid by the Partnership. No Partner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i w:val="1"/>
          <w:iCs w:val="1"/>
          <w:color w:val="auto"/>
        </w:rPr>
        <w:t>Issuances of Additional Partnership Interests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312" w:lineRule="auto"/>
        <w:tabs>
          <w:tab w:leader="none" w:pos="129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46" w:lineRule="exact"/>
        <w:rPr>
          <w:rFonts w:ascii="Arial" w:cs="Arial" w:eastAsia="Arial" w:hAnsi="Arial"/>
          <w:sz w:val="16"/>
          <w:szCs w:val="16"/>
          <w:color w:val="auto"/>
        </w:rPr>
      </w:pPr>
    </w:p>
    <w:p>
      <w:pPr>
        <w:ind w:right="40" w:firstLine="656"/>
        <w:spacing w:after="0" w:line="289" w:lineRule="auto"/>
        <w:tabs>
          <w:tab w:leader="none" w:pos="130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66" w:lineRule="exact"/>
        <w:rPr>
          <w:rFonts w:ascii="Arial" w:cs="Arial" w:eastAsia="Arial" w:hAnsi="Arial"/>
          <w:sz w:val="16"/>
          <w:szCs w:val="16"/>
          <w:color w:val="auto"/>
        </w:rPr>
      </w:pPr>
    </w:p>
    <w:p>
      <w:pPr>
        <w:ind w:right="20" w:firstLine="656"/>
        <w:spacing w:after="0" w:line="290" w:lineRule="auto"/>
        <w:tabs>
          <w:tab w:leader="none" w:pos="130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 fractional Shares or fractional Partnership Interests shall be issued by the Partnership.</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5.6</w:t>
      </w:r>
      <w:r>
        <w:rPr>
          <w:rFonts w:ascii="Arial" w:cs="Arial" w:eastAsia="Arial" w:hAnsi="Arial"/>
          <w:sz w:val="15"/>
          <w:szCs w:val="15"/>
          <w:i w:val="1"/>
          <w:iCs w:val="1"/>
          <w:color w:val="auto"/>
        </w:rPr>
        <w:t>AAP Exchanges and Redemptions</w:t>
      </w:r>
      <w:r>
        <w:rPr>
          <w:rFonts w:ascii="Arial" w:cs="Arial" w:eastAsia="Arial" w:hAnsi="Arial"/>
          <w:sz w:val="15"/>
          <w:szCs w:val="15"/>
          <w:color w:val="auto"/>
        </w:rPr>
        <w:t>.</w:t>
      </w:r>
    </w:p>
    <w:p>
      <w:pPr>
        <w:spacing w:after="0" w:line="225" w:lineRule="exact"/>
        <w:rPr>
          <w:sz w:val="20"/>
          <w:szCs w:val="20"/>
          <w:color w:val="auto"/>
        </w:rPr>
      </w:pPr>
    </w:p>
    <w:p>
      <w:pPr>
        <w:ind w:right="580" w:firstLine="656"/>
        <w:spacing w:after="0" w:line="264" w:lineRule="auto"/>
        <w:tabs>
          <w:tab w:leader="none" w:pos="129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81" w:lineRule="exact"/>
        <w:rPr>
          <w:rFonts w:ascii="Arial" w:cs="Arial" w:eastAsia="Arial" w:hAnsi="Arial"/>
          <w:sz w:val="18"/>
          <w:szCs w:val="18"/>
          <w:color w:val="auto"/>
        </w:rPr>
      </w:pPr>
    </w:p>
    <w:p>
      <w:pPr>
        <w:ind w:right="380" w:firstLine="656"/>
        <w:spacing w:after="0" w:line="312" w:lineRule="auto"/>
        <w:tabs>
          <w:tab w:leader="none" w:pos="130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46" w:lineRule="exact"/>
        <w:rPr>
          <w:rFonts w:ascii="Arial" w:cs="Arial" w:eastAsia="Arial" w:hAnsi="Arial"/>
          <w:sz w:val="16"/>
          <w:szCs w:val="16"/>
          <w:color w:val="auto"/>
        </w:rPr>
      </w:pPr>
    </w:p>
    <w:p>
      <w:pPr>
        <w:ind w:right="240" w:firstLine="656"/>
        <w:spacing w:after="0" w:line="342" w:lineRule="auto"/>
        <w:tabs>
          <w:tab w:leader="none" w:pos="130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No Preemptive Right</w:t>
      </w:r>
      <w:r>
        <w:rPr>
          <w:rFonts w:ascii="Arial" w:cs="Arial" w:eastAsia="Arial" w:hAnsi="Arial"/>
          <w:sz w:val="18"/>
          <w:szCs w:val="18"/>
          <w:color w:val="auto"/>
        </w:rPr>
        <w:t>. No Person shall have any preemptive, preferential or other similar right with respect to the issuance of any Partnership Interest, whether unissued, held in the treasury or hereafter created.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i w:val="1"/>
          <w:iCs w:val="1"/>
          <w:color w:val="auto"/>
        </w:rPr>
        <w:t>Splits and Combinations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302" w:lineRule="auto"/>
        <w:tabs>
          <w:tab w:leader="none" w:pos="129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w:t>
      </w:r>
    </w:p>
    <w:p>
      <w:pPr>
        <w:sectPr>
          <w:pgSz w:w="11900" w:h="16945" w:orient="portrait"/>
          <w:cols w:equalWidth="0" w:num="1">
            <w:col w:w="11420"/>
          </w:cols>
          <w:pgMar w:left="240" w:top="125" w:right="239" w:bottom="0" w:gutter="0" w:footer="0" w:header="0"/>
        </w:sectPr>
      </w:pPr>
    </w:p>
    <w:bookmarkStart w:id="140" w:name="page141"/>
    <w:bookmarkEnd w:id="140"/>
    <w:p>
      <w:pPr>
        <w:ind w:right="40"/>
        <w:spacing w:after="0" w:line="312" w:lineRule="auto"/>
        <w:rPr>
          <w:sz w:val="20"/>
          <w:szCs w:val="20"/>
          <w:color w:val="auto"/>
        </w:rPr>
      </w:pPr>
      <w:r>
        <w:rPr>
          <w:rFonts w:ascii="Arial" w:cs="Arial" w:eastAsia="Arial" w:hAnsi="Arial"/>
          <w:sz w:val="16"/>
          <w:szCs w:val="16"/>
          <w:color w:val="auto"/>
        </w:rPr>
        <w:t>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47" w:lineRule="exact"/>
        <w:rPr>
          <w:sz w:val="20"/>
          <w:szCs w:val="20"/>
          <w:color w:val="auto"/>
        </w:rPr>
      </w:pPr>
    </w:p>
    <w:p>
      <w:pPr>
        <w:ind w:firstLine="656"/>
        <w:spacing w:after="0" w:line="257" w:lineRule="auto"/>
        <w:tabs>
          <w:tab w:leader="none" w:pos="130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entitled to rely on any certificate provided by such firm as conclusive evidence of the accuracy of such calculation.</w:t>
      </w:r>
    </w:p>
    <w:p>
      <w:pPr>
        <w:spacing w:after="0" w:line="225" w:lineRule="exact"/>
        <w:rPr>
          <w:sz w:val="20"/>
          <w:szCs w:val="20"/>
          <w:color w:val="auto"/>
        </w:rPr>
      </w:pPr>
    </w:p>
    <w:p>
      <w:pPr>
        <w:ind w:right="20" w:firstLine="656"/>
        <w:spacing w:after="0" w:line="255" w:lineRule="auto"/>
        <w:tabs>
          <w:tab w:leader="none" w:pos="130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89" w:lineRule="exact"/>
        <w:rPr>
          <w:rFonts w:ascii="Arial" w:cs="Arial" w:eastAsia="Arial" w:hAnsi="Arial"/>
          <w:sz w:val="18"/>
          <w:szCs w:val="18"/>
          <w:color w:val="auto"/>
        </w:rPr>
      </w:pPr>
    </w:p>
    <w:p>
      <w:pPr>
        <w:ind w:right="140" w:firstLine="656"/>
        <w:spacing w:after="0" w:line="302" w:lineRule="auto"/>
        <w:tabs>
          <w:tab w:leader="none" w:pos="130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Fully Paid and Non-Assessable Nature of Limited Partner Interests</w:t>
      </w:r>
      <w:r>
        <w:rPr>
          <w:rFonts w:ascii="Arial" w:cs="Arial" w:eastAsia="Arial" w:hAnsi="Arial"/>
          <w:sz w:val="18"/>
          <w:szCs w:val="18"/>
          <w:color w:val="auto"/>
        </w:rPr>
        <w:t>.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Requirement and Characterization of Distributions; Distributions to Record Holders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9" w:lineRule="auto"/>
        <w:tabs>
          <w:tab w:leader="none" w:pos="129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pacing w:after="0" w:line="186" w:lineRule="exact"/>
        <w:rPr>
          <w:rFonts w:ascii="Arial" w:cs="Arial" w:eastAsia="Arial" w:hAnsi="Arial"/>
          <w:sz w:val="18"/>
          <w:szCs w:val="18"/>
          <w:color w:val="auto"/>
        </w:rPr>
      </w:pPr>
    </w:p>
    <w:p>
      <w:pPr>
        <w:ind w:right="540" w:firstLine="656"/>
        <w:spacing w:after="0" w:line="264" w:lineRule="auto"/>
        <w:tabs>
          <w:tab w:leader="none" w:pos="130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81"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distribution in respect of a Partnership Interest shall be paid by the Partnership, directly or through the Transfer Agent or through any other Person or agent, only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1" w:lineRule="exact"/>
        <w:rPr>
          <w:sz w:val="20"/>
          <w:szCs w:val="20"/>
          <w:color w:val="auto"/>
        </w:rPr>
      </w:pPr>
    </w:p>
    <w:p>
      <w:pPr>
        <w:jc w:val="both"/>
        <w:ind w:right="100" w:firstLine="656"/>
        <w:spacing w:after="0" w:line="264" w:lineRule="auto"/>
        <w:tabs>
          <w:tab w:leader="none" w:pos="130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Distributions of Available Cash</w:t>
      </w:r>
      <w:r>
        <w:rPr>
          <w:rFonts w:ascii="Arial" w:cs="Arial" w:eastAsia="Arial" w:hAnsi="Arial"/>
          <w:sz w:val="16"/>
          <w:szCs w:val="16"/>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OPERATION OF BUSINESS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Management</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97" w:lineRule="auto"/>
        <w:tabs>
          <w:tab w:leader="none" w:pos="129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General Partner shall conduct, direct and manage all activities of the Partnership. Except as otherwise expressly provided in this Agreement or required by law, all management 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w:t>
      </w:r>
    </w:p>
    <w:p>
      <w:pPr>
        <w:sectPr>
          <w:pgSz w:w="11900" w:h="16838" w:orient="portrait"/>
          <w:cols w:equalWidth="0" w:num="1">
            <w:col w:w="11420"/>
          </w:cols>
          <w:pgMar w:left="240" w:top="125" w:right="239" w:bottom="0" w:gutter="0" w:footer="0" w:header="0"/>
        </w:sectPr>
      </w:pPr>
    </w:p>
    <w:bookmarkStart w:id="141" w:name="page142"/>
    <w:bookmarkEnd w:id="141"/>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 appropriate to conduct the business of the Partnership, to exercise all powers set forth in Section 2.5 and to effectuate the purposes set forth in Section 2.4, including the following:</w:t>
      </w:r>
    </w:p>
    <w:p>
      <w:pPr>
        <w:spacing w:after="0" w:line="170" w:lineRule="exact"/>
        <w:rPr>
          <w:sz w:val="20"/>
          <w:szCs w:val="20"/>
          <w:color w:val="auto"/>
        </w:rPr>
      </w:pPr>
    </w:p>
    <w:p>
      <w:pPr>
        <w:ind w:left="660" w:right="40" w:firstLine="645"/>
        <w:spacing w:after="0" w:line="264" w:lineRule="auto"/>
        <w:tabs>
          <w:tab w:leader="none" w:pos="197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8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99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9" w:lineRule="auto"/>
        <w:tabs>
          <w:tab w:leader="none" w:pos="197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6" w:lineRule="exact"/>
        <w:rPr>
          <w:rFonts w:ascii="Arial" w:cs="Arial" w:eastAsia="Arial" w:hAnsi="Arial"/>
          <w:sz w:val="18"/>
          <w:szCs w:val="18"/>
          <w:color w:val="auto"/>
        </w:rPr>
      </w:pPr>
    </w:p>
    <w:p>
      <w:pPr>
        <w:jc w:val="both"/>
        <w:ind w:left="660" w:firstLine="645"/>
        <w:spacing w:after="0" w:line="259" w:lineRule="auto"/>
        <w:tabs>
          <w:tab w:leader="none" w:pos="196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8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maintenance of insurance for the benefit of the Partnership, the Partners and Indemnitees;</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197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81" w:lineRule="exact"/>
        <w:rPr>
          <w:rFonts w:ascii="Arial" w:cs="Arial" w:eastAsia="Arial" w:hAnsi="Arial"/>
          <w:sz w:val="18"/>
          <w:szCs w:val="18"/>
          <w:color w:val="auto"/>
        </w:rPr>
      </w:pPr>
    </w:p>
    <w:p>
      <w:pPr>
        <w:jc w:val="both"/>
        <w:ind w:left="660" w:right="60" w:firstLine="645"/>
        <w:spacing w:after="0" w:line="264" w:lineRule="auto"/>
        <w:tabs>
          <w:tab w:leader="none" w:pos="196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control of any matters affecting the rights and obligations of the Partnership, including the bringing and defending of actions at law or in equity and otherwise engaging in the conduct of litigation, arbitration or mediation and the incurring of legal expense and the settlement of claims and litigation;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225" w:lineRule="exact"/>
        <w:rPr>
          <w:rFonts w:ascii="Arial" w:cs="Arial" w:eastAsia="Arial" w:hAnsi="Arial"/>
          <w:sz w:val="18"/>
          <w:szCs w:val="18"/>
          <w:color w:val="auto"/>
        </w:rPr>
      </w:pPr>
    </w:p>
    <w:p>
      <w:pPr>
        <w:ind w:left="660" w:right="520" w:firstLine="645"/>
        <w:spacing w:after="0" w:line="277" w:lineRule="auto"/>
        <w:tabs>
          <w:tab w:leader="none" w:pos="198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entering into of listing agreements with any National Securities Exchange and the delisting of some or all of the Limited Partner Interests from, or requesting that trading be suspended on, any such exchange;</w:t>
      </w:r>
    </w:p>
    <w:p>
      <w:pPr>
        <w:spacing w:after="0" w:line="170" w:lineRule="exact"/>
        <w:rPr>
          <w:rFonts w:ascii="Arial" w:cs="Arial" w:eastAsia="Arial" w:hAnsi="Arial"/>
          <w:sz w:val="18"/>
          <w:szCs w:val="18"/>
          <w:color w:val="auto"/>
        </w:rPr>
      </w:pPr>
    </w:p>
    <w:p>
      <w:pPr>
        <w:ind w:left="660" w:right="520" w:firstLine="645"/>
        <w:spacing w:after="0" w:line="277" w:lineRule="auto"/>
        <w:tabs>
          <w:tab w:leader="none" w:pos="199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Partnership Interests, or the issuance of options, rights, warrants and appreciation rights relating to Partnership Interests; and</w:t>
      </w:r>
    </w:p>
    <w:p>
      <w:pPr>
        <w:spacing w:after="0" w:line="170" w:lineRule="exact"/>
        <w:rPr>
          <w:rFonts w:ascii="Arial" w:cs="Arial" w:eastAsia="Arial" w:hAnsi="Arial"/>
          <w:sz w:val="18"/>
          <w:szCs w:val="18"/>
          <w:color w:val="auto"/>
        </w:rPr>
      </w:pPr>
    </w:p>
    <w:p>
      <w:pPr>
        <w:ind w:left="660" w:right="800" w:firstLine="645"/>
        <w:spacing w:after="0" w:line="277" w:lineRule="auto"/>
        <w:tabs>
          <w:tab w:leader="none" w:pos="196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undertaking of any action in connection with the Partnership’s participation and management of the MLP through its ownership of the MLP Managing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87" w:lineRule="exact"/>
        <w:rPr>
          <w:sz w:val="20"/>
          <w:szCs w:val="20"/>
          <w:color w:val="auto"/>
        </w:rPr>
      </w:pPr>
    </w:p>
    <w:p>
      <w:pPr>
        <w:ind w:firstLine="656"/>
        <w:spacing w:after="0" w:line="287" w:lineRule="auto"/>
        <w:tabs>
          <w:tab w:leader="none" w:pos="130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w:t>
      </w:r>
    </w:p>
    <w:p>
      <w:pPr>
        <w:sectPr>
          <w:pgSz w:w="11900" w:h="16930" w:orient="portrait"/>
          <w:cols w:equalWidth="0" w:num="1">
            <w:col w:w="11420"/>
          </w:cols>
          <w:pgMar w:left="240" w:top="125" w:right="239" w:bottom="0" w:gutter="0" w:footer="0" w:header="0"/>
        </w:sectPr>
      </w:pPr>
    </w:p>
    <w:bookmarkStart w:id="142" w:name="page143"/>
    <w:bookmarkEnd w:id="142"/>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Partners or the other Persons who may acquire an interest in Partnership Interests or are otherwise bound by the provisions of this Agreement; and</w:t>
      </w:r>
    </w:p>
    <w:p>
      <w:pPr>
        <w:spacing w:after="0" w:line="35" w:lineRule="exact"/>
        <w:rPr>
          <w:sz w:val="20"/>
          <w:szCs w:val="20"/>
          <w:color w:val="auto"/>
        </w:rPr>
      </w:pPr>
    </w:p>
    <w:p>
      <w:pPr>
        <w:ind w:right="40" w:firstLine="8"/>
        <w:spacing w:after="0" w:line="253" w:lineRule="auto"/>
        <w:tabs>
          <w:tab w:leader="none" w:pos="31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otherwise existing at law, in equity or otherwise.</w:t>
      </w:r>
    </w:p>
    <w:p>
      <w:pPr>
        <w:spacing w:after="0" w:line="19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i w:val="1"/>
          <w:iCs w:val="1"/>
          <w:color w:val="auto"/>
        </w:rPr>
        <w:t>Certificate of Limited Partnership</w:t>
      </w:r>
      <w:r>
        <w:rPr>
          <w:rFonts w:ascii="Arial" w:cs="Arial" w:eastAsia="Arial" w:hAnsi="Arial"/>
          <w:sz w:val="17"/>
          <w:szCs w:val="17"/>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Restrictions on General Partner’s Authority</w:t>
      </w:r>
      <w:r>
        <w:rPr>
          <w:rFonts w:ascii="Arial" w:cs="Arial" w:eastAsia="Arial" w:hAnsi="Arial"/>
          <w:sz w:val="16"/>
          <w:szCs w:val="16"/>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Reimbursement of the General Partner</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77" w:lineRule="auto"/>
        <w:tabs>
          <w:tab w:leader="none" w:pos="129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Except as provided in this Section 7.4 and elsewhere in this Agreement, the General Partner shall not be compensated for its services as general a partner or managing member of any Group Member.</w:t>
      </w:r>
    </w:p>
    <w:p>
      <w:pPr>
        <w:spacing w:after="0" w:line="170" w:lineRule="exact"/>
        <w:rPr>
          <w:rFonts w:ascii="Arial" w:cs="Arial" w:eastAsia="Arial" w:hAnsi="Arial"/>
          <w:sz w:val="18"/>
          <w:szCs w:val="18"/>
          <w:color w:val="auto"/>
        </w:rPr>
      </w:pPr>
    </w:p>
    <w:p>
      <w:pPr>
        <w:ind w:right="60" w:firstLine="656"/>
        <w:spacing w:after="0" w:line="272" w:lineRule="auto"/>
        <w:tabs>
          <w:tab w:leader="none" w:pos="1304"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77" w:lineRule="exact"/>
        <w:rPr>
          <w:rFonts w:ascii="Arial" w:cs="Arial" w:eastAsia="Arial" w:hAnsi="Arial"/>
          <w:sz w:val="17"/>
          <w:szCs w:val="17"/>
          <w:color w:val="auto"/>
        </w:rPr>
      </w:pPr>
    </w:p>
    <w:p>
      <w:pPr>
        <w:ind w:firstLine="656"/>
        <w:spacing w:after="0" w:line="271" w:lineRule="auto"/>
        <w:tabs>
          <w:tab w:leader="none" w:pos="1307"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 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i w:val="1"/>
          <w:iCs w:val="1"/>
          <w:color w:val="auto"/>
        </w:rPr>
        <w:t>Outside Activities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312" w:lineRule="auto"/>
        <w:tabs>
          <w:tab w:leader="none" w:pos="129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46" w:lineRule="exact"/>
        <w:rPr>
          <w:rFonts w:ascii="Arial" w:cs="Arial" w:eastAsia="Arial" w:hAnsi="Arial"/>
          <w:sz w:val="16"/>
          <w:szCs w:val="16"/>
          <w:color w:val="auto"/>
        </w:rPr>
      </w:pPr>
    </w:p>
    <w:p>
      <w:pPr>
        <w:ind w:firstLine="656"/>
        <w:spacing w:after="0" w:line="291" w:lineRule="auto"/>
        <w:tabs>
          <w:tab w:leader="none" w:pos="130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ectPr>
          <w:pgSz w:w="11900" w:h="16932" w:orient="portrait"/>
          <w:cols w:equalWidth="0" w:num="1">
            <w:col w:w="11420"/>
          </w:cols>
          <w:pgMar w:left="240" w:top="125" w:right="239" w:bottom="0" w:gutter="0" w:footer="0" w:header="0"/>
        </w:sectPr>
      </w:pPr>
    </w:p>
    <w:bookmarkStart w:id="143" w:name="page144"/>
    <w:bookmarkEnd w:id="143"/>
    <w:p>
      <w:pPr>
        <w:ind w:firstLine="656"/>
        <w:spacing w:after="0" w:line="270" w:lineRule="auto"/>
        <w:tabs>
          <w:tab w:leader="none" w:pos="130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(including any fiduciary duty) or any other obligation by reason of the fact that such Indemnitee pursues or acquires for itself, directs such opportunity to another Person or does not communicate such opportunity or information to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Indemnitee does not engage in such business or activity using confidential or proprietary information provided by or on behalf of the Partnership to Indemnitee;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73" w:lineRule="exact"/>
        <w:rPr>
          <w:sz w:val="20"/>
          <w:szCs w:val="20"/>
          <w:color w:val="auto"/>
        </w:rPr>
      </w:pPr>
    </w:p>
    <w:p>
      <w:pPr>
        <w:jc w:val="both"/>
        <w:ind w:right="20" w:firstLine="656"/>
        <w:spacing w:after="0" w:line="259" w:lineRule="auto"/>
        <w:tabs>
          <w:tab w:leader="none" w:pos="1304"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to the extent that any provision of this Agreement purports or is interpreted</w:t>
      </w:r>
    </w:p>
    <w:p>
      <w:pPr>
        <w:spacing w:after="0" w:line="34" w:lineRule="exact"/>
        <w:rPr>
          <w:rFonts w:ascii="Arial" w:cs="Arial" w:eastAsia="Arial" w:hAnsi="Arial"/>
          <w:sz w:val="17"/>
          <w:szCs w:val="17"/>
          <w:color w:val="auto"/>
        </w:rPr>
      </w:pPr>
    </w:p>
    <w:p>
      <w:pPr>
        <w:ind w:right="40" w:firstLine="8"/>
        <w:spacing w:after="0" w:line="252" w:lineRule="auto"/>
        <w:tabs>
          <w:tab w:leader="none" w:pos="21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Section 7.5 shall limit or otherwise affect the effectiveness of any Group Member Agreement, the Holdings GP LLC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separate contractual obligations of any Person (including any Indemnitee) to the Partnership or any of its Affiliates pursuant to agreements entered into following the date of the Original Agreement.</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i w:val="1"/>
          <w:iCs w:val="1"/>
          <w:color w:val="auto"/>
        </w:rPr>
        <w:t>Loans from the General Partner; Loans or Contributions from the Partnership</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9" w:lineRule="auto"/>
        <w:tabs>
          <w:tab w:leader="none" w:pos="129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7" w:lineRule="auto"/>
        <w:tabs>
          <w:tab w:leader="none" w:pos="130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from the Partnership, funds on terms and conditions determined by the General Partner.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86" w:lineRule="auto"/>
        <w:tabs>
          <w:tab w:leader="none" w:pos="129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74" w:lineRule="exact"/>
        <w:rPr>
          <w:rFonts w:ascii="Arial" w:cs="Arial" w:eastAsia="Arial" w:hAnsi="Arial"/>
          <w:sz w:val="16"/>
          <w:szCs w:val="16"/>
          <w:color w:val="auto"/>
        </w:rPr>
      </w:pPr>
    </w:p>
    <w:p>
      <w:pPr>
        <w:ind w:right="80" w:firstLine="656"/>
        <w:spacing w:after="0" w:line="255" w:lineRule="auto"/>
        <w:tabs>
          <w:tab w:leader="none" w:pos="13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ectPr>
          <w:pgSz w:w="11900" w:h="16838" w:orient="portrait"/>
          <w:cols w:equalWidth="0" w:num="1">
            <w:col w:w="11420"/>
          </w:cols>
          <w:pgMar w:left="240" w:top="341" w:right="239" w:bottom="0" w:gutter="0" w:footer="0" w:header="0"/>
        </w:sectPr>
      </w:pPr>
    </w:p>
    <w:bookmarkStart w:id="144" w:name="page145"/>
    <w:bookmarkEnd w:id="144"/>
    <w:p>
      <w:pPr>
        <w:ind w:right="20" w:firstLine="656"/>
        <w:spacing w:after="0" w:line="257" w:lineRule="auto"/>
        <w:tabs>
          <w:tab w:leader="none" w:pos="130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Indemnitee; </w:t>
      </w:r>
      <w:r>
        <w:rPr>
          <w:rFonts w:ascii="Arial" w:cs="Arial" w:eastAsia="Arial" w:hAnsi="Arial"/>
          <w:sz w:val="18"/>
          <w:szCs w:val="18"/>
          <w:i w:val="1"/>
          <w:iCs w:val="1"/>
          <w:color w:val="auto"/>
        </w:rPr>
        <w:t>provided</w:t>
      </w:r>
      <w:r>
        <w:rPr>
          <w:rFonts w:ascii="Arial" w:cs="Arial" w:eastAsia="Arial" w:hAnsi="Arial"/>
          <w:sz w:val="18"/>
          <w:szCs w:val="18"/>
          <w:color w:val="auto"/>
        </w:rPr>
        <w:t>, that if an Indemnitee is also an Affiliate of a voting Person, the vote of such Person will be disregarded in the vote.</w:t>
      </w:r>
    </w:p>
    <w:p>
      <w:pPr>
        <w:spacing w:after="0" w:line="225" w:lineRule="exact"/>
        <w:rPr>
          <w:sz w:val="20"/>
          <w:szCs w:val="20"/>
          <w:color w:val="auto"/>
        </w:rPr>
      </w:pPr>
    </w:p>
    <w:p>
      <w:pPr>
        <w:ind w:right="20" w:firstLine="656"/>
        <w:spacing w:after="0" w:line="297" w:lineRule="auto"/>
        <w:tabs>
          <w:tab w:leader="none" w:pos="1304"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58" w:lineRule="exact"/>
        <w:rPr>
          <w:rFonts w:ascii="Arial" w:cs="Arial" w:eastAsia="Arial" w:hAnsi="Arial"/>
          <w:sz w:val="16"/>
          <w:szCs w:val="16"/>
          <w:color w:val="auto"/>
        </w:rPr>
      </w:pPr>
    </w:p>
    <w:p>
      <w:pPr>
        <w:ind w:firstLine="656"/>
        <w:spacing w:after="0" w:line="255" w:lineRule="auto"/>
        <w:tabs>
          <w:tab w:leader="none" w:pos="130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93" w:lineRule="exact"/>
        <w:rPr>
          <w:rFonts w:ascii="Arial" w:cs="Arial" w:eastAsia="Arial" w:hAnsi="Arial"/>
          <w:sz w:val="18"/>
          <w:szCs w:val="18"/>
          <w:color w:val="auto"/>
        </w:rPr>
      </w:pPr>
    </w:p>
    <w:p>
      <w:pPr>
        <w:ind w:right="20" w:firstLine="656"/>
        <w:spacing w:after="0" w:line="308" w:lineRule="auto"/>
        <w:tabs>
          <w:tab w:leader="none" w:pos="1301"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46" w:lineRule="exact"/>
        <w:rPr>
          <w:rFonts w:ascii="Arial" w:cs="Arial" w:eastAsia="Arial" w:hAnsi="Arial"/>
          <w:sz w:val="17"/>
          <w:szCs w:val="17"/>
          <w:color w:val="auto"/>
        </w:rPr>
      </w:pPr>
    </w:p>
    <w:p>
      <w:pPr>
        <w:ind w:right="120" w:firstLine="656"/>
        <w:spacing w:after="0" w:line="308" w:lineRule="auto"/>
        <w:tabs>
          <w:tab w:leader="none" w:pos="1317"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46" w:lineRule="exact"/>
        <w:rPr>
          <w:rFonts w:ascii="Arial" w:cs="Arial" w:eastAsia="Arial" w:hAnsi="Arial"/>
          <w:sz w:val="17"/>
          <w:szCs w:val="17"/>
          <w:color w:val="auto"/>
        </w:rPr>
      </w:pPr>
    </w:p>
    <w:p>
      <w:pPr>
        <w:ind w:right="100" w:firstLine="656"/>
        <w:spacing w:after="0" w:line="277" w:lineRule="auto"/>
        <w:tabs>
          <w:tab w:leader="none" w:pos="130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right="60" w:firstLine="656"/>
        <w:spacing w:after="0" w:line="257" w:lineRule="auto"/>
        <w:tabs>
          <w:tab w:leader="none" w:pos="131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i w:val="1"/>
          <w:iCs w:val="1"/>
          <w:color w:val="auto"/>
        </w:rPr>
        <w:t>Liability of Indemnitees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5" w:lineRule="auto"/>
        <w:tabs>
          <w:tab w:leader="none" w:pos="129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93" w:lineRule="exact"/>
        <w:rPr>
          <w:rFonts w:ascii="Arial" w:cs="Arial" w:eastAsia="Arial" w:hAnsi="Arial"/>
          <w:sz w:val="18"/>
          <w:szCs w:val="18"/>
          <w:color w:val="auto"/>
        </w:rPr>
      </w:pPr>
    </w:p>
    <w:p>
      <w:pPr>
        <w:ind w:right="200" w:firstLine="656"/>
        <w:spacing w:after="0" w:line="312" w:lineRule="auto"/>
        <w:tabs>
          <w:tab w:leader="none" w:pos="130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46" w:lineRule="exact"/>
        <w:rPr>
          <w:rFonts w:ascii="Arial" w:cs="Arial" w:eastAsia="Arial" w:hAnsi="Arial"/>
          <w:sz w:val="16"/>
          <w:szCs w:val="16"/>
          <w:color w:val="auto"/>
        </w:rPr>
      </w:pPr>
    </w:p>
    <w:p>
      <w:pPr>
        <w:ind w:right="160" w:firstLine="656"/>
        <w:spacing w:after="0" w:line="259" w:lineRule="auto"/>
        <w:tabs>
          <w:tab w:leader="none" w:pos="130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 Member or the MLP or its Subsidiaries or to any Partner or other Indemnitee for its reliance in good faith on the provisions of this Agreement.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0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i w:val="1"/>
          <w:iCs w:val="1"/>
          <w:color w:val="auto"/>
        </w:rPr>
        <w:t>Resolution of Conflicts of Interest; Standards of Conduct and Modification of Duties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93" w:lineRule="auto"/>
        <w:tabs>
          <w:tab w:leader="none" w:pos="129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w:t>
      </w:r>
    </w:p>
    <w:p>
      <w:pPr>
        <w:sectPr>
          <w:pgSz w:w="11900" w:h="16838" w:orient="portrait"/>
          <w:cols w:equalWidth="0" w:num="1">
            <w:col w:w="11380"/>
          </w:cols>
          <w:pgMar w:left="240" w:top="125" w:right="279" w:bottom="0" w:gutter="0" w:footer="0" w:header="0"/>
        </w:sectPr>
      </w:pPr>
    </w:p>
    <w:bookmarkStart w:id="145" w:name="page146"/>
    <w:bookmarkEnd w:id="145"/>
    <w:p>
      <w:pPr>
        <w:ind w:right="80"/>
        <w:spacing w:after="0" w:line="277" w:lineRule="auto"/>
        <w:rPr>
          <w:sz w:val="20"/>
          <w:szCs w:val="20"/>
          <w:color w:val="auto"/>
        </w:rPr>
      </w:pPr>
      <w:r>
        <w:rPr>
          <w:rFonts w:ascii="Arial" w:cs="Arial" w:eastAsia="Arial" w:hAnsi="Arial"/>
          <w:sz w:val="18"/>
          <w:szCs w:val="18"/>
          <w:color w:val="auto"/>
        </w:rPr>
        <w:t>Majority (excluding Shares owned by the General Partner and its Affiliates), (iii) determined by the General Partner (after due inquiry) to be on terms no less favorable to the Partnership than those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69" w:lineRule="exact"/>
        <w:rPr>
          <w:sz w:val="20"/>
          <w:szCs w:val="20"/>
          <w:color w:val="auto"/>
        </w:rPr>
      </w:pPr>
    </w:p>
    <w:p>
      <w:pPr>
        <w:ind w:right="20" w:firstLine="656"/>
        <w:spacing w:after="0" w:line="270" w:lineRule="auto"/>
        <w:tabs>
          <w:tab w:leader="none" w:pos="130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w:t>
      </w:r>
    </w:p>
    <w:p>
      <w:pPr>
        <w:spacing w:after="0" w:line="177" w:lineRule="exact"/>
        <w:rPr>
          <w:rFonts w:ascii="Arial" w:cs="Arial" w:eastAsia="Arial" w:hAnsi="Arial"/>
          <w:sz w:val="17"/>
          <w:szCs w:val="17"/>
          <w:color w:val="auto"/>
        </w:rPr>
      </w:pPr>
    </w:p>
    <w:p>
      <w:pPr>
        <w:jc w:val="both"/>
        <w:ind w:right="20" w:firstLine="656"/>
        <w:spacing w:after="0" w:line="264" w:lineRule="auto"/>
        <w:tabs>
          <w:tab w:leader="none" w:pos="130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79" w:lineRule="exact"/>
        <w:rPr>
          <w:sz w:val="20"/>
          <w:szCs w:val="20"/>
          <w:color w:val="auto"/>
        </w:rPr>
      </w:pPr>
    </w:p>
    <w:p>
      <w:pPr>
        <w:ind w:firstLine="656"/>
        <w:spacing w:after="0" w:line="279" w:lineRule="auto"/>
        <w:tabs>
          <w:tab w:leader="none" w:pos="1304" w:val="left"/>
        </w:tabs>
        <w:numPr>
          <w:ilvl w:val="0"/>
          <w:numId w:val="35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71" w:lineRule="exact"/>
        <w:rPr>
          <w:rFonts w:ascii="Arial" w:cs="Arial" w:eastAsia="Arial" w:hAnsi="Arial"/>
          <w:sz w:val="17"/>
          <w:szCs w:val="17"/>
          <w:color w:val="auto"/>
        </w:rPr>
      </w:pPr>
    </w:p>
    <w:p>
      <w:pPr>
        <w:ind w:right="40" w:firstLine="656"/>
        <w:spacing w:after="0" w:line="288" w:lineRule="auto"/>
        <w:tabs>
          <w:tab w:leader="none" w:pos="130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 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69" w:lineRule="exact"/>
        <w:rPr>
          <w:rFonts w:ascii="Arial" w:cs="Arial" w:eastAsia="Arial" w:hAnsi="Arial"/>
          <w:sz w:val="16"/>
          <w:szCs w:val="16"/>
          <w:color w:val="auto"/>
        </w:rPr>
      </w:pPr>
    </w:p>
    <w:p>
      <w:pPr>
        <w:ind w:right="20" w:firstLine="656"/>
        <w:spacing w:after="0" w:line="264" w:lineRule="auto"/>
        <w:tabs>
          <w:tab w:leader="none" w:pos="130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81" w:lineRule="exact"/>
        <w:rPr>
          <w:rFonts w:ascii="Arial" w:cs="Arial" w:eastAsia="Arial" w:hAnsi="Arial"/>
          <w:sz w:val="18"/>
          <w:szCs w:val="18"/>
          <w:color w:val="auto"/>
        </w:rPr>
      </w:pPr>
    </w:p>
    <w:p>
      <w:pPr>
        <w:ind w:right="160" w:firstLine="656"/>
        <w:spacing w:after="0" w:line="277" w:lineRule="auto"/>
        <w:tabs>
          <w:tab w:leader="none" w:pos="131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Where a determination requires “due inquiry,” the Person or Persons making such determination or taking or declining to take such action must subjectively believe that such</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6" w:name="page147"/>
    <w:bookmarkEnd w:id="146"/>
    <w:p>
      <w:pPr>
        <w:ind w:right="160"/>
        <w:spacing w:after="0" w:line="277" w:lineRule="auto"/>
        <w:rPr>
          <w:sz w:val="20"/>
          <w:szCs w:val="20"/>
          <w:color w:val="auto"/>
        </w:rPr>
      </w:pPr>
      <w:r>
        <w:rPr>
          <w:rFonts w:ascii="Arial" w:cs="Arial" w:eastAsia="Arial" w:hAnsi="Arial"/>
          <w:sz w:val="18"/>
          <w:szCs w:val="18"/>
          <w:color w:val="auto"/>
        </w:rPr>
        <w:t>Person or Persons had available adequate information to make such determination or to take or decline to take such action in accordance with the applicable contractual standard.</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Other Matters Concerning the General Partner</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64" w:lineRule="auto"/>
        <w:tabs>
          <w:tab w:leader="none" w:pos="129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80" w:firstLine="656"/>
        <w:spacing w:after="0" w:line="259" w:lineRule="auto"/>
        <w:tabs>
          <w:tab w:leader="none" w:pos="130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6" w:lineRule="exact"/>
        <w:rPr>
          <w:rFonts w:ascii="Arial" w:cs="Arial" w:eastAsia="Arial" w:hAnsi="Arial"/>
          <w:sz w:val="18"/>
          <w:szCs w:val="18"/>
          <w:color w:val="auto"/>
        </w:rPr>
      </w:pPr>
    </w:p>
    <w:p>
      <w:pPr>
        <w:ind w:right="180" w:firstLine="656"/>
        <w:spacing w:after="0" w:line="308" w:lineRule="auto"/>
        <w:tabs>
          <w:tab w:leader="none" w:pos="130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4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Purchase or Sale of Partnership Interests</w:t>
      </w:r>
      <w:r>
        <w:rPr>
          <w:rFonts w:ascii="Arial" w:cs="Arial" w:eastAsia="Arial" w:hAnsi="Arial"/>
          <w:sz w:val="16"/>
          <w:szCs w:val="16"/>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5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i w:val="1"/>
          <w:iCs w:val="1"/>
          <w:color w:val="auto"/>
        </w:rPr>
        <w:t>Reliance by Third Parties</w:t>
      </w:r>
      <w:r>
        <w:rPr>
          <w:rFonts w:ascii="Arial" w:cs="Arial" w:eastAsia="Arial" w:hAnsi="Arial"/>
          <w:sz w:val="17"/>
          <w:szCs w:val="17"/>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 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claiming thereunder that (a) at the time of the execution and delivery of such certificate, document or instrument, this Agreement was in full force and effect,</w:t>
      </w:r>
    </w:p>
    <w:p>
      <w:pPr>
        <w:spacing w:after="0" w:line="46" w:lineRule="exact"/>
        <w:rPr>
          <w:sz w:val="20"/>
          <w:szCs w:val="20"/>
          <w:color w:val="auto"/>
        </w:rPr>
      </w:pPr>
    </w:p>
    <w:p>
      <w:pPr>
        <w:ind w:right="120" w:firstLine="8"/>
        <w:spacing w:after="0" w:line="255" w:lineRule="auto"/>
        <w:tabs>
          <w:tab w:leader="none" w:pos="25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BOOKS, RECORDS, ACCOUNTING AND REPORTS</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Records and Accounting</w:t>
      </w:r>
      <w:r>
        <w:rPr>
          <w:rFonts w:ascii="Arial" w:cs="Arial" w:eastAsia="Arial" w:hAnsi="Arial"/>
          <w:sz w:val="17"/>
          <w:szCs w:val="17"/>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Arial" w:cs="Arial" w:eastAsia="Arial" w:hAnsi="Arial"/>
          <w:sz w:val="17"/>
          <w:szCs w:val="17"/>
          <w:i w:val="1"/>
          <w:iCs w:val="1"/>
          <w:color w:val="auto"/>
        </w:rPr>
        <w:t>provided</w:t>
      </w:r>
      <w:r>
        <w:rPr>
          <w:rFonts w:ascii="Arial" w:cs="Arial" w:eastAsia="Arial" w:hAnsi="Arial"/>
          <w:sz w:val="17"/>
          <w:szCs w:val="17"/>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Fiscal Year</w:t>
      </w:r>
      <w:r>
        <w:rPr>
          <w:rFonts w:ascii="Arial" w:cs="Arial" w:eastAsia="Arial" w:hAnsi="Arial"/>
          <w:sz w:val="16"/>
          <w:szCs w:val="16"/>
          <w:color w:val="auto"/>
        </w:rPr>
        <w:t>. The fiscal year of the Partnership shall be the calendar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76" w:lineRule="auto"/>
        <w:tabs>
          <w:tab w:leader="none" w:pos="129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2" w:lineRule="exact"/>
        <w:rPr>
          <w:rFonts w:ascii="Arial" w:cs="Arial" w:eastAsia="Arial" w:hAnsi="Arial"/>
          <w:sz w:val="17"/>
          <w:szCs w:val="17"/>
          <w:color w:val="auto"/>
        </w:rPr>
      </w:pPr>
    </w:p>
    <w:p>
      <w:pPr>
        <w:ind w:right="100" w:firstLine="656"/>
        <w:spacing w:after="0" w:line="276" w:lineRule="auto"/>
        <w:tabs>
          <w:tab w:leader="none" w:pos="130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Tax Elections and Information</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Partnership is authorized and has elected to be treated as an association taxable as a corporation for U.S. federal income tax purposes.</w:t>
      </w:r>
    </w:p>
    <w:p>
      <w:pPr>
        <w:spacing w:after="0" w:line="248" w:lineRule="exact"/>
        <w:rPr>
          <w:rFonts w:ascii="Arial" w:cs="Arial" w:eastAsia="Arial" w:hAnsi="Arial"/>
          <w:sz w:val="16"/>
          <w:szCs w:val="16"/>
          <w:color w:val="auto"/>
        </w:rPr>
      </w:pPr>
    </w:p>
    <w:p>
      <w:pPr>
        <w:ind w:right="740" w:firstLine="656"/>
        <w:spacing w:after="0" w:line="277" w:lineRule="auto"/>
        <w:tabs>
          <w:tab w:leader="none" w:pos="130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Except as otherwise provided herein, the General Partner shall determine whether the Partnership should make any other elections permitted by the Code.</w:t>
      </w:r>
    </w:p>
    <w:p>
      <w:pPr>
        <w:spacing w:after="0" w:line="170" w:lineRule="exact"/>
        <w:rPr>
          <w:rFonts w:ascii="Arial" w:cs="Arial" w:eastAsia="Arial" w:hAnsi="Arial"/>
          <w:sz w:val="18"/>
          <w:szCs w:val="18"/>
          <w:color w:val="auto"/>
        </w:rPr>
      </w:pPr>
    </w:p>
    <w:p>
      <w:pPr>
        <w:ind w:right="320" w:firstLine="656"/>
        <w:spacing w:after="0" w:line="264" w:lineRule="auto"/>
        <w:tabs>
          <w:tab w:leader="none" w:pos="130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ADMISSION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Admission of Limited Partners</w:t>
      </w:r>
      <w:r>
        <w:rPr>
          <w:rFonts w:ascii="Arial" w:cs="Arial" w:eastAsia="Arial" w:hAnsi="Arial"/>
          <w:sz w:val="16"/>
          <w:szCs w:val="16"/>
          <w:color w:val="auto"/>
        </w:rPr>
        <w:t>.</w:t>
      </w:r>
    </w:p>
    <w:p>
      <w:pPr>
        <w:spacing w:after="0" w:line="225" w:lineRule="exact"/>
        <w:rPr>
          <w:sz w:val="20"/>
          <w:szCs w:val="20"/>
          <w:color w:val="auto"/>
        </w:rPr>
      </w:pPr>
    </w:p>
    <w:p>
      <w:pPr>
        <w:ind w:right="800" w:firstLine="656"/>
        <w:spacing w:after="0" w:line="277" w:lineRule="auto"/>
        <w:tabs>
          <w:tab w:leader="none" w:pos="129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70" w:lineRule="exact"/>
        <w:rPr>
          <w:rFonts w:ascii="Arial" w:cs="Arial" w:eastAsia="Arial" w:hAnsi="Arial"/>
          <w:sz w:val="18"/>
          <w:szCs w:val="18"/>
          <w:color w:val="auto"/>
        </w:rPr>
      </w:pPr>
    </w:p>
    <w:p>
      <w:pPr>
        <w:ind w:firstLine="656"/>
        <w:spacing w:after="0" w:line="308" w:lineRule="auto"/>
        <w:tabs>
          <w:tab w:leader="none" w:pos="130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46" w:lineRule="exact"/>
        <w:rPr>
          <w:rFonts w:ascii="Arial" w:cs="Arial" w:eastAsia="Arial" w:hAnsi="Arial"/>
          <w:sz w:val="17"/>
          <w:szCs w:val="17"/>
          <w:color w:val="auto"/>
        </w:rPr>
      </w:pPr>
    </w:p>
    <w:p>
      <w:pPr>
        <w:ind w:right="380" w:firstLine="656"/>
        <w:spacing w:after="0" w:line="277" w:lineRule="auto"/>
        <w:tabs>
          <w:tab w:leader="none" w:pos="130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70" w:lineRule="exact"/>
        <w:rPr>
          <w:rFonts w:ascii="Arial" w:cs="Arial" w:eastAsia="Arial" w:hAnsi="Arial"/>
          <w:sz w:val="18"/>
          <w:szCs w:val="18"/>
          <w:color w:val="auto"/>
        </w:rPr>
      </w:pPr>
    </w:p>
    <w:p>
      <w:pPr>
        <w:ind w:right="120" w:firstLine="656"/>
        <w:spacing w:after="0" w:line="257" w:lineRule="auto"/>
        <w:tabs>
          <w:tab w:leader="none" w:pos="130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92" w:lineRule="exact"/>
        <w:rPr>
          <w:sz w:val="20"/>
          <w:szCs w:val="20"/>
          <w:color w:val="auto"/>
        </w:rPr>
      </w:pPr>
    </w:p>
    <w:p>
      <w:pPr>
        <w:ind w:right="60" w:firstLine="656"/>
        <w:spacing w:after="0" w:line="259" w:lineRule="auto"/>
        <w:tabs>
          <w:tab w:leader="none" w:pos="130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6" w:lineRule="exact"/>
        <w:rPr>
          <w:rFonts w:ascii="Arial" w:cs="Arial" w:eastAsia="Arial" w:hAnsi="Arial"/>
          <w:sz w:val="18"/>
          <w:szCs w:val="18"/>
          <w:color w:val="auto"/>
        </w:rPr>
      </w:pPr>
    </w:p>
    <w:p>
      <w:pPr>
        <w:ind w:right="260" w:firstLine="656"/>
        <w:spacing w:after="0" w:line="277" w:lineRule="auto"/>
        <w:tabs>
          <w:tab w:leader="none" w:pos="130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Admission of Successor General Partner</w:t>
      </w:r>
      <w:r>
        <w:rPr>
          <w:rFonts w:ascii="Arial" w:cs="Arial" w:eastAsia="Arial" w:hAnsi="Arial"/>
          <w:sz w:val="18"/>
          <w:szCs w:val="18"/>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Amendment of Agreement and Certificate of Limited Partnership</w:t>
      </w:r>
      <w:r>
        <w:rPr>
          <w:rFonts w:ascii="Arial" w:cs="Arial" w:eastAsia="Arial" w:hAnsi="Arial"/>
          <w:sz w:val="18"/>
          <w:szCs w:val="18"/>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WITHDRAWAL OR REMOVAL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Withdrawal of the General Partner</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7" w:lineRule="auto"/>
        <w:tabs>
          <w:tab w:leader="none" w:pos="129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transfers all of its General Partner Interest pursuant to Section 4.6;</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11.2;</w:t>
      </w:r>
    </w:p>
    <w:p>
      <w:pPr>
        <w:spacing w:after="0" w:line="225" w:lineRule="exact"/>
        <w:rPr>
          <w:rFonts w:ascii="Arial" w:cs="Arial" w:eastAsia="Arial" w:hAnsi="Arial"/>
          <w:sz w:val="18"/>
          <w:szCs w:val="18"/>
          <w:color w:val="auto"/>
        </w:rPr>
      </w:pPr>
    </w:p>
    <w:p>
      <w:pPr>
        <w:ind w:left="660" w:firstLine="645"/>
        <w:spacing w:after="0" w:line="255" w:lineRule="auto"/>
        <w:tabs>
          <w:tab w:leader="none" w:pos="1973"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93" w:lineRule="exact"/>
        <w:rPr>
          <w:rFonts w:ascii="Arial" w:cs="Arial" w:eastAsia="Arial" w:hAnsi="Arial"/>
          <w:sz w:val="18"/>
          <w:szCs w:val="18"/>
          <w:color w:val="auto"/>
        </w:rPr>
      </w:pPr>
    </w:p>
    <w:p>
      <w:pPr>
        <w:ind w:left="660" w:right="660" w:firstLine="645"/>
        <w:spacing w:after="0" w:line="277" w:lineRule="auto"/>
        <w:tabs>
          <w:tab w:leader="none" w:pos="196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70" w:lineRule="exact"/>
        <w:rPr>
          <w:rFonts w:ascii="Arial" w:cs="Arial" w:eastAsia="Arial" w:hAnsi="Arial"/>
          <w:sz w:val="18"/>
          <w:szCs w:val="18"/>
          <w:color w:val="auto"/>
        </w:rPr>
      </w:pPr>
    </w:p>
    <w:p>
      <w:pPr>
        <w:ind w:left="660" w:right="60" w:firstLine="645"/>
        <w:spacing w:after="0" w:line="255" w:lineRule="auto"/>
        <w:tabs>
          <w:tab w:leader="none" w:pos="1973"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87" w:lineRule="auto"/>
        <w:tabs>
          <w:tab w:leader="none" w:pos="130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69" w:lineRule="exact"/>
        <w:rPr>
          <w:sz w:val="20"/>
          <w:szCs w:val="20"/>
          <w:color w:val="auto"/>
        </w:rPr>
      </w:pPr>
    </w:p>
    <w:p>
      <w:pPr>
        <w:ind w:right="40" w:firstLine="648"/>
        <w:spacing w:after="0" w:line="281"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i w:val="1"/>
          <w:iCs w:val="1"/>
          <w:color w:val="auto"/>
        </w:rPr>
        <w:t>Removal of the General Partner</w:t>
      </w:r>
      <w:r>
        <w:rPr>
          <w:rFonts w:ascii="Arial" w:cs="Arial" w:eastAsia="Arial" w:hAnsi="Arial"/>
          <w:sz w:val="16"/>
          <w:szCs w:val="16"/>
          <w:color w:val="auto"/>
        </w:rPr>
        <w:t>. The General Partner may be removed if such removal is approved by the Shareholders holding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i w:val="1"/>
          <w:iCs w:val="1"/>
          <w:color w:val="auto"/>
        </w:rPr>
        <w:t>Interest of Departing General Partner and Successor General Partner</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In the event of (i) withdrawal of the General Partner under circumstances where such withdrawal does not violate this Agreement or</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removal of the General Partner by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29" w:right="239" w:bottom="0" w:gutter="0" w:footer="0" w:header="0"/>
        </w:sectPr>
      </w:pPr>
    </w:p>
    <w:bookmarkStart w:id="149" w:name="page150"/>
    <w:bookmarkEnd w:id="149"/>
    <w:p>
      <w:pPr>
        <w:spacing w:after="0" w:line="286" w:lineRule="auto"/>
        <w:rPr>
          <w:sz w:val="20"/>
          <w:szCs w:val="20"/>
          <w:color w:val="auto"/>
        </w:rPr>
      </w:pPr>
      <w:r>
        <w:rPr>
          <w:rFonts w:ascii="Arial" w:cs="Arial" w:eastAsia="Arial" w:hAnsi="Arial"/>
          <w:sz w:val="16"/>
          <w:szCs w:val="16"/>
          <w:color w:val="auto"/>
        </w:rPr>
        <w:t>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Arial" w:cs="Arial" w:eastAsia="Arial" w:hAnsi="Arial"/>
          <w:sz w:val="16"/>
          <w:szCs w:val="16"/>
          <w:b w:val="1"/>
          <w:bCs w:val="1"/>
          <w:i w:val="1"/>
          <w:iCs w:val="1"/>
          <w:color w:val="auto"/>
        </w:rPr>
        <w:t>Combined Interest</w:t>
      </w:r>
      <w:r>
        <w:rPr>
          <w:rFonts w:ascii="Arial" w:cs="Arial" w:eastAsia="Arial" w:hAnsi="Arial"/>
          <w:sz w:val="16"/>
          <w:szCs w:val="16"/>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7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73" w:lineRule="exact"/>
        <w:rPr>
          <w:sz w:val="20"/>
          <w:szCs w:val="20"/>
          <w:color w:val="auto"/>
        </w:rPr>
      </w:pPr>
    </w:p>
    <w:p>
      <w:pPr>
        <w:jc w:val="both"/>
        <w:ind w:right="200" w:firstLine="656"/>
        <w:spacing w:after="0" w:line="264" w:lineRule="auto"/>
        <w:tabs>
          <w:tab w:leader="none" w:pos="130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88" w:lineRule="exact"/>
        <w:rPr>
          <w:sz w:val="20"/>
          <w:szCs w:val="20"/>
          <w:color w:val="auto"/>
        </w:rPr>
      </w:pPr>
    </w:p>
    <w:p>
      <w:pPr>
        <w:ind w:right="20" w:firstLine="656"/>
        <w:spacing w:after="0" w:line="259" w:lineRule="auto"/>
        <w:tabs>
          <w:tab w:leader="none" w:pos="130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Withdrawal of Limited Partners</w:t>
      </w:r>
      <w:r>
        <w:rPr>
          <w:rFonts w:ascii="Arial" w:cs="Arial" w:eastAsia="Arial" w:hAnsi="Arial"/>
          <w:sz w:val="18"/>
          <w:szCs w:val="18"/>
          <w:color w:val="auto"/>
        </w:rPr>
        <w:t xml:space="preserve">. No Limited Partner shall have any right to withdraw from the Partnership;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1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Dissolution</w:t>
      </w:r>
      <w:r>
        <w:rPr>
          <w:rFonts w:ascii="Arial" w:cs="Arial" w:eastAsia="Arial" w:hAnsi="Arial"/>
          <w:sz w:val="16"/>
          <w:szCs w:val="16"/>
          <w:color w:val="auto"/>
        </w:rPr>
        <w:t>.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 Partnership. Subject to Section 12.2, the Partnership shall dissolve, and its affairs shall be wound up, upon:</w:t>
      </w:r>
    </w:p>
    <w:p>
      <w:pPr>
        <w:spacing w:after="0" w:line="154" w:lineRule="exact"/>
        <w:rPr>
          <w:sz w:val="20"/>
          <w:szCs w:val="20"/>
          <w:color w:val="auto"/>
        </w:rPr>
      </w:pPr>
    </w:p>
    <w:p>
      <w:pPr>
        <w:ind w:right="200" w:firstLine="656"/>
        <w:spacing w:after="0" w:line="277" w:lineRule="auto"/>
        <w:tabs>
          <w:tab w:leader="none" w:pos="129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 Event of Withdrawal of the General Partner as provided in Section 11.1(a) (other than Section 11.1(a)(ii)), unless a successor is elected and such successor is admitted to the Partnership in accordance with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Share Majority;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the provisions of the Delaware Act;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at any time there are no Limited Partners, unless the Partnership is continued without dissolution in accordance with the Delaware Act.</w:t>
      </w:r>
    </w:p>
    <w:p>
      <w:pPr>
        <w:spacing w:after="0" w:line="2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i w:val="1"/>
          <w:iCs w:val="1"/>
          <w:color w:val="auto"/>
        </w:rPr>
        <w:t>Continuation of the Business of the Partnership After Dissolution</w:t>
      </w:r>
      <w:r>
        <w:rPr>
          <w:rFonts w:ascii="Arial" w:cs="Arial" w:eastAsia="Arial" w:hAnsi="Arial"/>
          <w:sz w:val="18"/>
          <w:szCs w:val="18"/>
          <w:color w:val="auto"/>
        </w:rPr>
        <w:t>. Upon an Event of Withdrawal caused by (a) the withdrawal or removal of the General Partner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150" w:name="page151"/>
    <w:bookmarkEnd w:id="150"/>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93" w:lineRule="exact"/>
        <w:rPr>
          <w:sz w:val="20"/>
          <w:szCs w:val="20"/>
          <w:color w:val="auto"/>
        </w:rPr>
      </w:pPr>
    </w:p>
    <w:p>
      <w:pPr>
        <w:ind w:left="1980" w:hanging="675"/>
        <w:spacing w:after="0"/>
        <w:tabs>
          <w:tab w:leader="none" w:pos="19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Partnership shall continue without dissolution unless earlier dissolved in accordance with this Article XII;</w:t>
      </w:r>
    </w:p>
    <w:p>
      <w:pPr>
        <w:spacing w:after="0" w:line="225" w:lineRule="exact"/>
        <w:rPr>
          <w:rFonts w:ascii="Arial" w:cs="Arial" w:eastAsia="Arial" w:hAnsi="Arial"/>
          <w:sz w:val="18"/>
          <w:szCs w:val="18"/>
          <w:color w:val="auto"/>
        </w:rPr>
      </w:pPr>
    </w:p>
    <w:p>
      <w:pPr>
        <w:ind w:left="660" w:firstLine="645"/>
        <w:spacing w:after="0" w:line="277" w:lineRule="auto"/>
        <w:tabs>
          <w:tab w:leader="none" w:pos="198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treated in the manner provided in Section 11.3; and</w:t>
      </w:r>
    </w:p>
    <w:p>
      <w:pPr>
        <w:spacing w:after="0" w:line="170" w:lineRule="exact"/>
        <w:rPr>
          <w:rFonts w:ascii="Arial" w:cs="Arial" w:eastAsia="Arial" w:hAnsi="Arial"/>
          <w:sz w:val="18"/>
          <w:szCs w:val="18"/>
          <w:color w:val="auto"/>
        </w:rPr>
      </w:pPr>
    </w:p>
    <w:p>
      <w:pPr>
        <w:ind w:left="660" w:right="60" w:firstLine="645"/>
        <w:spacing w:after="0" w:line="279" w:lineRule="auto"/>
        <w:tabs>
          <w:tab w:leader="none" w:pos="1997"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i w:val="1"/>
          <w:iCs w:val="1"/>
          <w:color w:val="auto"/>
        </w:rPr>
        <w:t>Liquidator</w:t>
      </w:r>
      <w:r>
        <w:rPr>
          <w:rFonts w:ascii="Arial" w:cs="Arial" w:eastAsia="Arial" w:hAnsi="Arial"/>
          <w:sz w:val="16"/>
          <w:szCs w:val="16"/>
          <w:color w:val="auto"/>
        </w:rPr>
        <w:t>.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Liquidation</w:t>
      </w:r>
      <w:r>
        <w:rPr>
          <w:rFonts w:ascii="Arial" w:cs="Arial" w:eastAsia="Arial" w:hAnsi="Arial"/>
          <w:sz w:val="17"/>
          <w:szCs w:val="17"/>
          <w:color w:val="auto"/>
        </w:rPr>
        <w:t>.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47" w:lineRule="exact"/>
        <w:rPr>
          <w:sz w:val="20"/>
          <w:szCs w:val="20"/>
          <w:color w:val="auto"/>
        </w:rPr>
      </w:pPr>
    </w:p>
    <w:p>
      <w:pPr>
        <w:ind w:right="180" w:firstLine="656"/>
        <w:spacing w:after="0" w:line="293" w:lineRule="auto"/>
        <w:tabs>
          <w:tab w:leader="none" w:pos="1294" w:val="left"/>
        </w:tabs>
        <w:numPr>
          <w:ilvl w:val="0"/>
          <w:numId w:val="372"/>
        </w:numPr>
        <w:rPr>
          <w:rFonts w:ascii="Arial" w:cs="Arial" w:eastAsia="Arial" w:hAnsi="Arial"/>
          <w:sz w:val="16"/>
          <w:szCs w:val="16"/>
          <w:color w:val="auto"/>
        </w:rPr>
      </w:pPr>
      <w:r>
        <w:rPr>
          <w:rFonts w:ascii="Arial" w:cs="Arial" w:eastAsia="Arial" w:hAnsi="Arial"/>
          <w:sz w:val="16"/>
          <w:szCs w:val="16"/>
          <w:i w:val="1"/>
          <w:iCs w:val="1"/>
          <w:color w:val="auto"/>
        </w:rPr>
        <w:t>Disposition of Assets</w:t>
      </w:r>
      <w:r>
        <w:rPr>
          <w:rFonts w:ascii="Arial" w:cs="Arial" w:eastAsia="Arial" w:hAnsi="Arial"/>
          <w:sz w:val="16"/>
          <w:szCs w:val="16"/>
          <w:color w:val="auto"/>
        </w:rPr>
        <w:t>. The assets may be disposed of by public or private sale or by distribution in kind to one or more Partners on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64" w:lineRule="exact"/>
        <w:rPr>
          <w:rFonts w:ascii="Arial" w:cs="Arial" w:eastAsia="Arial" w:hAnsi="Arial"/>
          <w:sz w:val="16"/>
          <w:szCs w:val="16"/>
          <w:color w:val="auto"/>
        </w:rPr>
      </w:pPr>
    </w:p>
    <w:p>
      <w:pPr>
        <w:ind w:right="20" w:firstLine="656"/>
        <w:spacing w:after="0" w:line="257" w:lineRule="auto"/>
        <w:tabs>
          <w:tab w:leader="none" w:pos="1304"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Discharge of Liabilities</w:t>
      </w:r>
      <w:r>
        <w:rPr>
          <w:rFonts w:ascii="Arial" w:cs="Arial" w:eastAsia="Arial" w:hAnsi="Arial"/>
          <w:sz w:val="18"/>
          <w:szCs w:val="18"/>
          <w:color w:val="auto"/>
        </w:rPr>
        <w:t>. Liabilities of the Partnership include amounts owed to the Liquidator as compensation for serving in such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8"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Liquidation Distributions</w:t>
      </w:r>
      <w:r>
        <w:rPr>
          <w:rFonts w:ascii="Arial" w:cs="Arial" w:eastAsia="Arial" w:hAnsi="Arial"/>
          <w:sz w:val="18"/>
          <w:szCs w:val="18"/>
          <w:color w:val="auto"/>
        </w:rPr>
        <w:t>. All property and all cash in excess of that required to discharge liabilities as provided in Section 12.4(b)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100% to the Class A Shareholders Pro Rata.</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Cancellation of Certificate of Limited Partnership</w:t>
      </w:r>
      <w:r>
        <w:rPr>
          <w:rFonts w:ascii="Arial" w:cs="Arial" w:eastAsia="Arial" w:hAnsi="Arial"/>
          <w:sz w:val="18"/>
          <w:szCs w:val="18"/>
          <w:color w:val="auto"/>
        </w:rPr>
        <w:t>.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i w:val="1"/>
          <w:iCs w:val="1"/>
          <w:color w:val="auto"/>
        </w:rPr>
        <w:t>Return of Contributions</w:t>
      </w:r>
      <w:r>
        <w:rPr>
          <w:rFonts w:ascii="Arial" w:cs="Arial" w:eastAsia="Arial" w:hAnsi="Arial"/>
          <w:sz w:val="18"/>
          <w:szCs w:val="18"/>
          <w:color w:val="auto"/>
        </w:rPr>
        <w:t>.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i w:val="1"/>
          <w:iCs w:val="1"/>
          <w:color w:val="auto"/>
        </w:rPr>
        <w:t>Waiver of Partition</w:t>
      </w:r>
      <w:r>
        <w:rPr>
          <w:rFonts w:ascii="Arial" w:cs="Arial" w:eastAsia="Arial" w:hAnsi="Arial"/>
          <w:sz w:val="16"/>
          <w:szCs w:val="16"/>
          <w:color w:val="auto"/>
        </w:rPr>
        <w:t>. To the maximum extent permitted by law, each Partner hereby waives any right to partition of the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OF PARTNERSHIP AGREEMENT; MEETINGS; RECORD DATE</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i w:val="1"/>
          <w:iCs w:val="1"/>
          <w:color w:val="auto"/>
        </w:rPr>
        <w:t>Amendments to be Adopted Solely by the General Partner</w:t>
      </w:r>
      <w:r>
        <w:rPr>
          <w:rFonts w:ascii="Arial" w:cs="Arial" w:eastAsia="Arial" w:hAnsi="Arial"/>
          <w:sz w:val="18"/>
          <w:szCs w:val="18"/>
          <w:color w:val="auto"/>
        </w:rPr>
        <w:t>. Each Partner agrees that the General Partner, without the approval of any Partner, may amend any provision of this Agreement and execute, swear to, acknowledge, deliver, file and record whatever documents may be required in connection therewith, to reflect:</w:t>
      </w:r>
    </w:p>
    <w:p>
      <w:pPr>
        <w:sectPr>
          <w:pgSz w:w="11900" w:h="16918" w:orient="portrait"/>
          <w:cols w:equalWidth="0" w:num="1">
            <w:col w:w="11420"/>
          </w:cols>
          <w:pgMar w:left="240" w:top="341" w:right="239" w:bottom="0" w:gutter="0" w:footer="0" w:header="0"/>
        </w:sectPr>
      </w:pPr>
    </w:p>
    <w:bookmarkStart w:id="151" w:name="page152"/>
    <w:bookmarkEnd w:id="151"/>
    <w:p>
      <w:pPr>
        <w:spacing w:after="0" w:line="35" w:lineRule="exact"/>
        <w:rPr>
          <w:sz w:val="20"/>
          <w:szCs w:val="20"/>
          <w:color w:val="auto"/>
        </w:rPr>
      </w:pPr>
    </w:p>
    <w:p>
      <w:pPr>
        <w:ind w:right="620" w:firstLine="656"/>
        <w:spacing w:after="0" w:line="277" w:lineRule="auto"/>
        <w:tabs>
          <w:tab w:leader="none" w:pos="129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this Agreement;</w:t>
      </w:r>
    </w:p>
    <w:p>
      <w:pPr>
        <w:spacing w:after="0" w:line="225" w:lineRule="exact"/>
        <w:rPr>
          <w:rFonts w:ascii="Arial" w:cs="Arial" w:eastAsia="Arial" w:hAnsi="Arial"/>
          <w:sz w:val="18"/>
          <w:szCs w:val="18"/>
          <w:color w:val="auto"/>
        </w:rPr>
      </w:pPr>
    </w:p>
    <w:p>
      <w:pPr>
        <w:ind w:right="180" w:firstLine="656"/>
        <w:spacing w:after="0" w:line="277" w:lineRule="auto"/>
        <w:tabs>
          <w:tab w:leader="none" w:pos="130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70" w:lineRule="exact"/>
        <w:rPr>
          <w:rFonts w:ascii="Arial" w:cs="Arial" w:eastAsia="Arial" w:hAnsi="Arial"/>
          <w:sz w:val="18"/>
          <w:szCs w:val="18"/>
          <w:color w:val="auto"/>
        </w:rPr>
      </w:pPr>
    </w:p>
    <w:p>
      <w:pPr>
        <w:ind w:right="20" w:firstLine="656"/>
        <w:spacing w:after="0" w:line="270" w:lineRule="auto"/>
        <w:tabs>
          <w:tab w:leader="none" w:pos="1304"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77" w:lineRule="exact"/>
        <w:rPr>
          <w:rFonts w:ascii="Arial" w:cs="Arial" w:eastAsia="Arial" w:hAnsi="Arial"/>
          <w:sz w:val="17"/>
          <w:szCs w:val="17"/>
          <w:color w:val="auto"/>
        </w:rPr>
      </w:pPr>
    </w:p>
    <w:p>
      <w:pPr>
        <w:ind w:right="180" w:firstLine="656"/>
        <w:spacing w:after="0" w:line="264" w:lineRule="auto"/>
        <w:tabs>
          <w:tab w:leader="none" w:pos="130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1" w:lineRule="exact"/>
        <w:rPr>
          <w:rFonts w:ascii="Arial" w:cs="Arial" w:eastAsia="Arial" w:hAnsi="Arial"/>
          <w:sz w:val="18"/>
          <w:szCs w:val="18"/>
          <w:color w:val="auto"/>
        </w:rPr>
      </w:pPr>
    </w:p>
    <w:p>
      <w:pPr>
        <w:ind w:right="20" w:firstLine="656"/>
        <w:spacing w:after="0" w:line="259" w:lineRule="auto"/>
        <w:tabs>
          <w:tab w:leader="none" w:pos="130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similar to plan asset regulations currently applied or proposed by the United States Department of Labor;</w:t>
      </w:r>
    </w:p>
    <w:p>
      <w:pPr>
        <w:spacing w:after="0" w:line="225" w:lineRule="exact"/>
        <w:rPr>
          <w:sz w:val="20"/>
          <w:szCs w:val="20"/>
          <w:color w:val="auto"/>
        </w:rPr>
      </w:pPr>
    </w:p>
    <w:p>
      <w:pPr>
        <w:ind w:right="220" w:firstLine="656"/>
        <w:spacing w:after="0" w:line="277" w:lineRule="auto"/>
        <w:tabs>
          <w:tab w:leader="none" w:pos="131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approved in accordance with Section 14.3;</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0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merger, conveyance or conversion pursuant to Section 14.3(d);</w:t>
      </w:r>
    </w:p>
    <w:p>
      <w:pPr>
        <w:spacing w:after="0" w:line="225" w:lineRule="exact"/>
        <w:rPr>
          <w:rFonts w:ascii="Arial" w:cs="Arial" w:eastAsia="Arial" w:hAnsi="Arial"/>
          <w:sz w:val="18"/>
          <w:szCs w:val="18"/>
          <w:color w:val="auto"/>
        </w:rPr>
      </w:pPr>
    </w:p>
    <w:p>
      <w:pPr>
        <w:ind w:right="80" w:firstLine="656"/>
        <w:spacing w:after="0" w:line="264" w:lineRule="auto"/>
        <w:tabs>
          <w:tab w:leader="none" w:pos="131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i w:val="1"/>
          <w:iCs w:val="1"/>
          <w:color w:val="auto"/>
        </w:rPr>
        <w:t>Amendment Procedures</w:t>
      </w:r>
      <w:r>
        <w:rPr>
          <w:rFonts w:ascii="Arial" w:cs="Arial" w:eastAsia="Arial" w:hAnsi="Arial"/>
          <w:sz w:val="17"/>
          <w:szCs w:val="17"/>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addition to the foregoing, and except as provided in Sections 13.1 and 13.3, any proposed amendment that would 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case in accordance with the other provisions of this Article XIII. The General Partner shall notify all Record Holders upon final adoption of any such proposed amendments.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5"/>
          <w:szCs w:val="15"/>
          <w:i w:val="1"/>
          <w:iCs w:val="1"/>
          <w:color w:val="auto"/>
        </w:rPr>
        <w:t>Amendment Requirements</w:t>
      </w:r>
      <w:r>
        <w:rPr>
          <w:rFonts w:ascii="Arial" w:cs="Arial" w:eastAsia="Arial" w:hAnsi="Arial"/>
          <w:sz w:val="15"/>
          <w:szCs w:val="15"/>
          <w:color w:val="auto"/>
        </w:rPr>
        <w:t>.</w:t>
      </w:r>
    </w:p>
    <w:p>
      <w:pPr>
        <w:sectPr>
          <w:pgSz w:w="11900" w:h="16874" w:orient="portrait"/>
          <w:cols w:equalWidth="0" w:num="1">
            <w:col w:w="11400"/>
          </w:cols>
          <w:pgMar w:left="240" w:top="341" w:right="259" w:bottom="0" w:gutter="0" w:footer="0" w:header="0"/>
        </w:sectPr>
      </w:pPr>
    </w:p>
    <w:bookmarkStart w:id="152" w:name="page153"/>
    <w:bookmarkEnd w:id="152"/>
    <w:p>
      <w:pPr>
        <w:spacing w:after="0" w:line="137" w:lineRule="exact"/>
        <w:rPr>
          <w:sz w:val="20"/>
          <w:szCs w:val="20"/>
          <w:color w:val="auto"/>
        </w:rPr>
      </w:pPr>
    </w:p>
    <w:p>
      <w:pPr>
        <w:ind w:right="100" w:firstLine="656"/>
        <w:spacing w:after="0" w:line="255" w:lineRule="auto"/>
        <w:tabs>
          <w:tab w:leader="none" w:pos="129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 aggregate Outstanding Shares constitute not less than the percentage of Outstanding Shares required to take such action sought to be reduced or increased, as applicable.</w:t>
      </w:r>
    </w:p>
    <w:p>
      <w:pPr>
        <w:spacing w:after="0" w:line="189" w:lineRule="exact"/>
        <w:rPr>
          <w:rFonts w:ascii="Arial" w:cs="Arial" w:eastAsia="Arial" w:hAnsi="Arial"/>
          <w:sz w:val="18"/>
          <w:szCs w:val="18"/>
          <w:color w:val="auto"/>
        </w:rPr>
      </w:pPr>
    </w:p>
    <w:p>
      <w:pPr>
        <w:ind w:right="120" w:firstLine="656"/>
        <w:spacing w:after="0" w:line="257" w:lineRule="auto"/>
        <w:tabs>
          <w:tab w:leader="none" w:pos="130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8" w:lineRule="exact"/>
        <w:rPr>
          <w:rFonts w:ascii="Arial" w:cs="Arial" w:eastAsia="Arial" w:hAnsi="Arial"/>
          <w:sz w:val="18"/>
          <w:szCs w:val="18"/>
          <w:color w:val="auto"/>
        </w:rPr>
      </w:pPr>
    </w:p>
    <w:p>
      <w:pPr>
        <w:ind w:firstLine="656"/>
        <w:spacing w:after="0" w:line="279" w:lineRule="auto"/>
        <w:tabs>
          <w:tab w:leader="none" w:pos="130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71" w:lineRule="exact"/>
        <w:rPr>
          <w:rFonts w:ascii="Arial" w:cs="Arial" w:eastAsia="Arial" w:hAnsi="Arial"/>
          <w:sz w:val="17"/>
          <w:szCs w:val="17"/>
          <w:color w:val="auto"/>
        </w:rPr>
      </w:pPr>
    </w:p>
    <w:p>
      <w:pPr>
        <w:ind w:right="100" w:firstLine="656"/>
        <w:spacing w:after="0" w:line="259" w:lineRule="auto"/>
        <w:tabs>
          <w:tab w:leader="none" w:pos="130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6" w:lineRule="exact"/>
        <w:rPr>
          <w:rFonts w:ascii="Arial" w:cs="Arial" w:eastAsia="Arial" w:hAnsi="Arial"/>
          <w:sz w:val="18"/>
          <w:szCs w:val="18"/>
          <w:color w:val="auto"/>
        </w:rPr>
      </w:pPr>
    </w:p>
    <w:p>
      <w:pPr>
        <w:ind w:right="720" w:firstLine="656"/>
        <w:spacing w:after="0" w:line="277" w:lineRule="auto"/>
        <w:tabs>
          <w:tab w:leader="none" w:pos="130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Except as provided in Section 13.1, this Section 13.3 shall only be amended with the approval of the holders of at least 90% of the Outstanding Shares.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64" w:lineRule="auto"/>
        <w:tabs>
          <w:tab w:leader="none" w:pos="129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and each Class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 Share with respect to each Class C Shareholder voting in accordance with Section 13.4(c) or otherwise, that is registered in the name of such Limited Partner on the record date for such meeting.</w:t>
      </w:r>
    </w:p>
    <w:p>
      <w:pPr>
        <w:spacing w:after="0" w:line="170" w:lineRule="exact"/>
        <w:rPr>
          <w:sz w:val="20"/>
          <w:szCs w:val="20"/>
          <w:color w:val="auto"/>
        </w:rPr>
      </w:pPr>
    </w:p>
    <w:p>
      <w:pPr>
        <w:ind w:right="300" w:firstLine="656"/>
        <w:spacing w:after="0" w:line="272" w:lineRule="auto"/>
        <w:tabs>
          <w:tab w:leader="none" w:pos="1304" w:val="left"/>
        </w:tabs>
        <w:numPr>
          <w:ilvl w:val="0"/>
          <w:numId w:val="377"/>
        </w:numPr>
        <w:rPr>
          <w:rFonts w:ascii="Arial" w:cs="Arial" w:eastAsia="Arial" w:hAnsi="Arial"/>
          <w:sz w:val="17"/>
          <w:szCs w:val="17"/>
          <w:color w:val="auto"/>
        </w:rPr>
      </w:pPr>
      <w:r>
        <w:rPr>
          <w:rFonts w:ascii="Arial" w:cs="Arial" w:eastAsia="Arial" w:hAnsi="Arial"/>
          <w:sz w:val="17"/>
          <w:szCs w:val="17"/>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77" w:lineRule="exact"/>
        <w:rPr>
          <w:rFonts w:ascii="Arial" w:cs="Arial" w:eastAsia="Arial" w:hAnsi="Arial"/>
          <w:sz w:val="17"/>
          <w:szCs w:val="17"/>
          <w:color w:val="auto"/>
        </w:rPr>
      </w:pPr>
    </w:p>
    <w:p>
      <w:pPr>
        <w:ind w:right="20" w:firstLine="656"/>
        <w:spacing w:after="0" w:line="276" w:lineRule="auto"/>
        <w:tabs>
          <w:tab w:leader="none" w:pos="130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An annual meeting of the Limited Partners for the election of Eligible Directors and such other matters as the Board of Directors shall submit to a vote of the Limited Partners shall be 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72" w:lineRule="exact"/>
        <w:rPr>
          <w:rFonts w:ascii="Arial" w:cs="Arial" w:eastAsia="Arial" w:hAnsi="Arial"/>
          <w:sz w:val="17"/>
          <w:szCs w:val="17"/>
          <w:color w:val="auto"/>
        </w:rPr>
      </w:pPr>
    </w:p>
    <w:p>
      <w:pPr>
        <w:ind w:left="660" w:right="300" w:firstLine="645"/>
        <w:spacing w:after="0" w:line="259" w:lineRule="auto"/>
        <w:tabs>
          <w:tab w:leader="none" w:pos="1978"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(A) (1) Nominations of persons for election as Eligible Directors may be made at an annual meeting of the Limited Partners only</w:t>
      </w:r>
    </w:p>
    <w:p>
      <w:pPr>
        <w:spacing w:after="0" w:line="46" w:lineRule="exact"/>
        <w:rPr>
          <w:rFonts w:ascii="Arial" w:cs="Arial" w:eastAsia="Arial" w:hAnsi="Arial"/>
          <w:sz w:val="16"/>
          <w:szCs w:val="16"/>
          <w:color w:val="auto"/>
        </w:rPr>
      </w:pPr>
    </w:p>
    <w:p>
      <w:pPr>
        <w:ind w:left="660" w:right="40" w:hanging="4"/>
        <w:spacing w:after="0" w:line="252" w:lineRule="auto"/>
        <w:tabs>
          <w:tab w:leader="none" w:pos="90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Arial" w:cs="Arial" w:eastAsia="Arial" w:hAnsi="Arial"/>
          <w:sz w:val="18"/>
          <w:szCs w:val="18"/>
          <w:i w:val="1"/>
          <w:iCs w:val="1"/>
          <w:color w:val="auto"/>
        </w:rPr>
        <w:t>provided</w:t>
      </w:r>
      <w:r>
        <w:rPr>
          <w:rFonts w:ascii="Arial" w:cs="Arial" w:eastAsia="Arial" w:hAnsi="Arial"/>
          <w:sz w:val="18"/>
          <w:szCs w:val="18"/>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 the MLP to make any nominations it is directed to make by the MLP General Partner pursuant to Section 13.13 of the MLP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40" w:firstLine="5"/>
        <w:spacing w:after="0" w:line="342" w:lineRule="auto"/>
        <w:tabs>
          <w:tab w:leader="none" w:pos="155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For any nomination brought before an annual meeting by a Limited Partner pursuant to clause (b) of paragraph (A)(1) of this Section 13.4(c)(ii) the Limited Partner must have given timely notice thereof in writing to the General Partner. To be timely, a Limited</w:t>
      </w:r>
    </w:p>
    <w:p>
      <w:pPr>
        <w:sectPr>
          <w:pgSz w:w="11900" w:h="16975" w:orient="portrait"/>
          <w:cols w:equalWidth="0" w:num="1">
            <w:col w:w="11420"/>
          </w:cols>
          <w:pgMar w:left="240" w:top="341" w:right="239" w:bottom="0" w:gutter="0" w:footer="0" w:header="0"/>
        </w:sectPr>
      </w:pPr>
    </w:p>
    <w:bookmarkStart w:id="153" w:name="page154"/>
    <w:bookmarkEnd w:id="153"/>
    <w:p>
      <w:pPr>
        <w:spacing w:after="0" w:line="92" w:lineRule="exact"/>
        <w:rPr>
          <w:sz w:val="20"/>
          <w:szCs w:val="20"/>
          <w:color w:val="auto"/>
        </w:rPr>
      </w:pPr>
    </w:p>
    <w:p>
      <w:pPr>
        <w:ind w:left="100" w:right="80"/>
        <w:spacing w:after="0" w:line="269" w:lineRule="auto"/>
        <w:rPr>
          <w:sz w:val="20"/>
          <w:szCs w:val="20"/>
          <w:color w:val="auto"/>
        </w:rPr>
      </w:pPr>
      <w:r>
        <w:rPr>
          <w:rFonts w:ascii="Arial" w:cs="Arial" w:eastAsia="Arial" w:hAnsi="Arial"/>
          <w:sz w:val="17"/>
          <w:szCs w:val="17"/>
          <w:color w:val="auto"/>
        </w:rPr>
        <w:t>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0" w:lineRule="exact"/>
        <w:rPr>
          <w:sz w:val="20"/>
          <w:szCs w:val="20"/>
          <w:color w:val="auto"/>
        </w:rPr>
      </w:pPr>
    </w:p>
    <w:p>
      <w:pPr>
        <w:ind w:left="100" w:firstLine="5"/>
        <w:spacing w:after="0" w:line="268" w:lineRule="auto"/>
        <w:tabs>
          <w:tab w:leader="none" w:pos="35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 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40"/>
        <w:spacing w:after="0" w:line="288" w:lineRule="auto"/>
        <w:rPr>
          <w:sz w:val="20"/>
          <w:szCs w:val="20"/>
          <w:color w:val="auto"/>
        </w:rPr>
      </w:pPr>
      <w:r>
        <w:rPr>
          <w:rFonts w:ascii="Arial" w:cs="Arial" w:eastAsia="Arial" w:hAnsi="Arial"/>
          <w:sz w:val="16"/>
          <w:szCs w:val="16"/>
          <w:color w:val="auto"/>
        </w:rPr>
        <w:t>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w:t>
      </w:r>
    </w:p>
    <w:p>
      <w:pPr>
        <w:ind w:left="100" w:right="60" w:firstLine="5"/>
        <w:spacing w:after="0" w:line="254" w:lineRule="auto"/>
        <w:tabs>
          <w:tab w:leader="none" w:pos="52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90" w:lineRule="exact"/>
        <w:rPr>
          <w:sz w:val="20"/>
          <w:szCs w:val="20"/>
          <w:color w:val="auto"/>
        </w:rPr>
      </w:pPr>
    </w:p>
    <w:p>
      <w:pPr>
        <w:ind w:left="100" w:right="20" w:firstLine="5"/>
        <w:spacing w:after="0" w:line="268" w:lineRule="auto"/>
        <w:tabs>
          <w:tab w:leader="none" w:pos="38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 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83" w:lineRule="exact"/>
        <w:rPr>
          <w:rFonts w:ascii="Arial" w:cs="Arial" w:eastAsia="Arial" w:hAnsi="Arial"/>
          <w:sz w:val="17"/>
          <w:szCs w:val="17"/>
          <w:color w:val="auto"/>
        </w:rPr>
      </w:pPr>
    </w:p>
    <w:p>
      <w:pPr>
        <w:ind w:left="100" w:right="40" w:firstLine="5"/>
        <w:spacing w:after="0" w:line="257" w:lineRule="auto"/>
        <w:tabs>
          <w:tab w:leader="none" w:pos="75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line="288" w:lineRule="auto"/>
        <w:rPr>
          <w:sz w:val="20"/>
          <w:szCs w:val="20"/>
          <w:color w:val="auto"/>
        </w:rPr>
      </w:pPr>
      <w:r>
        <w:rPr>
          <w:rFonts w:ascii="Arial" w:cs="Arial" w:eastAsia="Arial" w:hAnsi="Arial"/>
          <w:sz w:val="16"/>
          <w:szCs w:val="16"/>
          <w:color w:val="auto"/>
        </w:rPr>
        <w:t>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ectPr>
          <w:pgSz w:w="11900" w:h="16930" w:orient="portrait"/>
          <w:cols w:equalWidth="0" w:num="1">
            <w:col w:w="10200"/>
          </w:cols>
          <w:pgMar w:left="1440" w:top="126" w:right="259" w:bottom="0" w:gutter="0" w:footer="0" w:header="0"/>
        </w:sectPr>
      </w:pPr>
    </w:p>
    <w:bookmarkStart w:id="154" w:name="page155"/>
    <w:bookmarkEnd w:id="154"/>
    <w:p>
      <w:pPr>
        <w:spacing w:after="0" w:line="103" w:lineRule="exact"/>
        <w:rPr>
          <w:sz w:val="20"/>
          <w:szCs w:val="20"/>
          <w:color w:val="auto"/>
        </w:rPr>
      </w:pPr>
    </w:p>
    <w:p>
      <w:pPr>
        <w:ind w:left="1300" w:right="620" w:firstLine="653"/>
        <w:spacing w:after="0" w:line="312" w:lineRule="auto"/>
        <w:tabs>
          <w:tab w:leader="none" w:pos="2203" w:val="left"/>
        </w:tabs>
        <w:numPr>
          <w:ilvl w:val="1"/>
          <w:numId w:val="383"/>
        </w:numPr>
        <w:rPr>
          <w:rFonts w:ascii="Arial" w:cs="Arial" w:eastAsia="Arial" w:hAnsi="Arial"/>
          <w:sz w:val="16"/>
          <w:szCs w:val="16"/>
          <w:color w:val="auto"/>
        </w:rPr>
      </w:pPr>
      <w:r>
        <w:rPr>
          <w:rFonts w:ascii="Arial" w:cs="Arial" w:eastAsia="Arial" w:hAnsi="Arial"/>
          <w:sz w:val="16"/>
          <w:szCs w:val="16"/>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46" w:lineRule="exact"/>
        <w:rPr>
          <w:rFonts w:ascii="Arial" w:cs="Arial" w:eastAsia="Arial" w:hAnsi="Arial"/>
          <w:sz w:val="16"/>
          <w:szCs w:val="16"/>
          <w:color w:val="auto"/>
        </w:rPr>
      </w:pPr>
    </w:p>
    <w:p>
      <w:pPr>
        <w:ind w:left="1300" w:right="100" w:firstLine="653"/>
        <w:spacing w:after="0" w:line="255" w:lineRule="auto"/>
        <w:tabs>
          <w:tab w:leader="none" w:pos="220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93" w:lineRule="exact"/>
        <w:rPr>
          <w:rFonts w:ascii="Arial" w:cs="Arial" w:eastAsia="Arial" w:hAnsi="Arial"/>
          <w:sz w:val="18"/>
          <w:szCs w:val="18"/>
          <w:color w:val="auto"/>
        </w:rPr>
      </w:pPr>
    </w:p>
    <w:p>
      <w:pPr>
        <w:ind w:left="660" w:right="20" w:firstLine="645"/>
        <w:spacing w:after="0" w:line="259" w:lineRule="auto"/>
        <w:tabs>
          <w:tab w:leader="none" w:pos="19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 provisions, “no hand” provisions or other provisions relating to the redemption of the poison pill or plan, in each case as such terms are used under Delaware common law.</w:t>
      </w:r>
    </w:p>
    <w:p>
      <w:pPr>
        <w:spacing w:after="0" w:line="186" w:lineRule="exact"/>
        <w:rPr>
          <w:rFonts w:ascii="Arial" w:cs="Arial" w:eastAsia="Arial" w:hAnsi="Arial"/>
          <w:sz w:val="18"/>
          <w:szCs w:val="18"/>
          <w:color w:val="auto"/>
        </w:rPr>
      </w:pPr>
    </w:p>
    <w:p>
      <w:pPr>
        <w:ind w:left="660" w:right="60" w:firstLine="645"/>
        <w:spacing w:after="0" w:line="264" w:lineRule="auto"/>
        <w:tabs>
          <w:tab w:leader="none" w:pos="197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The General Partner shall use commercially reasonable efforts to take such action as shall be necessary or appropriate to give effect to and implement the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 including, without limitation, amending the Holdings GP LLC Agreement such that at all times the Holdings GP LLC Agreement shall provide that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Eligible Directors shall be nominated and elected in accordance with the terms of this Agreement.</w:t>
      </w:r>
    </w:p>
    <w:p>
      <w:pPr>
        <w:spacing w:after="0" w:line="225" w:lineRule="exact"/>
        <w:rPr>
          <w:sz w:val="20"/>
          <w:szCs w:val="20"/>
          <w:color w:val="auto"/>
        </w:rPr>
      </w:pPr>
    </w:p>
    <w:p>
      <w:pPr>
        <w:ind w:left="660" w:right="200" w:firstLine="645"/>
        <w:spacing w:after="0" w:line="264" w:lineRule="auto"/>
        <w:tabs>
          <w:tab w:leader="none" w:pos="1964"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be applicable with respect to the board of directors or other governing body of such subsidiary.</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70" w:lineRule="exact"/>
        <w:rPr>
          <w:rFonts w:ascii="Arial" w:cs="Arial" w:eastAsia="Arial" w:hAnsi="Arial"/>
          <w:sz w:val="18"/>
          <w:szCs w:val="18"/>
          <w:color w:val="auto"/>
        </w:rPr>
      </w:pPr>
    </w:p>
    <w:p>
      <w:pPr>
        <w:ind w:right="40" w:firstLine="656"/>
        <w:spacing w:after="0" w:line="279" w:lineRule="auto"/>
        <w:tabs>
          <w:tab w:leader="none" w:pos="1307"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i w:val="1"/>
          <w:iCs w:val="1"/>
          <w:color w:val="auto"/>
        </w:rPr>
        <w:t>Notice of a Meeting</w:t>
      </w:r>
      <w:r>
        <w:rPr>
          <w:rFonts w:ascii="Arial" w:cs="Arial" w:eastAsia="Arial" w:hAnsi="Arial"/>
          <w:sz w:val="16"/>
          <w:szCs w:val="16"/>
          <w:color w:val="auto"/>
        </w:rPr>
        <w:t>.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i w:val="1"/>
          <w:iCs w:val="1"/>
          <w:color w:val="auto"/>
        </w:rPr>
        <w:t>Record Date</w:t>
      </w:r>
      <w:r>
        <w:rPr>
          <w:rFonts w:ascii="Arial" w:cs="Arial" w:eastAsia="Arial" w:hAnsi="Arial"/>
          <w:sz w:val="16"/>
          <w:szCs w:val="16"/>
          <w:color w:val="auto"/>
        </w:rPr>
        <w:t>.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i w:val="1"/>
          <w:iCs w:val="1"/>
          <w:color w:val="auto"/>
        </w:rPr>
        <w:t>Adjournment</w:t>
      </w:r>
      <w:r>
        <w:rPr>
          <w:rFonts w:ascii="Arial" w:cs="Arial" w:eastAsia="Arial" w:hAnsi="Arial"/>
          <w:sz w:val="18"/>
          <w:szCs w:val="18"/>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i w:val="1"/>
          <w:iCs w:val="1"/>
          <w:color w:val="auto"/>
        </w:rPr>
        <w:t>Waiver of Notice; Approval of Meeting; Approval of Minutes</w:t>
      </w:r>
      <w:r>
        <w:rPr>
          <w:rFonts w:ascii="Arial" w:cs="Arial" w:eastAsia="Arial" w:hAnsi="Arial"/>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i w:val="1"/>
          <w:iCs w:val="1"/>
          <w:color w:val="auto"/>
        </w:rPr>
        <w:t>Quorum</w:t>
      </w:r>
      <w:r>
        <w:rPr>
          <w:rFonts w:ascii="Arial" w:cs="Arial" w:eastAsia="Arial" w:hAnsi="Arial"/>
          <w:sz w:val="16"/>
          <w:szCs w:val="16"/>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w:t>
      </w:r>
    </w:p>
    <w:p>
      <w:pPr>
        <w:sectPr>
          <w:pgSz w:w="11900" w:h="16941" w:orient="portrait"/>
          <w:cols w:equalWidth="0" w:num="1">
            <w:col w:w="11420"/>
          </w:cols>
          <w:pgMar w:left="240" w:top="341" w:right="239" w:bottom="0" w:gutter="0" w:footer="0" w:header="0"/>
        </w:sectPr>
      </w:pPr>
    </w:p>
    <w:bookmarkStart w:id="155" w:name="page156"/>
    <w:bookmarkEnd w:id="155"/>
    <w:p>
      <w:pPr>
        <w:ind w:right="40"/>
        <w:spacing w:after="0" w:line="268" w:lineRule="auto"/>
        <w:rPr>
          <w:sz w:val="20"/>
          <w:szCs w:val="20"/>
          <w:color w:val="auto"/>
        </w:rPr>
      </w:pPr>
      <w:r>
        <w:rPr>
          <w:rFonts w:ascii="Arial" w:cs="Arial" w:eastAsia="Arial" w:hAnsi="Arial"/>
          <w:sz w:val="17"/>
          <w:szCs w:val="17"/>
          <w:color w:val="auto"/>
        </w:rPr>
        <w:t>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 deemed to have the right to vote on any action at a meeting due to such class of Shares or Partnership Interests being counted towards the existence of a quorum at such meeting.</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Conduct of a Meeting</w:t>
      </w:r>
      <w:r>
        <w:rPr>
          <w:rFonts w:ascii="Arial" w:cs="Arial" w:eastAsia="Arial" w:hAnsi="Arial"/>
          <w:sz w:val="18"/>
          <w:szCs w:val="18"/>
          <w:color w:val="auto"/>
        </w:rPr>
        <w:t>. The General Partner shall have full power and authority concerning the manner of conducting any meeting of the Limited Partners or solicitation of approvals in writing, including the determination of Persons entitled to vote,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proxies and votes in writing.</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i w:val="1"/>
          <w:iCs w:val="1"/>
          <w:color w:val="auto"/>
        </w:rPr>
        <w:t>Action Without a Meeting</w:t>
      </w:r>
      <w:r>
        <w:rPr>
          <w:rFonts w:ascii="Arial" w:cs="Arial" w:eastAsia="Arial" w:hAnsi="Arial"/>
          <w:sz w:val="16"/>
          <w:szCs w:val="16"/>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Voting and Other Rights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656"/>
        <w:spacing w:after="0" w:line="276" w:lineRule="auto"/>
        <w:tabs>
          <w:tab w:leader="none" w:pos="129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Only those Record Holders of the Outstanding Shares or other Partnership Interests on the Record Date set pursuant to Section 13.6 (and also subject to the limitations contained in the definition of “</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pacing w:after="0" w:line="172" w:lineRule="exact"/>
        <w:rPr>
          <w:rFonts w:ascii="Arial" w:cs="Arial" w:eastAsia="Arial" w:hAnsi="Arial"/>
          <w:sz w:val="17"/>
          <w:szCs w:val="17"/>
          <w:color w:val="auto"/>
        </w:rPr>
      </w:pPr>
    </w:p>
    <w:p>
      <w:pPr>
        <w:ind w:right="40" w:firstLine="656"/>
        <w:spacing w:after="0" w:line="273" w:lineRule="auto"/>
        <w:tabs>
          <w:tab w:leader="none" w:pos="130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Class C Shares</w:t>
      </w:r>
      <w:r>
        <w:rPr>
          <w:rFonts w:ascii="Arial" w:cs="Arial" w:eastAsia="Arial" w:hAnsi="Arial"/>
          <w:sz w:val="18"/>
          <w:szCs w:val="18"/>
          <w:color w:val="auto"/>
        </w:rPr>
        <w:t>. For the avoidance of doubt, other than any right to consent to amendments to this Agreement in accordance with Section 13.3(b) or Section 13.3(c) and the right to vote in the election of Eligible Directors in accordance with Section 13.4(c), the Class C Shareholders have no voting or consent rights under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MERGER, CONSOLIDATION OR CONVERSION</w:t>
      </w:r>
    </w:p>
    <w:p>
      <w:pPr>
        <w:sectPr>
          <w:pgSz w:w="11900" w:h="16838" w:orient="portrait"/>
          <w:cols w:equalWidth="0" w:num="1">
            <w:col w:w="11400"/>
          </w:cols>
          <w:pgMar w:left="240" w:top="125" w:right="259" w:bottom="18" w:gutter="0" w:footer="0" w:header="0"/>
        </w:sectPr>
      </w:pPr>
    </w:p>
    <w:bookmarkStart w:id="156" w:name="page157"/>
    <w:bookmarkEnd w:id="156"/>
    <w:p>
      <w:pPr>
        <w:ind w:right="100" w:firstLine="648"/>
        <w:spacing w:after="0" w:line="257"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i w:val="1"/>
          <w:iCs w:val="1"/>
          <w:color w:val="auto"/>
        </w:rPr>
        <w:t>Authority</w:t>
      </w:r>
      <w:r>
        <w:rPr>
          <w:rFonts w:ascii="Arial" w:cs="Arial" w:eastAsia="Arial" w:hAnsi="Arial"/>
          <w:sz w:val="18"/>
          <w:szCs w:val="18"/>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or a written plan of conversion (“</w:t>
      </w:r>
      <w:r>
        <w:rPr>
          <w:rFonts w:ascii="Arial" w:cs="Arial" w:eastAsia="Arial" w:hAnsi="Arial"/>
          <w:sz w:val="18"/>
          <w:szCs w:val="18"/>
          <w:b w:val="1"/>
          <w:bCs w:val="1"/>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as the case may be, in accordance with this Article XIV.</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i w:val="1"/>
          <w:iCs w:val="1"/>
          <w:color w:val="auto"/>
        </w:rPr>
        <w:t>Procedure for Merger, Consolidation or Conversion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7" w:lineRule="auto"/>
        <w:tabs>
          <w:tab w:leader="none" w:pos="129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Merger, consolidation or conversion of the Partnership pursuant to this Article XIV requires the prior consent of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General Partner shall have no duty or obligation to consent to any merger, consolidation or conversion of the Partnership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to 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contemplated hereby or under the Delaware Act or any other law, rule or regulation or at equity.</w:t>
      </w:r>
    </w:p>
    <w:p>
      <w:pPr>
        <w:spacing w:after="0" w:line="225" w:lineRule="exact"/>
        <w:rPr>
          <w:sz w:val="20"/>
          <w:szCs w:val="20"/>
          <w:color w:val="auto"/>
        </w:rPr>
      </w:pPr>
    </w:p>
    <w:p>
      <w:pPr>
        <w:ind w:right="160" w:firstLine="656"/>
        <w:spacing w:after="0" w:line="277" w:lineRule="auto"/>
        <w:tabs>
          <w:tab w:leader="none" w:pos="130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the General Partner shall determine to consent to the merger or consolidation, the General Partner shall approve the Merger Agreement, which shall set forth:</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36" w:lineRule="exact"/>
        <w:rPr>
          <w:rFonts w:ascii="Arial" w:cs="Arial" w:eastAsia="Arial" w:hAnsi="Arial"/>
          <w:sz w:val="17"/>
          <w:szCs w:val="17"/>
          <w:color w:val="auto"/>
        </w:rPr>
      </w:pPr>
    </w:p>
    <w:p>
      <w:pPr>
        <w:ind w:left="660" w:right="980" w:firstLine="645"/>
        <w:spacing w:after="0" w:line="277" w:lineRule="auto"/>
        <w:tabs>
          <w:tab w:leader="none" w:pos="198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b w:val="1"/>
          <w:bCs w:val="1"/>
          <w:i w:val="1"/>
          <w:iCs w:val="1"/>
          <w:color w:val="auto"/>
        </w:rPr>
        <w:t>Surviving Business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left="660" w:firstLine="645"/>
        <w:spacing w:after="0" w:line="270" w:lineRule="auto"/>
        <w:tabs>
          <w:tab w:leader="none" w:pos="1973"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w:t>
      </w:r>
    </w:p>
    <w:p>
      <w:pPr>
        <w:spacing w:after="0" w:line="177" w:lineRule="exact"/>
        <w:rPr>
          <w:rFonts w:ascii="Arial" w:cs="Arial" w:eastAsia="Arial" w:hAnsi="Arial"/>
          <w:sz w:val="17"/>
          <w:szCs w:val="17"/>
          <w:color w:val="auto"/>
        </w:rPr>
      </w:pPr>
    </w:p>
    <w:p>
      <w:pPr>
        <w:ind w:left="660" w:right="20" w:firstLine="645"/>
        <w:spacing w:after="0" w:line="264" w:lineRule="auto"/>
        <w:tabs>
          <w:tab w:leader="none" w:pos="196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ind w:left="660" w:right="120" w:firstLine="645"/>
        <w:spacing w:after="0" w:line="259" w:lineRule="auto"/>
        <w:tabs>
          <w:tab w:leader="none" w:pos="1973"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effective time of the merger, which may be the date of the filing of the certificate of merger pursuant to Section 14.4 or a later date specified in or determinable in accordance with the Merger Agreement (</w:t>
      </w:r>
      <w:r>
        <w:rPr>
          <w:rFonts w:ascii="Arial" w:cs="Arial" w:eastAsia="Arial" w:hAnsi="Arial"/>
          <w:sz w:val="18"/>
          <w:szCs w:val="18"/>
          <w:i w:val="1"/>
          <w:iCs w:val="1"/>
          <w:color w:val="auto"/>
        </w:rPr>
        <w:t>provided</w:t>
      </w:r>
      <w:r>
        <w:rPr>
          <w:rFonts w:ascii="Arial" w:cs="Arial" w:eastAsia="Arial" w:hAnsi="Arial"/>
          <w:sz w:val="18"/>
          <w:szCs w:val="18"/>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merger or consolidation that the General Partner determines to be necessary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If the General Partner shall determine to consent to the conversion, the General Partner shall approve the Plan of Conversion, which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set forth:</w:t>
      </w:r>
    </w:p>
    <w:p>
      <w:pPr>
        <w:spacing w:after="0" w:line="211" w:lineRule="exact"/>
        <w:rPr>
          <w:sz w:val="20"/>
          <w:szCs w:val="20"/>
          <w:color w:val="auto"/>
        </w:rPr>
      </w:pPr>
    </w:p>
    <w:p>
      <w:pPr>
        <w:ind w:left="1980" w:hanging="675"/>
        <w:spacing w:after="0"/>
        <w:tabs>
          <w:tab w:leader="none" w:pos="19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name of the converting entity and the converted entity;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statement that the Partnership is continuing its existence in the organizational form of the converted entity;</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9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statement as to the type of entity that the converted entity is to be and the state or country under the laws of which the converted entity is to be incorporated, formed or organized;</w:t>
      </w:r>
    </w:p>
    <w:p>
      <w:pPr>
        <w:spacing w:after="0" w:line="170" w:lineRule="exact"/>
        <w:rPr>
          <w:rFonts w:ascii="Arial" w:cs="Arial" w:eastAsia="Arial" w:hAnsi="Arial"/>
          <w:sz w:val="18"/>
          <w:szCs w:val="18"/>
          <w:color w:val="auto"/>
        </w:rPr>
      </w:pPr>
    </w:p>
    <w:p>
      <w:pPr>
        <w:jc w:val="both"/>
        <w:ind w:left="660" w:right="580" w:firstLine="645"/>
        <w:spacing w:after="0" w:line="342" w:lineRule="auto"/>
        <w:tabs>
          <w:tab w:leader="none" w:pos="1973"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an attachment or exhibit, the certificate of limited partnership of the Partnership;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in an attachment or exhibit, the certificate of limited partnership, articles of incorporation, or other organizational documents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converted entity;</w:t>
      </w:r>
    </w:p>
    <w:p>
      <w:pPr>
        <w:sectPr>
          <w:pgSz w:w="11900" w:h="16838" w:orient="portrait"/>
          <w:cols w:equalWidth="0" w:num="1">
            <w:col w:w="11400"/>
          </w:cols>
          <w:pgMar w:left="240" w:top="125" w:right="259" w:bottom="18" w:gutter="0" w:footer="0" w:header="0"/>
        </w:sectPr>
      </w:pPr>
    </w:p>
    <w:bookmarkStart w:id="157" w:name="page158"/>
    <w:bookmarkEnd w:id="157"/>
    <w:p>
      <w:pPr>
        <w:spacing w:after="0" w:line="35" w:lineRule="exact"/>
        <w:rPr>
          <w:sz w:val="20"/>
          <w:szCs w:val="20"/>
          <w:color w:val="auto"/>
        </w:rPr>
      </w:pPr>
    </w:p>
    <w:p>
      <w:pPr>
        <w:jc w:val="both"/>
        <w:ind w:left="660" w:right="60" w:firstLine="645"/>
        <w:spacing w:after="0" w:line="259" w:lineRule="auto"/>
        <w:tabs>
          <w:tab w:leader="none" w:pos="1983"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8"/>
          <w:szCs w:val="18"/>
          <w:i w:val="1"/>
          <w:iCs w:val="1"/>
          <w:color w:val="auto"/>
        </w:rPr>
        <w:t>provided</w:t>
      </w:r>
      <w:r>
        <w:rPr>
          <w:rFonts w:ascii="Arial" w:cs="Arial" w:eastAsia="Arial" w:hAnsi="Arial"/>
          <w:sz w:val="18"/>
          <w:szCs w:val="18"/>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conversion that the General Partner determines to be necessary or appropriate.</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14.3</w:t>
      </w:r>
      <w:r>
        <w:rPr>
          <w:rFonts w:ascii="Arial" w:cs="Arial" w:eastAsia="Arial" w:hAnsi="Arial"/>
          <w:sz w:val="16"/>
          <w:szCs w:val="16"/>
          <w:i w:val="1"/>
          <w:iCs w:val="1"/>
          <w:color w:val="auto"/>
        </w:rPr>
        <w:t>Approval by Limited Partners</w:t>
      </w:r>
      <w:r>
        <w:rPr>
          <w:rFonts w:ascii="Arial" w:cs="Arial" w:eastAsia="Arial" w:hAnsi="Arial"/>
          <w:sz w:val="16"/>
          <w:szCs w:val="16"/>
          <w:color w:val="auto"/>
        </w:rPr>
        <w:t>.</w:t>
      </w:r>
    </w:p>
    <w:p>
      <w:pPr>
        <w:spacing w:after="0" w:line="225" w:lineRule="exact"/>
        <w:rPr>
          <w:rFonts w:ascii="Arial" w:cs="Arial" w:eastAsia="Arial" w:hAnsi="Arial"/>
          <w:sz w:val="16"/>
          <w:szCs w:val="16"/>
          <w:color w:val="auto"/>
        </w:rPr>
      </w:pPr>
    </w:p>
    <w:p>
      <w:pPr>
        <w:ind w:right="20" w:firstLine="656"/>
        <w:spacing w:after="0" w:line="257" w:lineRule="auto"/>
        <w:tabs>
          <w:tab w:leader="none" w:pos="129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8" w:lineRule="exact"/>
        <w:rPr>
          <w:rFonts w:ascii="Arial" w:cs="Arial" w:eastAsia="Arial" w:hAnsi="Arial"/>
          <w:sz w:val="18"/>
          <w:szCs w:val="18"/>
          <w:color w:val="auto"/>
        </w:rPr>
      </w:pPr>
    </w:p>
    <w:p>
      <w:pPr>
        <w:ind w:right="220" w:firstLine="656"/>
        <w:spacing w:after="0" w:line="259" w:lineRule="auto"/>
        <w:tabs>
          <w:tab w:leader="none" w:pos="130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a Merger Agreement or Plan of Conversion, as the case may be, containing any provision that, if contained in an amendment to this Agreement, the provisions of this Agreement or the Delaware Act would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70" w:lineRule="exact"/>
        <w:rPr>
          <w:sz w:val="20"/>
          <w:szCs w:val="20"/>
          <w:color w:val="auto"/>
        </w:rPr>
      </w:pPr>
    </w:p>
    <w:p>
      <w:pPr>
        <w:ind w:right="180" w:firstLine="656"/>
        <w:spacing w:after="0" w:line="286" w:lineRule="auto"/>
        <w:tabs>
          <w:tab w:leader="none" w:pos="1307" w:val="left"/>
        </w:tabs>
        <w:numPr>
          <w:ilvl w:val="1"/>
          <w:numId w:val="394"/>
        </w:numPr>
        <w:rPr>
          <w:rFonts w:ascii="Arial" w:cs="Arial" w:eastAsia="Arial" w:hAnsi="Arial"/>
          <w:sz w:val="17"/>
          <w:szCs w:val="17"/>
          <w:color w:val="auto"/>
        </w:rPr>
      </w:pPr>
      <w:r>
        <w:rPr>
          <w:rFonts w:ascii="Arial" w:cs="Arial" w:eastAsia="Arial" w:hAnsi="Arial"/>
          <w:sz w:val="17"/>
          <w:szCs w:val="17"/>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65" w:lineRule="exact"/>
        <w:rPr>
          <w:rFonts w:ascii="Arial" w:cs="Arial" w:eastAsia="Arial" w:hAnsi="Arial"/>
          <w:sz w:val="17"/>
          <w:szCs w:val="17"/>
          <w:color w:val="auto"/>
        </w:rPr>
      </w:pPr>
    </w:p>
    <w:p>
      <w:pPr>
        <w:ind w:right="20" w:firstLine="656"/>
        <w:spacing w:after="0" w:line="271" w:lineRule="auto"/>
        <w:tabs>
          <w:tab w:leader="none" w:pos="1304" w:val="left"/>
        </w:tabs>
        <w:numPr>
          <w:ilvl w:val="1"/>
          <w:numId w:val="394"/>
        </w:numPr>
        <w:rPr>
          <w:rFonts w:ascii="Arial" w:cs="Arial" w:eastAsia="Arial" w:hAnsi="Arial"/>
          <w:sz w:val="17"/>
          <w:szCs w:val="17"/>
          <w:color w:val="auto"/>
        </w:rPr>
      </w:pPr>
      <w:r>
        <w:rPr>
          <w:rFonts w:ascii="Arial" w:cs="Arial" w:eastAsia="Arial" w:hAnsi="Arial"/>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78" w:lineRule="exact"/>
        <w:rPr>
          <w:rFonts w:ascii="Arial" w:cs="Arial" w:eastAsia="Arial" w:hAnsi="Arial"/>
          <w:sz w:val="17"/>
          <w:szCs w:val="17"/>
          <w:color w:val="auto"/>
        </w:rPr>
      </w:pPr>
    </w:p>
    <w:p>
      <w:pPr>
        <w:ind w:firstLine="656"/>
        <w:spacing w:after="0" w:line="286" w:lineRule="auto"/>
        <w:tabs>
          <w:tab w:leader="none" w:pos="1307"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w:t>
      </w:r>
    </w:p>
    <w:p>
      <w:pPr>
        <w:spacing w:after="0" w:line="1" w:lineRule="exact"/>
        <w:rPr>
          <w:rFonts w:ascii="Arial" w:cs="Arial" w:eastAsia="Arial" w:hAnsi="Arial"/>
          <w:sz w:val="16"/>
          <w:szCs w:val="16"/>
          <w:color w:val="auto"/>
        </w:rPr>
      </w:pPr>
    </w:p>
    <w:p>
      <w:pPr>
        <w:jc w:val="both"/>
        <w:ind w:right="100" w:firstLine="8"/>
        <w:spacing w:after="0" w:line="273" w:lineRule="auto"/>
        <w:tabs>
          <w:tab w:leader="none" w:pos="31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Certificate of Merger</w:t>
      </w:r>
      <w:r>
        <w:rPr>
          <w:rFonts w:ascii="Arial" w:cs="Arial" w:eastAsia="Arial" w:hAnsi="Arial"/>
          <w:sz w:val="18"/>
          <w:szCs w:val="18"/>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i w:val="1"/>
          <w:iCs w:val="1"/>
          <w:color w:val="auto"/>
        </w:rPr>
        <w:t>Effect of Merger, Consolidation or Conversion</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59" w:lineRule="auto"/>
        <w:tabs>
          <w:tab w:leader="none" w:pos="197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6" w:lineRule="exact"/>
        <w:rPr>
          <w:rFonts w:ascii="Arial" w:cs="Arial" w:eastAsia="Arial" w:hAnsi="Arial"/>
          <w:sz w:val="18"/>
          <w:szCs w:val="18"/>
          <w:color w:val="auto"/>
        </w:rPr>
      </w:pPr>
    </w:p>
    <w:p>
      <w:pPr>
        <w:ind w:left="660" w:right="140" w:firstLine="645"/>
        <w:spacing w:after="0" w:line="277" w:lineRule="auto"/>
        <w:tabs>
          <w:tab w:leader="none" w:pos="198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170" w:lineRule="exact"/>
        <w:rPr>
          <w:rFonts w:ascii="Arial" w:cs="Arial" w:eastAsia="Arial" w:hAnsi="Arial"/>
          <w:sz w:val="18"/>
          <w:szCs w:val="18"/>
          <w:color w:val="auto"/>
        </w:rPr>
      </w:pPr>
    </w:p>
    <w:p>
      <w:pPr>
        <w:ind w:left="660" w:right="700" w:firstLine="645"/>
        <w:spacing w:after="0" w:line="277" w:lineRule="auto"/>
        <w:tabs>
          <w:tab w:leader="none" w:pos="199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all rights of creditors and all liens on or security interests in property of any of those constituent business entities shall be preserved unimpaired; and</w:t>
      </w:r>
    </w:p>
    <w:p>
      <w:pPr>
        <w:spacing w:after="0" w:line="170" w:lineRule="exact"/>
        <w:rPr>
          <w:rFonts w:ascii="Arial" w:cs="Arial" w:eastAsia="Arial" w:hAnsi="Arial"/>
          <w:sz w:val="18"/>
          <w:szCs w:val="18"/>
          <w:color w:val="auto"/>
        </w:rPr>
      </w:pPr>
    </w:p>
    <w:p>
      <w:pPr>
        <w:ind w:left="660" w:right="500" w:firstLine="645"/>
        <w:spacing w:after="0" w:line="277" w:lineRule="auto"/>
        <w:tabs>
          <w:tab w:leader="none" w:pos="1973"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At the effective time of the certificate of conversion, for all purposes of the laws of the State of Delaware:</w:t>
      </w:r>
    </w:p>
    <w:p>
      <w:pPr>
        <w:sectPr>
          <w:pgSz w:w="11900" w:h="16874" w:orient="portrait"/>
          <w:cols w:equalWidth="0" w:num="1">
            <w:col w:w="11400"/>
          </w:cols>
          <w:pgMar w:left="240" w:top="125" w:right="259" w:bottom="0" w:gutter="0" w:footer="0" w:header="0"/>
        </w:sectPr>
      </w:pPr>
    </w:p>
    <w:bookmarkStart w:id="158" w:name="page159"/>
    <w:bookmarkEnd w:id="158"/>
    <w:p>
      <w:pPr>
        <w:spacing w:after="0" w:line="88" w:lineRule="exact"/>
        <w:rPr>
          <w:sz w:val="20"/>
          <w:szCs w:val="20"/>
          <w:color w:val="auto"/>
        </w:rPr>
      </w:pPr>
    </w:p>
    <w:p>
      <w:pPr>
        <w:ind w:left="660" w:right="60" w:firstLine="645"/>
        <w:spacing w:after="0" w:line="277" w:lineRule="auto"/>
        <w:tabs>
          <w:tab w:leader="none" w:pos="197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Partnership shall continue to exist, without interruption, but in the organizational form of the converted entity rather than in its prior organizational form;</w:t>
      </w:r>
    </w:p>
    <w:p>
      <w:pPr>
        <w:spacing w:after="0" w:line="170" w:lineRule="exact"/>
        <w:rPr>
          <w:rFonts w:ascii="Arial" w:cs="Arial" w:eastAsia="Arial" w:hAnsi="Arial"/>
          <w:sz w:val="18"/>
          <w:szCs w:val="18"/>
          <w:color w:val="auto"/>
        </w:rPr>
      </w:pPr>
    </w:p>
    <w:p>
      <w:pPr>
        <w:jc w:val="both"/>
        <w:ind w:left="660" w:right="300" w:firstLine="645"/>
        <w:spacing w:after="0" w:line="264" w:lineRule="auto"/>
        <w:tabs>
          <w:tab w:leader="none" w:pos="198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9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liabilities and obligations of the Partnership shall continue to be liabilities and obligations of the converted entity in its new organizational form without impairment or diminution by reason of the conversion;</w:t>
      </w:r>
    </w:p>
    <w:p>
      <w:pPr>
        <w:spacing w:after="0" w:line="170" w:lineRule="exact"/>
        <w:rPr>
          <w:rFonts w:ascii="Arial" w:cs="Arial" w:eastAsia="Arial" w:hAnsi="Arial"/>
          <w:sz w:val="18"/>
          <w:szCs w:val="18"/>
          <w:color w:val="auto"/>
        </w:rPr>
      </w:pPr>
    </w:p>
    <w:p>
      <w:pPr>
        <w:ind w:left="660" w:right="60" w:firstLine="645"/>
        <w:spacing w:after="0" w:line="259" w:lineRule="auto"/>
        <w:tabs>
          <w:tab w:leader="none" w:pos="197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77" w:lineRule="auto"/>
        <w:tabs>
          <w:tab w:leader="none" w:pos="130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merger, consolidation or conversion effected pursuant to this Article shall not be deemed to result in a transfer or assignment of assets or liabilities from one entity to another.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i w:val="1"/>
          <w:iCs w:val="1"/>
          <w:color w:val="auto"/>
        </w:rPr>
        <w:t>Amendment of Partnership Agreement</w:t>
      </w:r>
      <w:r>
        <w:rPr>
          <w:rFonts w:ascii="Arial" w:cs="Arial" w:eastAsia="Arial" w:hAnsi="Arial"/>
          <w:sz w:val="18"/>
          <w:szCs w:val="18"/>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 TO ACQUIRE LIMITED PARTNER INTERESTS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i w:val="1"/>
          <w:iCs w:val="1"/>
          <w:color w:val="auto"/>
        </w:rPr>
        <w:t>Right to Acquire Limited Partner Interests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129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principal National Securities Exchange on which such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47" w:lineRule="exact"/>
        <w:rPr>
          <w:sz w:val="20"/>
          <w:szCs w:val="20"/>
          <w:color w:val="auto"/>
        </w:rPr>
      </w:pPr>
    </w:p>
    <w:p>
      <w:pPr>
        <w:ind w:firstLine="656"/>
        <w:spacing w:after="0" w:line="287" w:lineRule="auto"/>
        <w:tabs>
          <w:tab w:leader="none" w:pos="130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6"/>
          <w:szCs w:val="16"/>
          <w:b w:val="1"/>
          <w:bCs w:val="1"/>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Election to Purchase</w:t>
      </w:r>
      <w:r>
        <w:rPr>
          <w:rFonts w:ascii="Arial" w:cs="Arial" w:eastAsia="Arial" w:hAnsi="Arial"/>
          <w:sz w:val="16"/>
          <w:szCs w:val="16"/>
          <w:color w:val="auto"/>
        </w:rPr>
        <w:t>”) and shall cause the Transfer Agent to mail a copy of such Notice of Election to Purchase to the Record Holders of Limited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w:t>
      </w:r>
    </w:p>
    <w:p>
      <w:pPr>
        <w:sectPr>
          <w:pgSz w:w="11900" w:h="16927" w:orient="portrait"/>
          <w:cols w:equalWidth="0" w:num="1">
            <w:col w:w="11400"/>
          </w:cols>
          <w:pgMar w:left="240" w:top="342" w:right="259" w:bottom="0" w:gutter="0" w:footer="0" w:header="0"/>
        </w:sectPr>
      </w:pPr>
    </w:p>
    <w:bookmarkStart w:id="159" w:name="page160"/>
    <w:bookmarkEnd w:id="159"/>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175" w:lineRule="exact"/>
        <w:rPr>
          <w:sz w:val="20"/>
          <w:szCs w:val="20"/>
          <w:color w:val="auto"/>
        </w:rPr>
      </w:pPr>
    </w:p>
    <w:p>
      <w:pPr>
        <w:ind w:right="260" w:firstLine="656"/>
        <w:spacing w:after="0" w:line="277" w:lineRule="auto"/>
        <w:tabs>
          <w:tab w:leader="none" w:pos="130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At any time from and after the Purchase Date, a holder of an Outstanding Limited Partner Interest subject to purchase as provided in this Section 15.1 may surrender his Certificate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evidencing such Limited Partner Interest, or other evidence of the issuance of uncertificated Shares, to the Transfer Agent in exchange for payment of the amount described in Section 15.1(a), therefor, without interest thereon.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16.1 </w:t>
      </w:r>
      <w:r>
        <w:rPr>
          <w:rFonts w:ascii="Arial" w:cs="Arial" w:eastAsia="Arial" w:hAnsi="Arial"/>
          <w:sz w:val="16"/>
          <w:szCs w:val="16"/>
          <w:i w:val="1"/>
          <w:iCs w:val="1"/>
          <w:color w:val="auto"/>
        </w:rPr>
        <w:t>Addresses and Notices</w:t>
      </w:r>
      <w:r>
        <w:rPr>
          <w:rFonts w:ascii="Arial" w:cs="Arial" w:eastAsia="Arial" w:hAnsi="Arial"/>
          <w:sz w:val="16"/>
          <w:szCs w:val="16"/>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16.2 </w:t>
      </w:r>
      <w:r>
        <w:rPr>
          <w:rFonts w:ascii="Arial" w:cs="Arial" w:eastAsia="Arial" w:hAnsi="Arial"/>
          <w:sz w:val="18"/>
          <w:szCs w:val="18"/>
          <w:i w:val="1"/>
          <w:iCs w:val="1"/>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i w:val="1"/>
          <w:iCs w:val="1"/>
          <w:color w:val="auto"/>
        </w:rPr>
        <w:t>Integration</w:t>
      </w:r>
      <w:r>
        <w:rPr>
          <w:rFonts w:ascii="Arial" w:cs="Arial" w:eastAsia="Arial" w:hAnsi="Arial"/>
          <w:sz w:val="18"/>
          <w:szCs w:val="18"/>
          <w:color w:val="auto"/>
        </w:rPr>
        <w:t>. 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16.5 </w:t>
      </w:r>
      <w:r>
        <w:rPr>
          <w:rFonts w:ascii="Arial" w:cs="Arial" w:eastAsia="Arial" w:hAnsi="Arial"/>
          <w:sz w:val="18"/>
          <w:szCs w:val="18"/>
          <w:i w:val="1"/>
          <w:iCs w:val="1"/>
          <w:color w:val="auto"/>
        </w:rPr>
        <w:t>Creditors</w:t>
      </w:r>
      <w:r>
        <w:rPr>
          <w:rFonts w:ascii="Arial" w:cs="Arial" w:eastAsia="Arial" w:hAnsi="Arial"/>
          <w:sz w:val="18"/>
          <w:szCs w:val="18"/>
          <w:color w:val="auto"/>
        </w:rPr>
        <w:t>. None of the provisions of this Agreement shall be for the benefit of, or shall be enforceable by, any creditor of the Partnership.</w:t>
      </w:r>
    </w:p>
    <w:p>
      <w:pPr>
        <w:spacing w:after="0" w:line="170"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 xml:space="preserve">Section 16.6 </w:t>
      </w:r>
      <w:r>
        <w:rPr>
          <w:rFonts w:ascii="Arial" w:cs="Arial" w:eastAsia="Arial" w:hAnsi="Arial"/>
          <w:sz w:val="18"/>
          <w:szCs w:val="18"/>
          <w:i w:val="1"/>
          <w:iCs w:val="1"/>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Section 16.7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16.8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16.9</w:t>
      </w:r>
      <w:r>
        <w:rPr>
          <w:sz w:val="20"/>
          <w:szCs w:val="20"/>
          <w:color w:val="auto"/>
        </w:rPr>
        <w:tab/>
      </w:r>
      <w:r>
        <w:rPr>
          <w:rFonts w:ascii="Arial" w:cs="Arial" w:eastAsia="Arial" w:hAnsi="Arial"/>
          <w:sz w:val="16"/>
          <w:szCs w:val="16"/>
          <w:i w:val="1"/>
          <w:iCs w:val="1"/>
          <w:color w:val="auto"/>
        </w:rPr>
        <w:t>Applicable Law; Forum; Venue and Jurisdiction; Waiver of Trial by Jury</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77" w:lineRule="auto"/>
        <w:tabs>
          <w:tab w:leader="none" w:pos="129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ectPr>
          <w:pgSz w:w="11900" w:h="16929" w:orient="portrait"/>
          <w:cols w:equalWidth="0" w:num="1">
            <w:col w:w="11420"/>
          </w:cols>
          <w:pgMar w:left="240" w:top="125" w:right="239" w:bottom="0" w:gutter="0" w:footer="0" w:header="0"/>
        </w:sectPr>
      </w:pPr>
    </w:p>
    <w:bookmarkStart w:id="160" w:name="page161"/>
    <w:bookmarkEnd w:id="160"/>
    <w:p>
      <w:pPr>
        <w:ind w:right="580" w:firstLine="656"/>
        <w:spacing w:after="0" w:line="277" w:lineRule="auto"/>
        <w:tabs>
          <w:tab w:leader="none" w:pos="130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70" w:lineRule="exact"/>
        <w:rPr>
          <w:rFonts w:ascii="Arial" w:cs="Arial" w:eastAsia="Arial" w:hAnsi="Arial"/>
          <w:sz w:val="18"/>
          <w:szCs w:val="18"/>
          <w:color w:val="auto"/>
        </w:rPr>
      </w:pPr>
    </w:p>
    <w:p>
      <w:pPr>
        <w:ind w:left="660" w:firstLine="645"/>
        <w:spacing w:after="0" w:line="289" w:lineRule="auto"/>
        <w:tabs>
          <w:tab w:leader="none" w:pos="1978" w:val="left"/>
        </w:tabs>
        <w:numPr>
          <w:ilvl w:val="1"/>
          <w:numId w:val="405"/>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66" w:lineRule="exact"/>
        <w:rPr>
          <w:rFonts w:ascii="Arial" w:cs="Arial" w:eastAsia="Arial" w:hAnsi="Arial"/>
          <w:sz w:val="16"/>
          <w:szCs w:val="16"/>
          <w:color w:val="auto"/>
        </w:rPr>
      </w:pPr>
    </w:p>
    <w:p>
      <w:pPr>
        <w:ind w:left="660" w:right="40" w:firstLine="645"/>
        <w:spacing w:after="0" w:line="264" w:lineRule="auto"/>
        <w:tabs>
          <w:tab w:leader="none" w:pos="198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9" w:lineRule="auto"/>
        <w:tabs>
          <w:tab w:leader="none" w:pos="199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36" w:lineRule="exact"/>
        <w:rPr>
          <w:rFonts w:ascii="Arial" w:cs="Arial" w:eastAsia="Arial" w:hAnsi="Arial"/>
          <w:sz w:val="17"/>
          <w:szCs w:val="17"/>
          <w:color w:val="auto"/>
        </w:rPr>
      </w:pPr>
    </w:p>
    <w:p>
      <w:pPr>
        <w:ind w:left="660" w:right="20" w:firstLine="645"/>
        <w:spacing w:after="0" w:line="259" w:lineRule="auto"/>
        <w:tabs>
          <w:tab w:leader="none" w:pos="196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8"/>
          <w:szCs w:val="18"/>
          <w:i w:val="1"/>
          <w:iCs w:val="1"/>
          <w:color w:val="auto"/>
        </w:rPr>
        <w:t>provided</w:t>
      </w:r>
      <w:r>
        <w:rPr>
          <w:rFonts w:ascii="Arial" w:cs="Arial" w:eastAsia="Arial" w:hAnsi="Arial"/>
          <w:sz w:val="18"/>
          <w:szCs w:val="18"/>
          <w:color w:val="auto"/>
        </w:rPr>
        <w:t>, nothing in clause (v) hereof shall affect or limit any right to serve process in any other manner permitted by law.</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i w:val="1"/>
          <w:iCs w:val="1"/>
          <w:color w:val="auto"/>
        </w:rPr>
        <w:t>Invalidity of Provisions</w:t>
      </w:r>
      <w:r>
        <w:rPr>
          <w:rFonts w:ascii="Arial" w:cs="Arial" w:eastAsia="Arial" w:hAnsi="Arial"/>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i w:val="1"/>
          <w:iCs w:val="1"/>
          <w:color w:val="auto"/>
        </w:rPr>
        <w:t>Consent of Partners</w:t>
      </w:r>
      <w:r>
        <w:rPr>
          <w:rFonts w:ascii="Arial" w:cs="Arial" w:eastAsia="Arial" w:hAnsi="Arial"/>
          <w:sz w:val="18"/>
          <w:szCs w:val="18"/>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i w:val="1"/>
          <w:iCs w:val="1"/>
          <w:color w:val="auto"/>
        </w:rPr>
        <w:t>Facsimile Signatures</w:t>
      </w:r>
      <w:r>
        <w:rPr>
          <w:rFonts w:ascii="Arial" w:cs="Arial" w:eastAsia="Arial" w:hAnsi="Arial"/>
          <w:sz w:val="18"/>
          <w:szCs w:val="18"/>
          <w:color w:val="auto"/>
        </w:rPr>
        <w:t>. The use of facsimile signatures affixed in the name and on behalf of the transfer agent and registrar of the Partnership on certificates representing Class A Shares is expressly permitted by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GENERAL PARTNER:</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tabs>
          <w:tab w:leader="none" w:pos="60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8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Second Amended and Restated Agreement of Limited Partnership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SEVENTH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COMPANY AGREEMENT</w:t>
      </w:r>
    </w:p>
    <w:p>
      <w:pPr>
        <w:sectPr>
          <w:pgSz w:w="11900" w:h="16838" w:orient="portrait"/>
          <w:cols w:equalWidth="0" w:num="1">
            <w:col w:w="11400"/>
          </w:cols>
          <w:pgMar w:left="240" w:top="341" w:right="259" w:bottom="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800" w:type="dxa"/>
            <w:vAlign w:val="bottom"/>
            <w:gridSpan w:val="2"/>
          </w:tcPr>
          <w:p>
            <w:pPr>
              <w:jc w:val="center"/>
              <w:ind w:right="3900"/>
              <w:spacing w:after="0"/>
              <w:rPr>
                <w:sz w:val="20"/>
                <w:szCs w:val="20"/>
                <w:color w:val="auto"/>
              </w:rPr>
            </w:pPr>
            <w:r>
              <w:rPr>
                <w:rFonts w:ascii="Arial" w:cs="Arial" w:eastAsia="Arial" w:hAnsi="Arial"/>
                <w:sz w:val="18"/>
                <w:szCs w:val="18"/>
                <w:b w:val="1"/>
                <w:bCs w:val="1"/>
                <w:color w:val="auto"/>
              </w:rPr>
              <w:t>OF</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00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rPr>
              <w:t>PLAINS ALL AMERICAN GP LLC</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0" w:type="dxa"/>
            <w:vAlign w:val="bottom"/>
            <w:gridSpan w:val="2"/>
          </w:tcPr>
          <w:p>
            <w:pPr>
              <w:jc w:val="center"/>
              <w:ind w:right="3880"/>
              <w:spacing w:after="0"/>
              <w:rPr>
                <w:sz w:val="20"/>
                <w:szCs w:val="20"/>
                <w:color w:val="auto"/>
              </w:rPr>
            </w:pPr>
            <w:r>
              <w:rPr>
                <w:rFonts w:ascii="Arial" w:cs="Arial" w:eastAsia="Arial" w:hAnsi="Arial"/>
                <w:sz w:val="18"/>
                <w:szCs w:val="18"/>
                <w:color w:val="auto"/>
                <w:w w:val="89"/>
              </w:rPr>
              <w:t>dated as of [·], 2016</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0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40"/>
        </w:trPr>
        <w:tc>
          <w:tcPr>
            <w:tcW w:w="500" w:type="dxa"/>
            <w:vAlign w:val="bottom"/>
          </w:tcPr>
          <w:p>
            <w:pPr>
              <w:spacing w:after="0"/>
              <w:rPr>
                <w:sz w:val="24"/>
                <w:szCs w:val="24"/>
                <w:color w:val="auto"/>
              </w:rPr>
            </w:pPr>
          </w:p>
        </w:tc>
        <w:tc>
          <w:tcPr>
            <w:tcW w:w="100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560" w:type="dxa"/>
            <w:vAlign w:val="bottom"/>
            <w:gridSpan w:val="4"/>
          </w:tcPr>
          <w:p>
            <w:pPr>
              <w:spacing w:after="0"/>
              <w:rPr>
                <w:sz w:val="20"/>
                <w:szCs w:val="20"/>
                <w:color w:val="auto"/>
              </w:rPr>
            </w:pPr>
            <w:r>
              <w:rPr>
                <w:rFonts w:ascii="Arial" w:cs="Arial" w:eastAsia="Arial" w:hAnsi="Arial"/>
                <w:sz w:val="18"/>
                <w:szCs w:val="18"/>
                <w:color w:val="auto"/>
              </w:rPr>
              <w:t>ARTICLE 1 DEFINITIONS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2 GENERAL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Formation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Principal Office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Registered Office and Registered Agent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Purpose of the Company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Date of Dissolution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Qualification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Sole Member</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Reliance by Third Parties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3 CAPITALIZATION OF THE COMPANY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Capital Contributions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Loans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4 DISTRIBUTIONS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Distributions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Limitation on Distributions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5 MANAGEMENT AND CONTROL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Authority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Conflicts Committee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Compensation of Conflicts Committee Members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5.4</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Conflicts Committee Members as Agents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5.5</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Officers; Agents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6 LIABILITY AND INDEMNIFICATION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6.1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Limitation on Liability of the Sole Member, Conflicts Committee Members and Officers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6.2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Indemnification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7 DISSOLUTION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Dissolution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8 MISCELLANEOUS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Waiver of Default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Amendment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8.3</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No Third Party Rights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8.4</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Severability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8.5</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Nature of Interest in the Company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0" w:type="dxa"/>
            <w:vAlign w:val="bottom"/>
            <w:gridSpan w:val="2"/>
          </w:tcPr>
          <w:p>
            <w:pPr>
              <w:jc w:val="center"/>
              <w:ind w:right="3900"/>
              <w:spacing w:after="0"/>
              <w:rPr>
                <w:sz w:val="20"/>
                <w:szCs w:val="20"/>
                <w:color w:val="auto"/>
              </w:rPr>
            </w:pPr>
            <w:r>
              <w:rPr>
                <w:rFonts w:ascii="Arial" w:cs="Arial" w:eastAsia="Arial" w:hAnsi="Arial"/>
                <w:sz w:val="18"/>
                <w:szCs w:val="18"/>
                <w:color w:val="auto"/>
              </w:rPr>
              <w:t>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gridSpan w:val="2"/>
          </w:tcPr>
          <w:p>
            <w:pPr>
              <w:spacing w:after="0"/>
              <w:rPr>
                <w:sz w:val="11"/>
                <w:szCs w:val="11"/>
                <w:color w:val="auto"/>
              </w:rPr>
            </w:pPr>
          </w:p>
        </w:tc>
      </w:tr>
      <w:tr>
        <w:trPr>
          <w:trHeight w:val="766"/>
        </w:trPr>
        <w:tc>
          <w:tcPr>
            <w:tcW w:w="500" w:type="dxa"/>
            <w:vAlign w:val="bottom"/>
          </w:tcPr>
          <w:p>
            <w:pPr>
              <w:spacing w:after="0"/>
              <w:rPr>
                <w:sz w:val="20"/>
                <w:szCs w:val="20"/>
                <w:color w:val="auto"/>
              </w:rPr>
            </w:pPr>
            <w:r>
              <w:rPr>
                <w:rFonts w:ascii="Arial" w:cs="Arial" w:eastAsia="Arial" w:hAnsi="Arial"/>
                <w:sz w:val="18"/>
                <w:szCs w:val="18"/>
                <w:color w:val="auto"/>
              </w:rPr>
              <w:t>8.6</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Binding Agreement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8.7</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Headings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8.8</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Word Meanings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8.9</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Counterparts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8.10</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Entire Agreement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8.11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Governing Law; Consent to Jurisdiction and Venue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-8903335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-8903335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302" w:gutter="0" w:footer="0" w:header="0"/>
        </w:sectPr>
      </w:pPr>
    </w:p>
    <w:bookmarkStart w:id="162" w:name="page163"/>
    <w:bookmarkEnd w:id="162"/>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SEVENTH AMENDED AND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GP LLC</w:t>
      </w:r>
    </w:p>
    <w:p>
      <w:pPr>
        <w:spacing w:after="0" w:line="21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THIS SEVENTH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Plains All American GP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and entered into as of [·], 2016, by Plains GP Holdings, L.P., a Delaware limited partnership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and the sole member of the Company.</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WHEREAS, the Company was formed on May 21, 2001 as a limited liability company under the Act (as defined herein) by the filing of the Certificate (as defined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100% of the membership interests of the Company are held by PAGP;</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the Company holds (a) a non-economic general partner interest in Plains AAP, L.P., a Delaware limited partnership (“</w:t>
      </w:r>
      <w:r>
        <w:rPr>
          <w:rFonts w:ascii="Arial" w:cs="Arial" w:eastAsia="Arial" w:hAnsi="Arial"/>
          <w:sz w:val="18"/>
          <w:szCs w:val="18"/>
          <w:b w:val="1"/>
          <w:bCs w:val="1"/>
          <w:i w:val="1"/>
          <w:iCs w:val="1"/>
          <w:color w:val="auto"/>
        </w:rPr>
        <w:t>AAP</w:t>
      </w:r>
      <w:r>
        <w:rPr>
          <w:rFonts w:ascii="Arial" w:cs="Arial" w:eastAsia="Arial" w:hAnsi="Arial"/>
          <w:sz w:val="18"/>
          <w:szCs w:val="18"/>
          <w:color w:val="auto"/>
        </w:rPr>
        <w:t>”) and (b) [·] Class A Units of AAP; and</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WHEREAS, PAGP desires to amend and restate the Sixth Amended and Restated Limited Liability Company Agreement of the Company, as amended, in its entirety with the terms and conditions set forth herein.</w:t>
      </w:r>
    </w:p>
    <w:p>
      <w:pPr>
        <w:spacing w:after="0" w:line="170"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NOW, THEREFORE, in consideration of the premises and the mutual agreements contained herein, the parties amend and restate the Sixth Amended and Restated Limited Liability Company Agreement of the Company, dated as of October 21, 2013, and agree as follows: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Eighth Amended and Restated Limited Partnership Agreement of AAP,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has the meaning set forth in the preamble hereof, as such may be amended, modified, supplemented or restated from time to time.</w:t>
      </w:r>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of the Company filed with the Secretary of State of Delaware, as amended, modified, supplemented or restated from time to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each of the Company and its Subsidiaries, but excluding the MLP and its Subsidiaries.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means a committee appointed by the Sole Member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that satisfies the requirements for a “Conflicts Committee” as set forth in the definition of such term in the MLP Partnership Agreement. Notwithstanding the foregoing, an individual shall not be disqualified from serving on the Conflicts Committee by virtue of such individual also serving as a director on the Holdings GP Board (or the governing body of any successor of Holdings GP).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w:t>
      </w:r>
      <w:r>
        <w:rPr>
          <w:rFonts w:ascii="Arial" w:cs="Arial" w:eastAsia="Arial" w:hAnsi="Arial"/>
          <w:sz w:val="18"/>
          <w:szCs w:val="18"/>
          <w:color w:val="auto"/>
        </w:rPr>
        <w:t>” means PAA GP Holdings LLC, a Delaware limited liability company and the general partner of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Board</w:t>
      </w:r>
      <w:r>
        <w:rPr>
          <w:rFonts w:ascii="Arial" w:cs="Arial" w:eastAsia="Arial" w:hAnsi="Arial"/>
          <w:sz w:val="18"/>
          <w:szCs w:val="18"/>
          <w:color w:val="auto"/>
        </w:rPr>
        <w:t>” means the Board of Directors of Holdings GP.</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GP LLC Agreement</w:t>
      </w:r>
      <w:r>
        <w:rPr>
          <w:rFonts w:ascii="Arial" w:cs="Arial" w:eastAsia="Arial" w:hAnsi="Arial"/>
          <w:sz w:val="17"/>
          <w:szCs w:val="17"/>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means (a) the Sole Member, (b) any Existing Owner, (c) any Qualifying Interest Holder, (d) any Person who is or was an Affiliate of the Sole Member, any Existing Owner or any Qualifying Interest Holder, (e) any Person who is or was a managing member, manager, general partner, director, officer, fiduciary, agent or trustee of any Group Member, the Sole Member, any Existing Owner or any Qualifying Interest Holder or any Affiliate of any Group Member, the Sole Member, any Existing Owner or any Qualifying Interest Holder, (f) any Person who is or was serving at the request of the Sole Member, any Existing Owner or any Qualifying Interest Holder or any Affiliate of the Sole Member, any Existing Owner or any Qualifying Interest Holder as a member, manager, partner, director, Conflicts Committee Member,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Sole Member designates as an “Indemnitee” for purposes of this Agreement.</w:t>
      </w:r>
    </w:p>
    <w:p>
      <w:pPr>
        <w:sectPr>
          <w:pgSz w:w="11900" w:h="16853" w:orient="portrait"/>
          <w:cols w:equalWidth="0" w:num="1">
            <w:col w:w="11400"/>
          </w:cols>
          <w:pgMar w:left="240" w:top="121" w:right="259" w:bottom="0" w:gutter="0" w:footer="0" w:header="0"/>
        </w:sectPr>
      </w:pPr>
    </w:p>
    <w:bookmarkStart w:id="163" w:name="page164"/>
    <w:bookmarkEnd w:id="163"/>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the entire limited liability company interest of the Sole Member in the Company and all rights and interests in the Company associated therewith, all as provided in this Agreement and the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Partnership Agreement</w:t>
      </w:r>
      <w:r>
        <w:rPr>
          <w:rFonts w:ascii="Arial" w:cs="Arial" w:eastAsia="Arial" w:hAnsi="Arial"/>
          <w:sz w:val="18"/>
          <w:szCs w:val="18"/>
          <w:color w:val="auto"/>
        </w:rPr>
        <w:t>” means the Sixth Amended and Restated Agreement of Limited Partnership of the MLP,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any certificate of formation, certificate of limited partnership, limited liability company agreement, limited partnership agreement or similar governing documents.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LP Agreement</w:t>
      </w:r>
      <w:r>
        <w:rPr>
          <w:rFonts w:ascii="Arial" w:cs="Arial" w:eastAsia="Arial" w:hAnsi="Arial"/>
          <w:sz w:val="17"/>
          <w:szCs w:val="17"/>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means any “Significant Subsidiary” (as defined in Rule 1-02(w) of Regulation S-X promulgated by the Commission, as the same may be amended) of any member of the Company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Sole Member</w:t>
      </w:r>
      <w:r>
        <w:rPr>
          <w:rFonts w:ascii="Arial" w:cs="Arial" w:eastAsia="Arial" w:hAnsi="Arial"/>
          <w:sz w:val="18"/>
          <w:szCs w:val="18"/>
          <w:color w:val="auto"/>
        </w:rPr>
        <w:t>” means PAGP, its successors or assigns, in each case, in its capacity as the sole member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Approval</w:t>
      </w:r>
      <w:r>
        <w:rPr>
          <w:rFonts w:ascii="Arial" w:cs="Arial" w:eastAsia="Arial" w:hAnsi="Arial"/>
          <w:sz w:val="18"/>
          <w:szCs w:val="18"/>
          <w:color w:val="auto"/>
        </w:rPr>
        <w:t>” has the meaning set forth in the MLP Partnership Agreement.</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GENERAL</w:t>
      </w:r>
    </w:p>
    <w:p>
      <w:pPr>
        <w:spacing w:after="0" w:line="207" w:lineRule="exact"/>
        <w:rPr>
          <w:sz w:val="20"/>
          <w:szCs w:val="20"/>
          <w:color w:val="auto"/>
        </w:rPr>
      </w:pPr>
    </w:p>
    <w:p>
      <w:pPr>
        <w:jc w:val="both"/>
        <w:ind w:right="100" w:firstLine="648"/>
        <w:spacing w:after="0" w:line="28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Formation</w:t>
      </w:r>
      <w:r>
        <w:rPr>
          <w:rFonts w:ascii="Arial" w:cs="Arial" w:eastAsia="Arial" w:hAnsi="Arial"/>
          <w:sz w:val="17"/>
          <w:szCs w:val="17"/>
          <w:color w:val="auto"/>
        </w:rPr>
        <w:t>. The name of the Company is Plains All American GP LLC. The rights and liabilities of the Sole Member shall be as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Act for members except as provided herein. To the extent that the rights or obligations of the Sole Member are different by reason of any provision of this Agreement than they would be in the absence of such provision, to the extent permitted by the Act, this Agreement shall control.</w:t>
      </w:r>
    </w:p>
    <w:p>
      <w:pPr>
        <w:spacing w:after="0" w:line="15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place(s) as the Sole Member may determine from time to time.</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shall be as stated in the Certificate or as determined from time to time by the Sole Member.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7" w:lineRule="exact"/>
        <w:rPr>
          <w:sz w:val="20"/>
          <w:szCs w:val="20"/>
          <w:color w:val="auto"/>
        </w:rPr>
      </w:pPr>
    </w:p>
    <w:p>
      <w:pPr>
        <w:ind w:right="20" w:firstLine="8"/>
        <w:spacing w:after="0" w:line="261" w:lineRule="auto"/>
        <w:tabs>
          <w:tab w:leader="none" w:pos="24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to act as the general partner and a limited partner of AAP in accordance with the terms of the AAP Partnership Agreement and (b) to engage in any and all activities necessary, advisable, convenient or incidental to the foregoing.</w:t>
      </w:r>
    </w:p>
    <w:p>
      <w:pPr>
        <w:spacing w:after="0" w:line="180" w:lineRule="exact"/>
        <w:rPr>
          <w:sz w:val="20"/>
          <w:szCs w:val="20"/>
          <w:color w:val="auto"/>
        </w:rPr>
      </w:pPr>
    </w:p>
    <w:p>
      <w:pPr>
        <w:ind w:right="480" w:firstLine="648"/>
        <w:spacing w:after="0" w:line="313"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The Company shall have perpetual existence unless the Company is dissolved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existence of the Company as a separate legal entity shall continue until cancellation of the Certificate in the manner required by the Act.</w:t>
      </w:r>
    </w:p>
    <w:p>
      <w:pPr>
        <w:spacing w:after="0" w:line="138"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and Chief Executive Officer, any Vice President, the Secretary and any Assistant Secretary of the Company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ectPr>
          <w:pgSz w:w="11900" w:h="16838" w:orient="portrait"/>
          <w:cols w:equalWidth="0" w:num="1">
            <w:col w:w="11400"/>
          </w:cols>
          <w:pgMar w:left="240" w:top="342" w:right="259" w:bottom="0" w:gutter="0" w:footer="0" w:header="0"/>
        </w:sectPr>
      </w:pPr>
    </w:p>
    <w:bookmarkStart w:id="164" w:name="page165"/>
    <w:bookmarkEnd w:id="164"/>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u w:val="single" w:color="auto"/>
          <w:color w:val="auto"/>
        </w:rPr>
        <w:t>Sole Member</w:t>
      </w:r>
      <w:r>
        <w:rPr>
          <w:rFonts w:ascii="Arial" w:cs="Arial" w:eastAsia="Arial" w:hAnsi="Arial"/>
          <w:sz w:val="16"/>
          <w:szCs w:val="16"/>
          <w:color w:val="auto"/>
        </w:rPr>
        <w:t>.</w:t>
      </w:r>
    </w:p>
    <w:p>
      <w:pPr>
        <w:spacing w:after="0" w:line="229" w:lineRule="exact"/>
        <w:rPr>
          <w:sz w:val="20"/>
          <w:szCs w:val="20"/>
          <w:color w:val="auto"/>
        </w:rPr>
      </w:pPr>
    </w:p>
    <w:p>
      <w:pPr>
        <w:ind w:right="460" w:firstLine="656"/>
        <w:spacing w:after="0" w:line="277" w:lineRule="auto"/>
        <w:tabs>
          <w:tab w:leader="none" w:pos="129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Powers of Sole Member</w:t>
      </w:r>
      <w:r>
        <w:rPr>
          <w:rFonts w:ascii="Arial" w:cs="Arial" w:eastAsia="Arial" w:hAnsi="Arial"/>
          <w:sz w:val="18"/>
          <w:szCs w:val="18"/>
          <w:color w:val="auto"/>
        </w:rPr>
        <w:t>. The Sole Member shall have the power to exercise any and all rights or powers granted to the Sole Member pursuant to the express terms of this Agreement.</w:t>
      </w:r>
    </w:p>
    <w:p>
      <w:pPr>
        <w:spacing w:after="0" w:line="170"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Sole Member may not withdraw from the Company prior to the dissolution and winding up of the Company. The Sole Member will cease to be the Sole Member only upon: (i) the transfer of all of the Sole Member’s Membership Interest and the transferee’s admission as a substitute Sole Member, or (ii) completion of dissolution and winding up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86" w:lineRule="auto"/>
        <w:tabs>
          <w:tab w:leader="none" w:pos="1307"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The Membership Interest shall correspond to a “limited liability company interest” as is provided in the Act. The Company shall be the owner of the Property. The Sole Member shall not have any ownership interest or right in the Property, including Property conveyed by the Sole Member to the Company, except indirectly by virtue of the Sole Member’s ownership of the Membership Interest.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CAPITALIZATION OF THE COMPANY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u w:val="single" w:color="auto"/>
          <w:color w:val="auto"/>
        </w:rPr>
        <w:t>Capital Contributions</w:t>
      </w:r>
      <w:r>
        <w:rPr>
          <w:rFonts w:ascii="Arial" w:cs="Arial" w:eastAsia="Arial" w:hAnsi="Arial"/>
          <w:sz w:val="16"/>
          <w:szCs w:val="16"/>
          <w:color w:val="auto"/>
        </w:rPr>
        <w:t>. The Sole Member shall not be required to make any capital contributions to the capital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u w:val="single" w:color="auto"/>
          <w:color w:val="auto"/>
        </w:rPr>
        <w:t>Loans</w:t>
      </w:r>
      <w:r>
        <w:rPr>
          <w:rFonts w:ascii="Arial" w:cs="Arial" w:eastAsia="Arial" w:hAnsi="Arial"/>
          <w:sz w:val="15"/>
          <w:szCs w:val="15"/>
          <w:color w:val="auto"/>
        </w:rPr>
        <w:t>.</w:t>
      </w:r>
    </w:p>
    <w:p>
      <w:pPr>
        <w:spacing w:after="0" w:line="229" w:lineRule="exact"/>
        <w:rPr>
          <w:sz w:val="20"/>
          <w:szCs w:val="20"/>
          <w:color w:val="auto"/>
        </w:rPr>
      </w:pPr>
    </w:p>
    <w:p>
      <w:pPr>
        <w:ind w:right="60" w:firstLine="656"/>
        <w:spacing w:after="0" w:line="264" w:lineRule="auto"/>
        <w:tabs>
          <w:tab w:leader="none" w:pos="129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Sole Member shall not be obligated to loan funds to the Company. Loans by the Sole Member to the Company shall not be considered capital contributions. The amount of any such loan shall be a debt of the Company owed to the Sole Member in accordance with the terms and conditions upon which such loan is made.</w:t>
      </w:r>
    </w:p>
    <w:p>
      <w:pPr>
        <w:spacing w:after="0" w:line="181" w:lineRule="exact"/>
        <w:rPr>
          <w:rFonts w:ascii="Arial" w:cs="Arial" w:eastAsia="Arial" w:hAnsi="Arial"/>
          <w:sz w:val="18"/>
          <w:szCs w:val="18"/>
          <w:color w:val="auto"/>
        </w:rPr>
      </w:pPr>
    </w:p>
    <w:p>
      <w:pPr>
        <w:ind w:right="80" w:firstLine="656"/>
        <w:spacing w:after="0" w:line="264" w:lineRule="auto"/>
        <w:tabs>
          <w:tab w:leader="none" w:pos="130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Sole Member may (but shall not be obligated to) guarantee a loan made to the Company. If the Sole Member guarantees a loan made to the Company and is required to make payment pursuant to such guarantee to the maker of the loan, then the amounts so paid to the maker of the loan shall be treated as a loan by the Sole Member to the Company and not as a capital contribution.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0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Sole Member shall have sole discretion to determine the timing of any distribution and the aggregate amounts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distribution. Any distribution declared by the Sole Member shall be paid by the Company to the Sole Member.</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Notwithstanding any provision of this Agreement to the contrary, no distribution hereunder shall be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if such distribution would violate Section 18-607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CONTROL</w:t>
      </w:r>
    </w:p>
    <w:p>
      <w:pPr>
        <w:spacing w:after="0" w:line="207"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Authority</w:t>
      </w:r>
      <w:r>
        <w:rPr>
          <w:rFonts w:ascii="Arial" w:cs="Arial" w:eastAsia="Arial" w:hAnsi="Arial"/>
          <w:sz w:val="18"/>
          <w:szCs w:val="18"/>
          <w:color w:val="auto"/>
        </w:rPr>
        <w:t>. Except for those matters expressly delegated to the Conflicts Committee by the Sole Member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of the Company shall be exclusively vested in the Sole Member, and the powers of the Company shall be exercised under the authority of, and the business and affairs of the Company shall be managed under the direction of, the Sole Member.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Conflicts Committee</w:t>
      </w:r>
      <w:r>
        <w:rPr>
          <w:rFonts w:ascii="Arial" w:cs="Arial" w:eastAsia="Arial" w:hAnsi="Arial"/>
          <w:sz w:val="16"/>
          <w:szCs w:val="16"/>
          <w:color w:val="auto"/>
        </w:rPr>
        <w:t>.</w:t>
      </w:r>
    </w:p>
    <w:p>
      <w:pPr>
        <w:spacing w:after="0" w:line="229" w:lineRule="exact"/>
        <w:rPr>
          <w:sz w:val="20"/>
          <w:szCs w:val="20"/>
          <w:color w:val="auto"/>
        </w:rPr>
      </w:pPr>
    </w:p>
    <w:p>
      <w:pPr>
        <w:ind w:right="360" w:firstLine="656"/>
        <w:spacing w:after="0" w:line="259" w:lineRule="auto"/>
        <w:tabs>
          <w:tab w:leader="none" w:pos="129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Sole Member may from time to time establish a Conflicts Committee of the Company, which shall consist of at least two members (each, a “</w:t>
      </w:r>
      <w:r>
        <w:rPr>
          <w:rFonts w:ascii="Arial" w:cs="Arial" w:eastAsia="Arial" w:hAnsi="Arial"/>
          <w:sz w:val="18"/>
          <w:szCs w:val="18"/>
          <w:b w:val="1"/>
          <w:bCs w:val="1"/>
          <w:i w:val="1"/>
          <w:iCs w:val="1"/>
          <w:color w:val="auto"/>
        </w:rPr>
        <w:t>Conflicts Committee Member</w:t>
      </w:r>
      <w:r>
        <w:rPr>
          <w:rFonts w:ascii="Arial" w:cs="Arial" w:eastAsia="Arial" w:hAnsi="Arial"/>
          <w:sz w:val="18"/>
          <w:szCs w:val="18"/>
          <w:color w:val="auto"/>
        </w:rPr>
        <w:t>”). The Sole Member may, in its sole discretion, remove any Conflicts Committee Member at any time, with or without cause. Each Conflicts Committee Member shall hold office until his or her successor is appointed or until his or her earlier death, resignation or removal.</w:t>
      </w:r>
    </w:p>
    <w:p>
      <w:pPr>
        <w:spacing w:after="0" w:line="186" w:lineRule="exact"/>
        <w:rPr>
          <w:rFonts w:ascii="Arial" w:cs="Arial" w:eastAsia="Arial" w:hAnsi="Arial"/>
          <w:sz w:val="18"/>
          <w:szCs w:val="18"/>
          <w:color w:val="auto"/>
        </w:rPr>
      </w:pPr>
    </w:p>
    <w:p>
      <w:pPr>
        <w:ind w:right="100" w:firstLine="656"/>
        <w:spacing w:after="0" w:line="257" w:lineRule="auto"/>
        <w:tabs>
          <w:tab w:leader="none" w:pos="130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Conflicts Committee shall be responsible for (i) considering any matters regarding the business and affairs of the MLP referred or delegated to the Conflicts Committee by the Sole Member, in its sole discretion, which may include any matter for which the Sole Member seeks Special Approval, and (ii) performing such other functions as the Sole Member may assign from time to time. While serving on the Conflicts Committee, each Conflicts Committee Member shall abstain from all decision-making activities of the Holdings GP Board with respect to matters being considered by, or that have been assigned to, the Conflicts Committee.</w:t>
      </w:r>
    </w:p>
    <w:p>
      <w:pPr>
        <w:spacing w:after="0" w:line="18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Compensation of Conflicts Committee Members</w:t>
      </w:r>
      <w:r>
        <w:rPr>
          <w:rFonts w:ascii="Arial" w:cs="Arial" w:eastAsia="Arial" w:hAnsi="Arial"/>
          <w:sz w:val="18"/>
          <w:szCs w:val="18"/>
          <w:color w:val="auto"/>
        </w:rPr>
        <w:t>. Each Conflicts Committee Member shall be entitled to reimbursement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reasonable direct out-of-pocket expenses incurred by such Conflicts Committee Member in connection with attending Conflicts Committee meetings and such compensation as may be approved by the Sole Member.</w:t>
      </w:r>
    </w:p>
    <w:p>
      <w:pPr>
        <w:spacing w:after="0" w:line="176" w:lineRule="exact"/>
        <w:rPr>
          <w:sz w:val="20"/>
          <w:szCs w:val="20"/>
          <w:color w:val="auto"/>
        </w:rPr>
      </w:pPr>
    </w:p>
    <w:p>
      <w:pPr>
        <w:jc w:val="both"/>
        <w:ind w:right="260" w:firstLine="648"/>
        <w:spacing w:after="0" w:line="289"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Conflicts Committee Members as Agents</w:t>
      </w:r>
      <w:r>
        <w:rPr>
          <w:rFonts w:ascii="Arial" w:cs="Arial" w:eastAsia="Arial" w:hAnsi="Arial"/>
          <w:sz w:val="17"/>
          <w:szCs w:val="17"/>
          <w:color w:val="auto"/>
        </w:rPr>
        <w:t>. No Conflicts Committee Member, in such capacity, acting singly or with any other Conflicts</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Member, shall have any authority or right to act on behalf of or bind the Company other than by exercising the Conflicts Committee Member’s voting power as a member of the Conflicts Committee, unless specifically authorized by the Sole Member in each instance.</w:t>
      </w:r>
    </w:p>
    <w:p>
      <w:pPr>
        <w:sectPr>
          <w:pgSz w:w="11900" w:h="16838" w:orient="portrait"/>
          <w:cols w:equalWidth="0" w:num="1">
            <w:col w:w="11400"/>
          </w:cols>
          <w:pgMar w:left="240" w:top="121" w:right="259" w:bottom="0" w:gutter="0" w:footer="0" w:header="0"/>
        </w:sectPr>
      </w:pPr>
    </w:p>
    <w:bookmarkStart w:id="165" w:name="page166"/>
    <w:bookmarkEnd w:id="165"/>
    <w:p>
      <w:pPr>
        <w:spacing w:after="0" w:line="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Officers; Agents</w:t>
      </w:r>
      <w:r>
        <w:rPr>
          <w:rFonts w:ascii="Arial" w:cs="Arial" w:eastAsia="Arial" w:hAnsi="Arial"/>
          <w:sz w:val="18"/>
          <w:szCs w:val="18"/>
          <w:color w:val="auto"/>
        </w:rPr>
        <w:t>. The Sole Member shall have the power to appoint any Person or Persons as the Company’s officers (the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to act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 and to delegate to such Officers such of the powers as are granted to the Sole Member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Sole Member shall deem appropriate, which may include (but need not be limited to) President, Chief Executive Officer, Executive Vice President, Vice President, Chief Operating Officer, Chief Financial Officer, Treasurer, Controller or Secretary. The Officers as of the date hereof shall continue in office in accordance with the terms hereof. Unless the authority of an Officer is limited by the Sole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Member,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Sole Member may be removed at any time, with or without cause, by the Sole Member in its sole discretion. Any vacancy occurring in any office of the Company shall be filled by the Sole Member.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u w:val="single" w:color="auto"/>
          <w:color w:val="auto"/>
        </w:rPr>
        <w:t>Limitation on Liability of the Sole Member, Conflicts Committee Members and Officers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294"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Subject to, and as limited by, the provisions of this Agreement, the Sole Member and the Conflicts Committee Members, in the performance of their duties as such, shall not, to the maximum extent permitted by the Act or other applicable law, owe any duties (including fiduciary duties) as a member or Conflicts Committee Member of the Company, notwithstanding anything to the contrary in existing law, in equity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the avoidance of doubt nothing set forth herein shall be deemed to limit the obligations of the “General Partner” under the MLP Partnership Agreement.</w:t>
      </w:r>
    </w:p>
    <w:p>
      <w:pPr>
        <w:spacing w:after="0" w:line="1"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no Indemnitee shall be liable for monetary damages to the Company or the Sole Member,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The provisions of this Agreement, to the extent that they restrict, eliminate or otherwise modify the duties and liabilities, including fiduciary duties, of any Indemnitee otherwise existing at law or in equity, are agreed by the Sole Member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or on behalf of the Sole Member challenging any such action or inaction of, or determination made by, any Indemnitee, the Person bringing or prosecuting such proceeding shall have the burden of overcoming such presumption.</w:t>
      </w:r>
    </w:p>
    <w:p>
      <w:pPr>
        <w:spacing w:after="0" w:line="172" w:lineRule="exact"/>
        <w:rPr>
          <w:rFonts w:ascii="Arial" w:cs="Arial" w:eastAsia="Arial" w:hAnsi="Arial"/>
          <w:sz w:val="16"/>
          <w:szCs w:val="16"/>
          <w:color w:val="auto"/>
        </w:rPr>
      </w:pPr>
    </w:p>
    <w:p>
      <w:pPr>
        <w:ind w:right="100" w:firstLine="656"/>
        <w:spacing w:after="0" w:line="264" w:lineRule="auto"/>
        <w:tabs>
          <w:tab w:leader="none" w:pos="130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9" w:lineRule="auto"/>
        <w:tabs>
          <w:tab w:leader="none" w:pos="130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9" w:lineRule="exact"/>
        <w:rPr>
          <w:sz w:val="20"/>
          <w:szCs w:val="20"/>
          <w:color w:val="auto"/>
        </w:rPr>
      </w:pPr>
    </w:p>
    <w:p>
      <w:pPr>
        <w:ind w:right="100" w:firstLine="656"/>
        <w:spacing w:after="0" w:line="291" w:lineRule="auto"/>
        <w:tabs>
          <w:tab w:leader="none" w:pos="1294" w:val="left"/>
        </w:tabs>
        <w:numPr>
          <w:ilvl w:val="0"/>
          <w:numId w:val="414"/>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right="40" w:firstLine="656"/>
        <w:spacing w:after="0" w:line="259" w:lineRule="auto"/>
        <w:tabs>
          <w:tab w:leader="none" w:pos="130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312" w:lineRule="auto"/>
        <w:tabs>
          <w:tab w:leader="none" w:pos="1307"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The indemnification provided by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in addition to any other rights to which an Indemnitee may be entitled pursuant to any approval of the Sole Member, as a matter of law or equity, or otherwise, and shall continue as to an Indemnitee who has ceased to hold the status with respect to which it was an Indemnitee and shall inure to the benefit of the heirs, successors, assigns, and administrators of such Indemnitee.</w:t>
      </w:r>
    </w:p>
    <w:p>
      <w:pPr>
        <w:spacing w:after="0" w:line="146"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Conflicts Committee Members and Officers in such amounts and with such deductibles or self-insured retentions as determined by the Sole Member.</w:t>
      </w:r>
    </w:p>
    <w:p>
      <w:pPr>
        <w:spacing w:after="0" w:line="170" w:lineRule="exact"/>
        <w:rPr>
          <w:rFonts w:ascii="Arial" w:cs="Arial" w:eastAsia="Arial" w:hAnsi="Arial"/>
          <w:sz w:val="18"/>
          <w:szCs w:val="18"/>
          <w:color w:val="auto"/>
        </w:rPr>
      </w:pPr>
    </w:p>
    <w:p>
      <w:pPr>
        <w:ind w:right="600" w:firstLine="656"/>
        <w:spacing w:after="0" w:line="277" w:lineRule="auto"/>
        <w:tabs>
          <w:tab w:leader="none" w:pos="130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Sole Member shall not be subject to personal liability by reason of the indemnification provisions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ectPr>
          <w:pgSz w:w="11900" w:h="16929" w:orient="portrait"/>
          <w:cols w:equalWidth="0" w:num="1">
            <w:col w:w="11420"/>
          </w:cols>
          <w:pgMar w:left="240" w:top="121" w:right="239" w:bottom="0" w:gutter="0" w:footer="0" w:header="0"/>
        </w:sectPr>
      </w:pPr>
    </w:p>
    <w:bookmarkStart w:id="166" w:name="page167"/>
    <w:bookmarkEnd w:id="166"/>
    <w:p>
      <w:pPr>
        <w:ind w:right="180" w:firstLine="656"/>
        <w:spacing w:after="0" w:line="277" w:lineRule="auto"/>
        <w:tabs>
          <w:tab w:leader="none" w:pos="1301"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An Indemnitee shall not be denied indemnification in whole or in part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because the Indemnitee had an interest in the transaction with respect to which the indemnification applies if the transaction was otherwise permitted by the terms of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Agreement and all material facts relating to such Indemnitee’s interest were adequately disclosed to the Sole Member at the time the transaction was consummated.</w:t>
      </w:r>
    </w:p>
    <w:p>
      <w:pPr>
        <w:spacing w:after="0" w:line="170" w:lineRule="exact"/>
        <w:rPr>
          <w:sz w:val="20"/>
          <w:szCs w:val="20"/>
          <w:color w:val="auto"/>
        </w:rPr>
      </w:pPr>
    </w:p>
    <w:p>
      <w:pPr>
        <w:ind w:right="420" w:firstLine="656"/>
        <w:spacing w:after="0" w:line="308" w:lineRule="auto"/>
        <w:tabs>
          <w:tab w:leader="none" w:pos="131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60" w:firstLine="656"/>
        <w:spacing w:after="0" w:line="257" w:lineRule="auto"/>
        <w:tabs>
          <w:tab w:leader="none" w:pos="130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DISSOLUTION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u w:val="single" w:color="auto"/>
          <w:color w:val="auto"/>
        </w:rPr>
        <w:t>Dissolution</w:t>
      </w:r>
      <w:r>
        <w:rPr>
          <w:rFonts w:ascii="Arial" w:cs="Arial" w:eastAsia="Arial" w:hAnsi="Arial"/>
          <w:sz w:val="16"/>
          <w:szCs w:val="16"/>
          <w:color w:val="auto"/>
        </w:rPr>
        <w:t>. The Company shall dissolve and its affairs shall be wound up at such time, if any, as the Sole Member may elect.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Waiver of Default</w:t>
      </w:r>
      <w:r>
        <w:rPr>
          <w:rFonts w:ascii="Arial" w:cs="Arial" w:eastAsia="Arial" w:hAnsi="Arial"/>
          <w:sz w:val="18"/>
          <w:szCs w:val="18"/>
          <w:color w:val="auto"/>
        </w:rPr>
        <w:t>. No consent or waiver, express or implied, by the Company or the Sole Member with respect to any breach or default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the Sole Member hereunder shall be deemed or construed to be a consent or waiver with respect to any other breach or default by any party of the same provision or any other provision of this Agreement. Failure on the part of the Company or the Sole Member to complain of any act or failure to act of the Company or the Sole Member or to declare such party in default shall not be deemed or constitute a waiver by the Company or the Sole Member of any rights hereunder.</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9" w:lineRule="exact"/>
        <w:rPr>
          <w:sz w:val="20"/>
          <w:szCs w:val="20"/>
          <w:color w:val="auto"/>
        </w:rPr>
      </w:pPr>
    </w:p>
    <w:p>
      <w:pPr>
        <w:ind w:right="40" w:firstLine="656"/>
        <w:spacing w:after="0" w:line="277" w:lineRule="auto"/>
        <w:tabs>
          <w:tab w:leader="none" w:pos="129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Except as otherwise expressly provided elsewhere in this Agreement, this Agreement shall not be altered, modified or changed except by an amendment approved by the Sole Member, acting through the Holdings GP Board.</w:t>
      </w:r>
    </w:p>
    <w:p>
      <w:pPr>
        <w:spacing w:after="0" w:line="170"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Sole Member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Any modification or amendment to this Agreement or the Certificate made in accordance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binding on the Sole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color w:val="auto"/>
        </w:rPr>
        <w:t>, none of the provisions contained in this Agreement shall be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or enforceable by any third parties, including creditors of the Company.</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The Sole Member’s Membership Interest shall be personal property for all purposes.</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u w:val="single" w:color="auto"/>
          <w:color w:val="auto"/>
        </w:rPr>
        <w:t>Binding Agreement</w:t>
      </w:r>
      <w:r>
        <w:rPr>
          <w:rFonts w:ascii="Arial" w:cs="Arial" w:eastAsia="Arial" w:hAnsi="Arial"/>
          <w:sz w:val="18"/>
          <w:szCs w:val="18"/>
          <w:color w:val="auto"/>
        </w:rPr>
        <w:t>. The provisions of this Agreement shall be binding upon, and inure to the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personal representatives, successors and permitted assigns.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terms or provisions hereof.</w:t>
      </w:r>
    </w:p>
    <w:p>
      <w:pPr>
        <w:spacing w:after="0" w:line="16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 Pronouns in the masculine, feminine and neuter genders shall be construed to include any other gender.</w:t>
      </w:r>
    </w:p>
    <w:p>
      <w:pPr>
        <w:spacing w:after="0" w:line="18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notwithstanding that all the parties have not signed the same counterpart.</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with respect to the subject matter hereof.</w:t>
      </w:r>
    </w:p>
    <w:p>
      <w:pPr>
        <w:sectPr>
          <w:pgSz w:w="11900" w:h="16838" w:orient="portrait"/>
          <w:cols w:equalWidth="0" w:num="1">
            <w:col w:w="11420"/>
          </w:cols>
          <w:pgMar w:left="240" w:top="341" w:right="239" w:bottom="0" w:gutter="0" w:footer="0" w:header="0"/>
        </w:sectPr>
      </w:pPr>
    </w:p>
    <w:bookmarkStart w:id="167" w:name="page168"/>
    <w:bookmarkEnd w:id="167"/>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the Sole Member may, at their option, enforce their rights hereunder in such courts.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Sole Member has caused this Agreement to be duly executed as of the date first written above.</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PAA GP Holdings LLC, its general partner</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0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4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Seventh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384175</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040" w:type="dxa"/>
            <w:vAlign w:val="bottom"/>
            <w:gridSpan w:val="4"/>
          </w:tcPr>
          <w:p>
            <w:pPr>
              <w:jc w:val="right"/>
              <w:ind w:right="4668"/>
              <w:spacing w:after="0"/>
              <w:rPr>
                <w:sz w:val="20"/>
                <w:szCs w:val="20"/>
                <w:color w:val="auto"/>
              </w:rPr>
            </w:pPr>
            <w:r>
              <w:rPr>
                <w:rFonts w:ascii="Arial" w:cs="Arial" w:eastAsia="Arial" w:hAnsi="Arial"/>
                <w:sz w:val="18"/>
                <w:szCs w:val="18"/>
                <w:b w:val="1"/>
                <w:bCs w:val="1"/>
                <w:color w:val="auto"/>
              </w:rPr>
              <w:t>TABLE OF CONTENTS</w:t>
            </w:r>
          </w:p>
        </w:tc>
      </w:tr>
      <w:tr>
        <w:trPr>
          <w:trHeight w:val="385"/>
        </w:trPr>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Page</w:t>
            </w:r>
          </w:p>
        </w:tc>
      </w:tr>
      <w:tr>
        <w:trPr>
          <w:trHeight w:val="426"/>
        </w:trPr>
        <w:tc>
          <w:tcPr>
            <w:tcW w:w="43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ARTICLE 2 GENERAL</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3920" w:type="dxa"/>
            <w:vAlign w:val="bottom"/>
          </w:tcPr>
          <w:p>
            <w:pPr>
              <w:ind w:left="220"/>
              <w:spacing w:after="0"/>
              <w:rPr>
                <w:sz w:val="20"/>
                <w:szCs w:val="20"/>
                <w:color w:val="auto"/>
              </w:rPr>
            </w:pPr>
            <w:r>
              <w:rPr>
                <w:rFonts w:ascii="Arial" w:cs="Arial" w:eastAsia="Arial" w:hAnsi="Arial"/>
                <w:sz w:val="18"/>
                <w:szCs w:val="18"/>
                <w:color w:val="auto"/>
              </w:rPr>
              <w:t>Formation</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3920" w:type="dxa"/>
            <w:vAlign w:val="bottom"/>
          </w:tcPr>
          <w:p>
            <w:pPr>
              <w:ind w:left="220"/>
              <w:spacing w:after="0"/>
              <w:rPr>
                <w:sz w:val="20"/>
                <w:szCs w:val="20"/>
                <w:color w:val="auto"/>
              </w:rPr>
            </w:pPr>
            <w:r>
              <w:rPr>
                <w:rFonts w:ascii="Arial" w:cs="Arial" w:eastAsia="Arial" w:hAnsi="Arial"/>
                <w:sz w:val="18"/>
                <w:szCs w:val="18"/>
                <w:color w:val="auto"/>
              </w:rPr>
              <w:t>Principal Office</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3920" w:type="dxa"/>
            <w:vAlign w:val="bottom"/>
          </w:tcPr>
          <w:p>
            <w:pPr>
              <w:ind w:left="220"/>
              <w:spacing w:after="0"/>
              <w:rPr>
                <w:sz w:val="20"/>
                <w:szCs w:val="20"/>
                <w:color w:val="auto"/>
              </w:rPr>
            </w:pPr>
            <w:r>
              <w:rPr>
                <w:rFonts w:ascii="Arial" w:cs="Arial" w:eastAsia="Arial" w:hAnsi="Arial"/>
                <w:sz w:val="18"/>
                <w:szCs w:val="18"/>
                <w:color w:val="auto"/>
              </w:rPr>
              <w:t>Registered Office and Registered Agent</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3920" w:type="dxa"/>
            <w:vAlign w:val="bottom"/>
          </w:tcPr>
          <w:p>
            <w:pPr>
              <w:ind w:left="220"/>
              <w:spacing w:after="0"/>
              <w:rPr>
                <w:sz w:val="20"/>
                <w:szCs w:val="20"/>
                <w:color w:val="auto"/>
              </w:rPr>
            </w:pPr>
            <w:r>
              <w:rPr>
                <w:rFonts w:ascii="Arial" w:cs="Arial" w:eastAsia="Arial" w:hAnsi="Arial"/>
                <w:sz w:val="18"/>
                <w:szCs w:val="18"/>
                <w:color w:val="auto"/>
              </w:rPr>
              <w:t>Purpose of the Company</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3920" w:type="dxa"/>
            <w:vAlign w:val="bottom"/>
          </w:tcPr>
          <w:p>
            <w:pPr>
              <w:ind w:left="220"/>
              <w:spacing w:after="0"/>
              <w:rPr>
                <w:sz w:val="20"/>
                <w:szCs w:val="20"/>
                <w:color w:val="auto"/>
              </w:rPr>
            </w:pPr>
            <w:r>
              <w:rPr>
                <w:rFonts w:ascii="Arial" w:cs="Arial" w:eastAsia="Arial" w:hAnsi="Arial"/>
                <w:sz w:val="18"/>
                <w:szCs w:val="18"/>
                <w:color w:val="auto"/>
              </w:rPr>
              <w:t>Date of Dissolution</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2.6</w:t>
            </w:r>
          </w:p>
        </w:tc>
        <w:tc>
          <w:tcPr>
            <w:tcW w:w="3920" w:type="dxa"/>
            <w:vAlign w:val="bottom"/>
          </w:tcPr>
          <w:p>
            <w:pPr>
              <w:ind w:left="220"/>
              <w:spacing w:after="0"/>
              <w:rPr>
                <w:sz w:val="20"/>
                <w:szCs w:val="20"/>
                <w:color w:val="auto"/>
              </w:rPr>
            </w:pPr>
            <w:r>
              <w:rPr>
                <w:rFonts w:ascii="Arial" w:cs="Arial" w:eastAsia="Arial" w:hAnsi="Arial"/>
                <w:sz w:val="18"/>
                <w:szCs w:val="18"/>
                <w:color w:val="auto"/>
              </w:rPr>
              <w:t>Qualification</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2.7</w:t>
            </w:r>
          </w:p>
        </w:tc>
        <w:tc>
          <w:tcPr>
            <w:tcW w:w="3920" w:type="dxa"/>
            <w:vAlign w:val="bottom"/>
          </w:tcPr>
          <w:p>
            <w:pPr>
              <w:ind w:left="220"/>
              <w:spacing w:after="0"/>
              <w:rPr>
                <w:sz w:val="20"/>
                <w:szCs w:val="20"/>
                <w:color w:val="auto"/>
              </w:rPr>
            </w:pPr>
            <w:r>
              <w:rPr>
                <w:rFonts w:ascii="Arial" w:cs="Arial" w:eastAsia="Arial" w:hAnsi="Arial"/>
                <w:sz w:val="18"/>
                <w:szCs w:val="18"/>
                <w:color w:val="auto"/>
              </w:rPr>
              <w:t>Members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2.8</w:t>
            </w:r>
          </w:p>
        </w:tc>
        <w:tc>
          <w:tcPr>
            <w:tcW w:w="3920" w:type="dxa"/>
            <w:vAlign w:val="bottom"/>
          </w:tcPr>
          <w:p>
            <w:pPr>
              <w:ind w:left="220"/>
              <w:spacing w:after="0"/>
              <w:rPr>
                <w:sz w:val="20"/>
                <w:szCs w:val="20"/>
                <w:color w:val="auto"/>
              </w:rPr>
            </w:pPr>
            <w:r>
              <w:rPr>
                <w:rFonts w:ascii="Arial" w:cs="Arial" w:eastAsia="Arial" w:hAnsi="Arial"/>
                <w:sz w:val="18"/>
                <w:szCs w:val="18"/>
                <w:color w:val="auto"/>
              </w:rPr>
              <w:t>Reliance by Third Parties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ARTICLE 3 CAPITALIZATION OF THE COMPANY</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3920" w:type="dxa"/>
            <w:vAlign w:val="bottom"/>
          </w:tcPr>
          <w:p>
            <w:pPr>
              <w:ind w:left="220"/>
              <w:spacing w:after="0"/>
              <w:rPr>
                <w:sz w:val="20"/>
                <w:szCs w:val="20"/>
                <w:color w:val="auto"/>
              </w:rPr>
            </w:pPr>
            <w:r>
              <w:rPr>
                <w:rFonts w:ascii="Arial" w:cs="Arial" w:eastAsia="Arial" w:hAnsi="Arial"/>
                <w:sz w:val="18"/>
                <w:szCs w:val="18"/>
                <w:color w:val="auto"/>
              </w:rPr>
              <w:t>Capital Contributions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3920" w:type="dxa"/>
            <w:vAlign w:val="bottom"/>
          </w:tcPr>
          <w:p>
            <w:pPr>
              <w:ind w:left="220"/>
              <w:spacing w:after="0"/>
              <w:rPr>
                <w:sz w:val="20"/>
                <w:szCs w:val="20"/>
                <w:color w:val="auto"/>
              </w:rPr>
            </w:pPr>
            <w:r>
              <w:rPr>
                <w:rFonts w:ascii="Arial" w:cs="Arial" w:eastAsia="Arial" w:hAnsi="Arial"/>
                <w:sz w:val="18"/>
                <w:szCs w:val="18"/>
                <w:color w:val="auto"/>
              </w:rPr>
              <w:t>Additional Capital Contributions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3920" w:type="dxa"/>
            <w:vAlign w:val="bottom"/>
          </w:tcPr>
          <w:p>
            <w:pPr>
              <w:ind w:left="220"/>
              <w:spacing w:after="0"/>
              <w:rPr>
                <w:sz w:val="20"/>
                <w:szCs w:val="20"/>
                <w:color w:val="auto"/>
              </w:rPr>
            </w:pPr>
            <w:r>
              <w:rPr>
                <w:rFonts w:ascii="Arial" w:cs="Arial" w:eastAsia="Arial" w:hAnsi="Arial"/>
                <w:sz w:val="18"/>
                <w:szCs w:val="18"/>
                <w:color w:val="auto"/>
              </w:rPr>
              <w:t>Splits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ARTICLE 4 DISTRIBUTIONS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3920" w:type="dxa"/>
            <w:vAlign w:val="bottom"/>
          </w:tcPr>
          <w:p>
            <w:pPr>
              <w:ind w:left="220"/>
              <w:spacing w:after="0"/>
              <w:rPr>
                <w:sz w:val="20"/>
                <w:szCs w:val="20"/>
                <w:color w:val="auto"/>
              </w:rPr>
            </w:pPr>
            <w:r>
              <w:rPr>
                <w:rFonts w:ascii="Arial" w:cs="Arial" w:eastAsia="Arial" w:hAnsi="Arial"/>
                <w:sz w:val="18"/>
                <w:szCs w:val="18"/>
                <w:color w:val="auto"/>
              </w:rPr>
              <w:t>Distributions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3920" w:type="dxa"/>
            <w:vAlign w:val="bottom"/>
          </w:tcPr>
          <w:p>
            <w:pPr>
              <w:ind w:left="220"/>
              <w:spacing w:after="0"/>
              <w:rPr>
                <w:sz w:val="20"/>
                <w:szCs w:val="20"/>
                <w:color w:val="auto"/>
              </w:rPr>
            </w:pPr>
            <w:r>
              <w:rPr>
                <w:rFonts w:ascii="Arial" w:cs="Arial" w:eastAsia="Arial" w:hAnsi="Arial"/>
                <w:sz w:val="18"/>
                <w:szCs w:val="18"/>
                <w:color w:val="auto"/>
              </w:rPr>
              <w:t>Persons Entitled to Distributions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122" w:right="239" w:bottom="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ARTICLE 5 MEMBERS’ MEETINGS</w:t>
            </w:r>
          </w:p>
        </w:tc>
        <w:tc>
          <w:tcPr>
            <w:tcW w:w="6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5.1</w:t>
            </w:r>
          </w:p>
        </w:tc>
        <w:tc>
          <w:tcPr>
            <w:tcW w:w="4780" w:type="dxa"/>
            <w:vAlign w:val="bottom"/>
          </w:tcPr>
          <w:p>
            <w:pPr>
              <w:ind w:left="140"/>
              <w:spacing w:after="0"/>
              <w:rPr>
                <w:sz w:val="20"/>
                <w:szCs w:val="20"/>
                <w:color w:val="auto"/>
              </w:rPr>
            </w:pPr>
            <w:r>
              <w:rPr>
                <w:rFonts w:ascii="Arial" w:cs="Arial" w:eastAsia="Arial" w:hAnsi="Arial"/>
                <w:sz w:val="18"/>
                <w:szCs w:val="18"/>
                <w:color w:val="auto"/>
              </w:rPr>
              <w:t>Meetings of Members</w:t>
            </w:r>
          </w:p>
        </w:tc>
        <w:tc>
          <w:tcPr>
            <w:tcW w:w="6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5.2</w:t>
            </w:r>
          </w:p>
        </w:tc>
        <w:tc>
          <w:tcPr>
            <w:tcW w:w="4780" w:type="dxa"/>
            <w:vAlign w:val="bottom"/>
          </w:tcPr>
          <w:p>
            <w:pPr>
              <w:ind w:left="140"/>
              <w:spacing w:after="0"/>
              <w:rPr>
                <w:sz w:val="20"/>
                <w:szCs w:val="20"/>
                <w:color w:val="auto"/>
              </w:rPr>
            </w:pPr>
            <w:r>
              <w:rPr>
                <w:rFonts w:ascii="Arial" w:cs="Arial" w:eastAsia="Arial" w:hAnsi="Arial"/>
                <w:sz w:val="18"/>
                <w:szCs w:val="18"/>
                <w:color w:val="auto"/>
              </w:rPr>
              <w:t>Quorum; Voting Requirement</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5.3</w:t>
            </w:r>
          </w:p>
        </w:tc>
        <w:tc>
          <w:tcPr>
            <w:tcW w:w="4780" w:type="dxa"/>
            <w:vAlign w:val="bottom"/>
          </w:tcPr>
          <w:p>
            <w:pPr>
              <w:ind w:left="140"/>
              <w:spacing w:after="0"/>
              <w:rPr>
                <w:sz w:val="20"/>
                <w:szCs w:val="20"/>
                <w:color w:val="auto"/>
              </w:rPr>
            </w:pPr>
            <w:r>
              <w:rPr>
                <w:rFonts w:ascii="Arial" w:cs="Arial" w:eastAsia="Arial" w:hAnsi="Arial"/>
                <w:sz w:val="18"/>
                <w:szCs w:val="18"/>
                <w:color w:val="auto"/>
              </w:rPr>
              <w:t>Proxies</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5.4</w:t>
            </w:r>
          </w:p>
        </w:tc>
        <w:tc>
          <w:tcPr>
            <w:tcW w:w="4780" w:type="dxa"/>
            <w:vAlign w:val="bottom"/>
          </w:tcPr>
          <w:p>
            <w:pPr>
              <w:ind w:left="140"/>
              <w:spacing w:after="0"/>
              <w:rPr>
                <w:sz w:val="20"/>
                <w:szCs w:val="20"/>
                <w:color w:val="auto"/>
              </w:rPr>
            </w:pPr>
            <w:r>
              <w:rPr>
                <w:rFonts w:ascii="Arial" w:cs="Arial" w:eastAsia="Arial" w:hAnsi="Arial"/>
                <w:sz w:val="18"/>
                <w:szCs w:val="18"/>
                <w:color w:val="auto"/>
              </w:rPr>
              <w:t>Action Without Meeting</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5.5</w:t>
            </w:r>
          </w:p>
        </w:tc>
        <w:tc>
          <w:tcPr>
            <w:tcW w:w="4780" w:type="dxa"/>
            <w:vAlign w:val="bottom"/>
          </w:tcPr>
          <w:p>
            <w:pPr>
              <w:ind w:left="140"/>
              <w:spacing w:after="0"/>
              <w:rPr>
                <w:sz w:val="20"/>
                <w:szCs w:val="20"/>
                <w:color w:val="auto"/>
              </w:rPr>
            </w:pPr>
            <w:r>
              <w:rPr>
                <w:rFonts w:ascii="Arial" w:cs="Arial" w:eastAsia="Arial" w:hAnsi="Arial"/>
                <w:sz w:val="18"/>
                <w:szCs w:val="18"/>
                <w:color w:val="auto"/>
              </w:rPr>
              <w:t>Notice</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5.6</w:t>
            </w:r>
          </w:p>
        </w:tc>
        <w:tc>
          <w:tcPr>
            <w:tcW w:w="4780" w:type="dxa"/>
            <w:vAlign w:val="bottom"/>
          </w:tcPr>
          <w:p>
            <w:pPr>
              <w:ind w:left="140"/>
              <w:spacing w:after="0"/>
              <w:rPr>
                <w:sz w:val="20"/>
                <w:szCs w:val="20"/>
                <w:color w:val="auto"/>
              </w:rPr>
            </w:pPr>
            <w:r>
              <w:rPr>
                <w:rFonts w:ascii="Arial" w:cs="Arial" w:eastAsia="Arial" w:hAnsi="Arial"/>
                <w:sz w:val="18"/>
                <w:szCs w:val="18"/>
                <w:color w:val="auto"/>
              </w:rPr>
              <w:t>Waiver of Notice</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6 MANAGEMENT AND CONTROL</w:t>
            </w:r>
          </w:p>
        </w:tc>
        <w:tc>
          <w:tcPr>
            <w:tcW w:w="6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6.1</w:t>
            </w:r>
          </w:p>
        </w:tc>
        <w:tc>
          <w:tcPr>
            <w:tcW w:w="4780" w:type="dxa"/>
            <w:vAlign w:val="bottom"/>
          </w:tcPr>
          <w:p>
            <w:pPr>
              <w:ind w:left="140"/>
              <w:spacing w:after="0"/>
              <w:rPr>
                <w:sz w:val="20"/>
                <w:szCs w:val="20"/>
                <w:color w:val="auto"/>
              </w:rPr>
            </w:pPr>
            <w:r>
              <w:rPr>
                <w:rFonts w:ascii="Arial" w:cs="Arial" w:eastAsia="Arial" w:hAnsi="Arial"/>
                <w:sz w:val="18"/>
                <w:szCs w:val="18"/>
                <w:color w:val="auto"/>
              </w:rPr>
              <w:t>Board of Directors</w:t>
            </w:r>
          </w:p>
        </w:tc>
        <w:tc>
          <w:tcPr>
            <w:tcW w:w="6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6.2</w:t>
            </w:r>
          </w:p>
        </w:tc>
        <w:tc>
          <w:tcPr>
            <w:tcW w:w="4780" w:type="dxa"/>
            <w:vAlign w:val="bottom"/>
          </w:tcPr>
          <w:p>
            <w:pPr>
              <w:ind w:left="140"/>
              <w:spacing w:after="0"/>
              <w:rPr>
                <w:sz w:val="20"/>
                <w:szCs w:val="20"/>
                <w:color w:val="auto"/>
              </w:rPr>
            </w:pPr>
            <w:r>
              <w:rPr>
                <w:rFonts w:ascii="Arial" w:cs="Arial" w:eastAsia="Arial" w:hAnsi="Arial"/>
                <w:sz w:val="18"/>
                <w:szCs w:val="18"/>
                <w:color w:val="auto"/>
              </w:rPr>
              <w:t>Classification of the Board</w:t>
            </w:r>
          </w:p>
        </w:tc>
        <w:tc>
          <w:tcPr>
            <w:tcW w:w="6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6.3</w:t>
            </w:r>
          </w:p>
        </w:tc>
        <w:tc>
          <w:tcPr>
            <w:tcW w:w="4780" w:type="dxa"/>
            <w:vAlign w:val="bottom"/>
          </w:tcPr>
          <w:p>
            <w:pPr>
              <w:ind w:left="140"/>
              <w:spacing w:after="0"/>
              <w:rPr>
                <w:sz w:val="20"/>
                <w:szCs w:val="20"/>
                <w:color w:val="auto"/>
              </w:rPr>
            </w:pPr>
            <w:r>
              <w:rPr>
                <w:rFonts w:ascii="Arial" w:cs="Arial" w:eastAsia="Arial" w:hAnsi="Arial"/>
                <w:sz w:val="18"/>
                <w:szCs w:val="18"/>
                <w:color w:val="auto"/>
              </w:rPr>
              <w:t>Meetings of the Board</w:t>
            </w:r>
          </w:p>
        </w:tc>
        <w:tc>
          <w:tcPr>
            <w:tcW w:w="6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6.4</w:t>
            </w:r>
          </w:p>
        </w:tc>
        <w:tc>
          <w:tcPr>
            <w:tcW w:w="4780" w:type="dxa"/>
            <w:vAlign w:val="bottom"/>
          </w:tcPr>
          <w:p>
            <w:pPr>
              <w:ind w:left="140"/>
              <w:spacing w:after="0"/>
              <w:rPr>
                <w:sz w:val="20"/>
                <w:szCs w:val="20"/>
                <w:color w:val="auto"/>
              </w:rPr>
            </w:pPr>
            <w:r>
              <w:rPr>
                <w:rFonts w:ascii="Arial" w:cs="Arial" w:eastAsia="Arial" w:hAnsi="Arial"/>
                <w:sz w:val="18"/>
                <w:szCs w:val="18"/>
                <w:color w:val="auto"/>
              </w:rPr>
              <w:t>Quorum and Acts of the Board</w:t>
            </w:r>
          </w:p>
        </w:tc>
        <w:tc>
          <w:tcPr>
            <w:tcW w:w="6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6.5</w:t>
            </w:r>
          </w:p>
        </w:tc>
        <w:tc>
          <w:tcPr>
            <w:tcW w:w="478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6.6</w:t>
            </w:r>
          </w:p>
        </w:tc>
        <w:tc>
          <w:tcPr>
            <w:tcW w:w="4780" w:type="dxa"/>
            <w:vAlign w:val="bottom"/>
          </w:tcPr>
          <w:p>
            <w:pPr>
              <w:ind w:left="140"/>
              <w:spacing w:after="0"/>
              <w:rPr>
                <w:sz w:val="20"/>
                <w:szCs w:val="20"/>
                <w:color w:val="auto"/>
              </w:rPr>
            </w:pPr>
            <w:r>
              <w:rPr>
                <w:rFonts w:ascii="Arial" w:cs="Arial" w:eastAsia="Arial" w:hAnsi="Arial"/>
                <w:sz w:val="18"/>
                <w:szCs w:val="18"/>
                <w:color w:val="auto"/>
              </w:rPr>
              <w:t>Committees of Directors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6.7</w:t>
            </w:r>
          </w:p>
        </w:tc>
        <w:tc>
          <w:tcPr>
            <w:tcW w:w="4780" w:type="dxa"/>
            <w:vAlign w:val="bottom"/>
          </w:tcPr>
          <w:p>
            <w:pPr>
              <w:ind w:left="140"/>
              <w:spacing w:after="0"/>
              <w:rPr>
                <w:sz w:val="20"/>
                <w:szCs w:val="20"/>
                <w:color w:val="auto"/>
              </w:rPr>
            </w:pPr>
            <w:r>
              <w:rPr>
                <w:rFonts w:ascii="Arial" w:cs="Arial" w:eastAsia="Arial" w:hAnsi="Arial"/>
                <w:sz w:val="18"/>
                <w:szCs w:val="18"/>
                <w:color w:val="auto"/>
              </w:rPr>
              <w:t>Compensation of Directors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6.8</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Directors as Agents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6.9</w:t>
            </w:r>
          </w:p>
        </w:tc>
        <w:tc>
          <w:tcPr>
            <w:tcW w:w="4780" w:type="dxa"/>
            <w:vAlign w:val="bottom"/>
          </w:tcPr>
          <w:p>
            <w:pPr>
              <w:ind w:left="140"/>
              <w:spacing w:after="0"/>
              <w:rPr>
                <w:sz w:val="20"/>
                <w:szCs w:val="20"/>
                <w:color w:val="auto"/>
              </w:rPr>
            </w:pPr>
            <w:r>
              <w:rPr>
                <w:rFonts w:ascii="Arial" w:cs="Arial" w:eastAsia="Arial" w:hAnsi="Arial"/>
                <w:sz w:val="18"/>
                <w:szCs w:val="18"/>
                <w:color w:val="auto"/>
              </w:rPr>
              <w:t>Officers; Agents</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6.10</w:t>
            </w:r>
          </w:p>
        </w:tc>
        <w:tc>
          <w:tcPr>
            <w:tcW w:w="4780" w:type="dxa"/>
            <w:vAlign w:val="bottom"/>
          </w:tcPr>
          <w:p>
            <w:pPr>
              <w:ind w:left="140"/>
              <w:spacing w:after="0"/>
              <w:rPr>
                <w:sz w:val="20"/>
                <w:szCs w:val="20"/>
                <w:color w:val="auto"/>
              </w:rPr>
            </w:pPr>
            <w:r>
              <w:rPr>
                <w:rFonts w:ascii="Arial" w:cs="Arial" w:eastAsia="Arial" w:hAnsi="Arial"/>
                <w:sz w:val="18"/>
                <w:szCs w:val="18"/>
                <w:color w:val="auto"/>
              </w:rPr>
              <w:t>Actions Requiring Consent of Oxy</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6.11</w:t>
            </w:r>
          </w:p>
        </w:tc>
        <w:tc>
          <w:tcPr>
            <w:tcW w:w="4780" w:type="dxa"/>
            <w:vAlign w:val="bottom"/>
          </w:tcPr>
          <w:p>
            <w:pPr>
              <w:ind w:left="140"/>
              <w:spacing w:after="0"/>
              <w:rPr>
                <w:sz w:val="20"/>
                <w:szCs w:val="20"/>
                <w:color w:val="auto"/>
              </w:rPr>
            </w:pPr>
            <w:r>
              <w:rPr>
                <w:rFonts w:ascii="Arial" w:cs="Arial" w:eastAsia="Arial" w:hAnsi="Arial"/>
                <w:sz w:val="18"/>
                <w:szCs w:val="18"/>
                <w:color w:val="auto"/>
              </w:rPr>
              <w:t>Amendments to the PAGP Partnership Agreement</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14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5320" w:type="dxa"/>
            <w:vAlign w:val="bottom"/>
            <w:tcBorders>
              <w:bottom w:val="single" w:sz="8" w:color="808080"/>
            </w:tcBorders>
            <w:gridSpan w:val="2"/>
          </w:tcPr>
          <w:p>
            <w:pPr>
              <w:spacing w:after="0"/>
              <w:rPr>
                <w:sz w:val="11"/>
                <w:szCs w:val="11"/>
                <w:color w:val="auto"/>
              </w:rPr>
            </w:pPr>
          </w:p>
        </w:tc>
        <w:tc>
          <w:tcPr>
            <w:tcW w:w="6140" w:type="dxa"/>
            <w:vAlign w:val="bottom"/>
            <w:tcBorders>
              <w:bottom w:val="single" w:sz="8" w:color="808080"/>
            </w:tcBorders>
          </w:tcPr>
          <w:p>
            <w:pPr>
              <w:spacing w:after="0"/>
              <w:rPr>
                <w:sz w:val="11"/>
                <w:szCs w:val="11"/>
                <w:color w:val="auto"/>
              </w:rPr>
            </w:pPr>
          </w:p>
        </w:tc>
      </w:tr>
      <w:tr>
        <w:trPr>
          <w:trHeight w:val="780"/>
        </w:trPr>
        <w:tc>
          <w:tcPr>
            <w:tcW w:w="5320" w:type="dxa"/>
            <w:vAlign w:val="bottom"/>
            <w:gridSpan w:val="2"/>
          </w:tcPr>
          <w:p>
            <w:pPr>
              <w:spacing w:after="0"/>
              <w:rPr>
                <w:sz w:val="20"/>
                <w:szCs w:val="20"/>
                <w:color w:val="auto"/>
              </w:rPr>
            </w:pPr>
            <w:r>
              <w:rPr>
                <w:rFonts w:ascii="Arial" w:cs="Arial" w:eastAsia="Arial" w:hAnsi="Arial"/>
                <w:sz w:val="18"/>
                <w:szCs w:val="18"/>
                <w:color w:val="auto"/>
              </w:rPr>
              <w:t>ARTICLE 7 LIABILITY AND INDEMNIFICATION</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7.1</w:t>
            </w:r>
          </w:p>
        </w:tc>
        <w:tc>
          <w:tcPr>
            <w:tcW w:w="4780" w:type="dxa"/>
            <w:vAlign w:val="bottom"/>
          </w:tcPr>
          <w:p>
            <w:pPr>
              <w:ind w:left="140"/>
              <w:spacing w:after="0"/>
              <w:rPr>
                <w:sz w:val="20"/>
                <w:szCs w:val="20"/>
                <w:color w:val="auto"/>
              </w:rPr>
            </w:pPr>
            <w:r>
              <w:rPr>
                <w:rFonts w:ascii="Arial" w:cs="Arial" w:eastAsia="Arial" w:hAnsi="Arial"/>
                <w:sz w:val="18"/>
                <w:szCs w:val="18"/>
                <w:color w:val="auto"/>
              </w:rPr>
              <w:t>Limitation on Liability of Members, Directors and Officers</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7.2</w:t>
            </w:r>
          </w:p>
        </w:tc>
        <w:tc>
          <w:tcPr>
            <w:tcW w:w="478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8 TRANSFERS OF UNITS</w:t>
            </w:r>
          </w:p>
        </w:tc>
        <w:tc>
          <w:tcPr>
            <w:tcW w:w="6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8.1</w:t>
            </w:r>
          </w:p>
        </w:tc>
        <w:tc>
          <w:tcPr>
            <w:tcW w:w="4780" w:type="dxa"/>
            <w:vAlign w:val="bottom"/>
          </w:tcPr>
          <w:p>
            <w:pPr>
              <w:ind w:left="140"/>
              <w:spacing w:after="0"/>
              <w:rPr>
                <w:sz w:val="20"/>
                <w:szCs w:val="20"/>
                <w:color w:val="auto"/>
              </w:rPr>
            </w:pPr>
            <w:r>
              <w:rPr>
                <w:rFonts w:ascii="Arial" w:cs="Arial" w:eastAsia="Arial" w:hAnsi="Arial"/>
                <w:sz w:val="18"/>
                <w:szCs w:val="18"/>
                <w:color w:val="auto"/>
              </w:rPr>
              <w:t>General Restrictions</w:t>
            </w:r>
          </w:p>
        </w:tc>
        <w:tc>
          <w:tcPr>
            <w:tcW w:w="6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8.2</w:t>
            </w:r>
          </w:p>
        </w:tc>
        <w:tc>
          <w:tcPr>
            <w:tcW w:w="4780" w:type="dxa"/>
            <w:vAlign w:val="bottom"/>
          </w:tcPr>
          <w:p>
            <w:pPr>
              <w:ind w:left="140"/>
              <w:spacing w:after="0"/>
              <w:rPr>
                <w:sz w:val="20"/>
                <w:szCs w:val="20"/>
                <w:color w:val="auto"/>
              </w:rPr>
            </w:pPr>
            <w:r>
              <w:rPr>
                <w:rFonts w:ascii="Arial" w:cs="Arial" w:eastAsia="Arial" w:hAnsi="Arial"/>
                <w:sz w:val="18"/>
                <w:szCs w:val="18"/>
                <w:color w:val="auto"/>
              </w:rPr>
              <w:t>Substitute Members</w:t>
            </w:r>
          </w:p>
        </w:tc>
        <w:tc>
          <w:tcPr>
            <w:tcW w:w="6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8.3</w:t>
            </w:r>
          </w:p>
        </w:tc>
        <w:tc>
          <w:tcPr>
            <w:tcW w:w="4780" w:type="dxa"/>
            <w:vAlign w:val="bottom"/>
          </w:tcPr>
          <w:p>
            <w:pPr>
              <w:ind w:left="140"/>
              <w:spacing w:after="0"/>
              <w:rPr>
                <w:sz w:val="20"/>
                <w:szCs w:val="20"/>
                <w:color w:val="auto"/>
              </w:rPr>
            </w:pPr>
            <w:r>
              <w:rPr>
                <w:rFonts w:ascii="Arial" w:cs="Arial" w:eastAsia="Arial" w:hAnsi="Arial"/>
                <w:sz w:val="18"/>
                <w:szCs w:val="18"/>
                <w:color w:val="auto"/>
              </w:rPr>
              <w:t>Effect of Admission as a Substitute Member</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8.4</w:t>
            </w:r>
          </w:p>
        </w:tc>
        <w:tc>
          <w:tcPr>
            <w:tcW w:w="4780" w:type="dxa"/>
            <w:vAlign w:val="bottom"/>
          </w:tcPr>
          <w:p>
            <w:pPr>
              <w:ind w:left="140"/>
              <w:spacing w:after="0"/>
              <w:rPr>
                <w:sz w:val="20"/>
                <w:szCs w:val="20"/>
                <w:color w:val="auto"/>
              </w:rPr>
            </w:pPr>
            <w:r>
              <w:rPr>
                <w:rFonts w:ascii="Arial" w:cs="Arial" w:eastAsia="Arial" w:hAnsi="Arial"/>
                <w:sz w:val="18"/>
                <w:szCs w:val="18"/>
                <w:color w:val="auto"/>
              </w:rPr>
              <w:t>Consent</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8.5</w:t>
            </w:r>
          </w:p>
        </w:tc>
        <w:tc>
          <w:tcPr>
            <w:tcW w:w="4780" w:type="dxa"/>
            <w:vAlign w:val="bottom"/>
          </w:tcPr>
          <w:p>
            <w:pPr>
              <w:ind w:left="140"/>
              <w:spacing w:after="0"/>
              <w:rPr>
                <w:sz w:val="20"/>
                <w:szCs w:val="20"/>
                <w:color w:val="auto"/>
              </w:rPr>
            </w:pPr>
            <w:r>
              <w:rPr>
                <w:rFonts w:ascii="Arial" w:cs="Arial" w:eastAsia="Arial" w:hAnsi="Arial"/>
                <w:sz w:val="18"/>
                <w:szCs w:val="18"/>
                <w:color w:val="auto"/>
              </w:rPr>
              <w:t>No Dissolution</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8.6</w:t>
            </w:r>
          </w:p>
        </w:tc>
        <w:tc>
          <w:tcPr>
            <w:tcW w:w="4780" w:type="dxa"/>
            <w:vAlign w:val="bottom"/>
          </w:tcPr>
          <w:p>
            <w:pPr>
              <w:ind w:left="140"/>
              <w:spacing w:after="0"/>
              <w:rPr>
                <w:sz w:val="20"/>
                <w:szCs w:val="20"/>
                <w:color w:val="auto"/>
              </w:rPr>
            </w:pPr>
            <w:r>
              <w:rPr>
                <w:rFonts w:ascii="Arial" w:cs="Arial" w:eastAsia="Arial" w:hAnsi="Arial"/>
                <w:sz w:val="18"/>
                <w:szCs w:val="18"/>
                <w:color w:val="auto"/>
              </w:rPr>
              <w:t>Additional Members</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9 DISSOLUTION AND TERMINATION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9.1</w:t>
            </w:r>
          </w:p>
        </w:tc>
        <w:tc>
          <w:tcPr>
            <w:tcW w:w="4780" w:type="dxa"/>
            <w:vAlign w:val="bottom"/>
          </w:tcPr>
          <w:p>
            <w:pPr>
              <w:ind w:left="140"/>
              <w:spacing w:after="0"/>
              <w:rPr>
                <w:sz w:val="20"/>
                <w:szCs w:val="20"/>
                <w:color w:val="auto"/>
              </w:rPr>
            </w:pPr>
            <w:r>
              <w:rPr>
                <w:rFonts w:ascii="Arial" w:cs="Arial" w:eastAsia="Arial" w:hAnsi="Arial"/>
                <w:sz w:val="18"/>
                <w:szCs w:val="18"/>
                <w:color w:val="auto"/>
              </w:rPr>
              <w:t>Events Causing Dissolution</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9.2</w:t>
            </w:r>
          </w:p>
        </w:tc>
        <w:tc>
          <w:tcPr>
            <w:tcW w:w="4780" w:type="dxa"/>
            <w:vAlign w:val="bottom"/>
          </w:tcPr>
          <w:p>
            <w:pPr>
              <w:ind w:left="140"/>
              <w:spacing w:after="0"/>
              <w:rPr>
                <w:sz w:val="20"/>
                <w:szCs w:val="20"/>
                <w:color w:val="auto"/>
              </w:rPr>
            </w:pPr>
            <w:r>
              <w:rPr>
                <w:rFonts w:ascii="Arial" w:cs="Arial" w:eastAsia="Arial" w:hAnsi="Arial"/>
                <w:sz w:val="18"/>
                <w:szCs w:val="18"/>
                <w:color w:val="auto"/>
              </w:rPr>
              <w:t>Final Accounting</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9.3</w:t>
            </w:r>
          </w:p>
        </w:tc>
        <w:tc>
          <w:tcPr>
            <w:tcW w:w="4780" w:type="dxa"/>
            <w:vAlign w:val="bottom"/>
          </w:tcPr>
          <w:p>
            <w:pPr>
              <w:ind w:left="140"/>
              <w:spacing w:after="0"/>
              <w:rPr>
                <w:sz w:val="20"/>
                <w:szCs w:val="20"/>
                <w:color w:val="auto"/>
              </w:rPr>
            </w:pPr>
            <w:r>
              <w:rPr>
                <w:rFonts w:ascii="Arial" w:cs="Arial" w:eastAsia="Arial" w:hAnsi="Arial"/>
                <w:sz w:val="18"/>
                <w:szCs w:val="18"/>
                <w:color w:val="auto"/>
              </w:rPr>
              <w:t>Distributions Following Dissolution and Termination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9.4</w:t>
            </w:r>
          </w:p>
        </w:tc>
        <w:tc>
          <w:tcPr>
            <w:tcW w:w="4780" w:type="dxa"/>
            <w:vAlign w:val="bottom"/>
          </w:tcPr>
          <w:p>
            <w:pPr>
              <w:ind w:left="140"/>
              <w:spacing w:after="0"/>
              <w:rPr>
                <w:sz w:val="20"/>
                <w:szCs w:val="20"/>
                <w:color w:val="auto"/>
              </w:rPr>
            </w:pPr>
            <w:r>
              <w:rPr>
                <w:rFonts w:ascii="Arial" w:cs="Arial" w:eastAsia="Arial" w:hAnsi="Arial"/>
                <w:sz w:val="18"/>
                <w:szCs w:val="18"/>
                <w:color w:val="auto"/>
              </w:rPr>
              <w:t>Termination of the Company</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9.5</w:t>
            </w:r>
          </w:p>
        </w:tc>
        <w:tc>
          <w:tcPr>
            <w:tcW w:w="4780" w:type="dxa"/>
            <w:vAlign w:val="bottom"/>
          </w:tcPr>
          <w:p>
            <w:pPr>
              <w:ind w:left="140"/>
              <w:spacing w:after="0"/>
              <w:rPr>
                <w:sz w:val="20"/>
                <w:szCs w:val="20"/>
                <w:color w:val="auto"/>
              </w:rPr>
            </w:pPr>
            <w:r>
              <w:rPr>
                <w:rFonts w:ascii="Arial" w:cs="Arial" w:eastAsia="Arial" w:hAnsi="Arial"/>
                <w:sz w:val="18"/>
                <w:szCs w:val="18"/>
                <w:color w:val="auto"/>
              </w:rPr>
              <w:t>No Action for Dissolution</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10 ACCOUNTING; BOOKS AND RECORDS</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4780" w:type="dxa"/>
            <w:vAlign w:val="bottom"/>
          </w:tcPr>
          <w:p>
            <w:pPr>
              <w:ind w:left="140"/>
              <w:spacing w:after="0"/>
              <w:rPr>
                <w:sz w:val="20"/>
                <w:szCs w:val="20"/>
                <w:color w:val="auto"/>
              </w:rPr>
            </w:pPr>
            <w:r>
              <w:rPr>
                <w:rFonts w:ascii="Arial" w:cs="Arial" w:eastAsia="Arial" w:hAnsi="Arial"/>
                <w:sz w:val="18"/>
                <w:szCs w:val="18"/>
                <w:color w:val="auto"/>
              </w:rPr>
              <w:t>Fiscal Year and Accounting Method</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4780" w:type="dxa"/>
            <w:vAlign w:val="bottom"/>
          </w:tcPr>
          <w:p>
            <w:pPr>
              <w:ind w:left="140"/>
              <w:spacing w:after="0"/>
              <w:rPr>
                <w:sz w:val="20"/>
                <w:szCs w:val="20"/>
                <w:color w:val="auto"/>
              </w:rPr>
            </w:pPr>
            <w:r>
              <w:rPr>
                <w:rFonts w:ascii="Arial" w:cs="Arial" w:eastAsia="Arial" w:hAnsi="Arial"/>
                <w:sz w:val="18"/>
                <w:szCs w:val="18"/>
                <w:color w:val="auto"/>
              </w:rPr>
              <w:t>Books and Records</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4780" w:type="dxa"/>
            <w:vAlign w:val="bottom"/>
          </w:tcPr>
          <w:p>
            <w:pPr>
              <w:ind w:left="140"/>
              <w:spacing w:after="0"/>
              <w:rPr>
                <w:sz w:val="20"/>
                <w:szCs w:val="20"/>
                <w:color w:val="auto"/>
              </w:rPr>
            </w:pPr>
            <w:r>
              <w:rPr>
                <w:rFonts w:ascii="Arial" w:cs="Arial" w:eastAsia="Arial" w:hAnsi="Arial"/>
                <w:sz w:val="18"/>
                <w:szCs w:val="18"/>
                <w:color w:val="auto"/>
              </w:rPr>
              <w:t>Delivery to Members; Inspection</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4780" w:type="dxa"/>
            <w:vAlign w:val="bottom"/>
          </w:tcPr>
          <w:p>
            <w:pPr>
              <w:ind w:left="140"/>
              <w:spacing w:after="0"/>
              <w:rPr>
                <w:sz w:val="20"/>
                <w:szCs w:val="20"/>
                <w:color w:val="auto"/>
              </w:rPr>
            </w:pPr>
            <w:r>
              <w:rPr>
                <w:rFonts w:ascii="Arial" w:cs="Arial" w:eastAsia="Arial" w:hAnsi="Arial"/>
                <w:sz w:val="18"/>
                <w:szCs w:val="18"/>
                <w:color w:val="auto"/>
              </w:rPr>
              <w:t>Non-Disclosure</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11 NON-COMPETITION AND NON-SOLICITATION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11.1</w:t>
            </w:r>
          </w:p>
        </w:tc>
        <w:tc>
          <w:tcPr>
            <w:tcW w:w="4780" w:type="dxa"/>
            <w:vAlign w:val="bottom"/>
          </w:tcPr>
          <w:p>
            <w:pPr>
              <w:ind w:left="140"/>
              <w:spacing w:after="0"/>
              <w:rPr>
                <w:sz w:val="20"/>
                <w:szCs w:val="20"/>
                <w:color w:val="auto"/>
              </w:rPr>
            </w:pPr>
            <w:r>
              <w:rPr>
                <w:rFonts w:ascii="Arial" w:cs="Arial" w:eastAsia="Arial" w:hAnsi="Arial"/>
                <w:sz w:val="18"/>
                <w:szCs w:val="18"/>
                <w:color w:val="auto"/>
              </w:rPr>
              <w:t>Non-Competition</w:t>
            </w:r>
          </w:p>
        </w:tc>
        <w:tc>
          <w:tcPr>
            <w:tcW w:w="6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11.2</w:t>
            </w:r>
          </w:p>
        </w:tc>
        <w:tc>
          <w:tcPr>
            <w:tcW w:w="4780" w:type="dxa"/>
            <w:vAlign w:val="bottom"/>
          </w:tcPr>
          <w:p>
            <w:pPr>
              <w:ind w:left="140"/>
              <w:spacing w:after="0"/>
              <w:rPr>
                <w:sz w:val="20"/>
                <w:szCs w:val="20"/>
                <w:color w:val="auto"/>
              </w:rPr>
            </w:pPr>
            <w:r>
              <w:rPr>
                <w:rFonts w:ascii="Arial" w:cs="Arial" w:eastAsia="Arial" w:hAnsi="Arial"/>
                <w:sz w:val="18"/>
                <w:szCs w:val="18"/>
                <w:color w:val="auto"/>
              </w:rPr>
              <w:t>Non-Solicitation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11.3</w:t>
            </w:r>
          </w:p>
        </w:tc>
        <w:tc>
          <w:tcPr>
            <w:tcW w:w="4780" w:type="dxa"/>
            <w:vAlign w:val="bottom"/>
          </w:tcPr>
          <w:p>
            <w:pPr>
              <w:ind w:left="140"/>
              <w:spacing w:after="0"/>
              <w:rPr>
                <w:sz w:val="20"/>
                <w:szCs w:val="20"/>
                <w:color w:val="auto"/>
              </w:rPr>
            </w:pPr>
            <w:r>
              <w:rPr>
                <w:rFonts w:ascii="Arial" w:cs="Arial" w:eastAsia="Arial" w:hAnsi="Arial"/>
                <w:sz w:val="18"/>
                <w:szCs w:val="18"/>
                <w:color w:val="auto"/>
              </w:rPr>
              <w:t>Damages</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11.4</w:t>
            </w:r>
          </w:p>
        </w:tc>
        <w:tc>
          <w:tcPr>
            <w:tcW w:w="478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12 MISCELLANEOUS</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12.1</w:t>
            </w:r>
          </w:p>
        </w:tc>
        <w:tc>
          <w:tcPr>
            <w:tcW w:w="4780" w:type="dxa"/>
            <w:vAlign w:val="bottom"/>
          </w:tcPr>
          <w:p>
            <w:pPr>
              <w:ind w:left="140"/>
              <w:spacing w:after="0"/>
              <w:rPr>
                <w:sz w:val="20"/>
                <w:szCs w:val="20"/>
                <w:color w:val="auto"/>
              </w:rPr>
            </w:pPr>
            <w:r>
              <w:rPr>
                <w:rFonts w:ascii="Arial" w:cs="Arial" w:eastAsia="Arial" w:hAnsi="Arial"/>
                <w:sz w:val="18"/>
                <w:szCs w:val="18"/>
                <w:color w:val="auto"/>
              </w:rPr>
              <w:t>Waiver of Default</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12.2</w:t>
            </w:r>
          </w:p>
        </w:tc>
        <w:tc>
          <w:tcPr>
            <w:tcW w:w="478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6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12.3</w:t>
            </w:r>
          </w:p>
        </w:tc>
        <w:tc>
          <w:tcPr>
            <w:tcW w:w="4780" w:type="dxa"/>
            <w:vAlign w:val="bottom"/>
          </w:tcPr>
          <w:p>
            <w:pPr>
              <w:ind w:left="140"/>
              <w:spacing w:after="0"/>
              <w:rPr>
                <w:sz w:val="20"/>
                <w:szCs w:val="20"/>
                <w:color w:val="auto"/>
              </w:rPr>
            </w:pPr>
            <w:r>
              <w:rPr>
                <w:rFonts w:ascii="Arial" w:cs="Arial" w:eastAsia="Arial" w:hAnsi="Arial"/>
                <w:sz w:val="18"/>
                <w:szCs w:val="18"/>
                <w:color w:val="auto"/>
              </w:rPr>
              <w:t>No Third Party Rights</w:t>
            </w:r>
          </w:p>
        </w:tc>
        <w:tc>
          <w:tcPr>
            <w:tcW w:w="6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12.4</w:t>
            </w:r>
          </w:p>
        </w:tc>
        <w:tc>
          <w:tcPr>
            <w:tcW w:w="47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12.5</w:t>
            </w:r>
          </w:p>
        </w:tc>
        <w:tc>
          <w:tcPr>
            <w:tcW w:w="4780" w:type="dxa"/>
            <w:vAlign w:val="bottom"/>
          </w:tcPr>
          <w:p>
            <w:pPr>
              <w:ind w:left="140"/>
              <w:spacing w:after="0"/>
              <w:rPr>
                <w:sz w:val="20"/>
                <w:szCs w:val="20"/>
                <w:color w:val="auto"/>
              </w:rPr>
            </w:pPr>
            <w:r>
              <w:rPr>
                <w:rFonts w:ascii="Arial" w:cs="Arial" w:eastAsia="Arial" w:hAnsi="Arial"/>
                <w:sz w:val="18"/>
                <w:szCs w:val="18"/>
                <w:color w:val="auto"/>
              </w:rPr>
              <w:t>Nature of Interest in the Company</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12.6</w:t>
            </w:r>
          </w:p>
        </w:tc>
        <w:tc>
          <w:tcPr>
            <w:tcW w:w="4780" w:type="dxa"/>
            <w:vAlign w:val="bottom"/>
          </w:tcPr>
          <w:p>
            <w:pPr>
              <w:ind w:left="140"/>
              <w:spacing w:after="0"/>
              <w:rPr>
                <w:sz w:val="20"/>
                <w:szCs w:val="20"/>
                <w:color w:val="auto"/>
              </w:rPr>
            </w:pPr>
            <w:r>
              <w:rPr>
                <w:rFonts w:ascii="Arial" w:cs="Arial" w:eastAsia="Arial" w:hAnsi="Arial"/>
                <w:sz w:val="18"/>
                <w:szCs w:val="18"/>
                <w:color w:val="auto"/>
              </w:rPr>
              <w:t>Binding Agreement</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12.7</w:t>
            </w:r>
          </w:p>
        </w:tc>
        <w:tc>
          <w:tcPr>
            <w:tcW w:w="4780" w:type="dxa"/>
            <w:vAlign w:val="bottom"/>
          </w:tcPr>
          <w:p>
            <w:pPr>
              <w:ind w:left="140"/>
              <w:spacing w:after="0"/>
              <w:rPr>
                <w:sz w:val="20"/>
                <w:szCs w:val="20"/>
                <w:color w:val="auto"/>
              </w:rPr>
            </w:pPr>
            <w:r>
              <w:rPr>
                <w:rFonts w:ascii="Arial" w:cs="Arial" w:eastAsia="Arial" w:hAnsi="Arial"/>
                <w:sz w:val="18"/>
                <w:szCs w:val="18"/>
                <w:color w:val="auto"/>
              </w:rPr>
              <w:t>Headings</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12.8</w:t>
            </w:r>
          </w:p>
        </w:tc>
        <w:tc>
          <w:tcPr>
            <w:tcW w:w="4780" w:type="dxa"/>
            <w:vAlign w:val="bottom"/>
          </w:tcPr>
          <w:p>
            <w:pPr>
              <w:ind w:left="140"/>
              <w:spacing w:after="0"/>
              <w:rPr>
                <w:sz w:val="20"/>
                <w:szCs w:val="20"/>
                <w:color w:val="auto"/>
              </w:rPr>
            </w:pPr>
            <w:r>
              <w:rPr>
                <w:rFonts w:ascii="Arial" w:cs="Arial" w:eastAsia="Arial" w:hAnsi="Arial"/>
                <w:sz w:val="18"/>
                <w:szCs w:val="18"/>
                <w:color w:val="auto"/>
              </w:rPr>
              <w:t>Word Meanings</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12.9</w:t>
            </w:r>
          </w:p>
        </w:tc>
        <w:tc>
          <w:tcPr>
            <w:tcW w:w="47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12.10</w:t>
            </w:r>
          </w:p>
        </w:tc>
        <w:tc>
          <w:tcPr>
            <w:tcW w:w="47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12.11</w:t>
            </w:r>
          </w:p>
        </w:tc>
        <w:tc>
          <w:tcPr>
            <w:tcW w:w="4780" w:type="dxa"/>
            <w:vAlign w:val="bottom"/>
          </w:tcPr>
          <w:p>
            <w:pPr>
              <w:ind w:left="140"/>
              <w:spacing w:after="0"/>
              <w:rPr>
                <w:sz w:val="20"/>
                <w:szCs w:val="20"/>
                <w:color w:val="auto"/>
              </w:rPr>
            </w:pPr>
            <w:r>
              <w:rPr>
                <w:rFonts w:ascii="Arial" w:cs="Arial" w:eastAsia="Arial" w:hAnsi="Arial"/>
                <w:sz w:val="18"/>
                <w:szCs w:val="18"/>
                <w:color w:val="auto"/>
              </w:rPr>
              <w:t>Partition</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-7110730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-7110730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69" w:name="page170"/>
    <w:bookmarkEnd w:id="169"/>
    <w:p>
      <w:pPr>
        <w:spacing w:after="0" w:line="106" w:lineRule="exact"/>
        <w:rPr>
          <w:sz w:val="20"/>
          <w:szCs w:val="20"/>
          <w:color w:val="auto"/>
        </w:rPr>
      </w:pPr>
    </w:p>
    <w:p>
      <w:pPr>
        <w:spacing w:after="0"/>
        <w:tabs>
          <w:tab w:leader="none" w:pos="660" w:val="left"/>
          <w:tab w:leader="none" w:pos="11220" w:val="left"/>
        </w:tabs>
        <w:rPr>
          <w:sz w:val="20"/>
          <w:szCs w:val="20"/>
          <w:color w:val="auto"/>
        </w:rPr>
      </w:pPr>
      <w:r>
        <w:rPr>
          <w:rFonts w:ascii="Arial" w:cs="Arial" w:eastAsia="Arial" w:hAnsi="Arial"/>
          <w:sz w:val="18"/>
          <w:szCs w:val="18"/>
          <w:color w:val="auto"/>
        </w:rPr>
        <w:t>12.12</w:t>
        <w:tab/>
        <w:t>Governing Law; Consent to Jurisdiction and Venue</w:t>
      </w:r>
      <w:r>
        <w:rPr>
          <w:sz w:val="20"/>
          <w:szCs w:val="20"/>
          <w:color w:val="auto"/>
        </w:rPr>
        <w:tab/>
      </w:r>
      <w:r>
        <w:rPr>
          <w:rFonts w:ascii="Arial" w:cs="Arial" w:eastAsia="Arial" w:hAnsi="Arial"/>
          <w:sz w:val="16"/>
          <w:szCs w:val="16"/>
          <w:color w:val="auto"/>
        </w:rPr>
        <w:t>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SECOND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PAA GP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is made and entered into as of the [·] day of [·], 2016, by the Company and is binding on the Persons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(such Persons together with such other Persons that may hereafter become members as provided herein, referred to collectively as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or, individually, as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the Company was formed on July 17, 2013 as a limited liability company under the Act (as defined below) by the filing of a certificate of formation of the Company with the Delaware Secretary of State; and</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WHEREAS, the Board has approved this Agreement and authorized the Company to amend and restate the Amended and Restated Limited Liability Company Agreement of PAA GP Holdings LLC dated as of October 21, 2013 (as amended,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in its entirety with the terms and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the Class A Units of AAP, having the rights and obligations specified in the AAP Partnership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the Class B Units of AAP, having the rights and obligations specified in the AAP Partnership Agreement.</w:t>
      </w:r>
    </w:p>
    <w:p>
      <w:pPr>
        <w:spacing w:after="0" w:line="225" w:lineRule="exact"/>
        <w:rPr>
          <w:sz w:val="20"/>
          <w:szCs w:val="20"/>
          <w:color w:val="auto"/>
        </w:rPr>
      </w:pPr>
    </w:p>
    <w:p>
      <w:pPr>
        <w:ind w:right="420" w:firstLine="19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Redemption</w:t>
      </w:r>
      <w:r>
        <w:rPr>
          <w:rFonts w:ascii="Arial" w:cs="Arial" w:eastAsia="Arial" w:hAnsi="Arial"/>
          <w:sz w:val="18"/>
          <w:szCs w:val="18"/>
          <w:color w:val="auto"/>
        </w:rPr>
        <w:t>” means a redemption in accordance with Section 7.11 of the AAP Partnership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9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determination as to whether a Person, directly or indirectly through one or more intermediaries, controls, is controlled by or under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78" w:lineRule="exact"/>
        <w:rPr>
          <w:sz w:val="20"/>
          <w:szCs w:val="20"/>
          <w:color w:val="auto"/>
        </w:rPr>
      </w:pPr>
    </w:p>
    <w:p>
      <w:pPr>
        <w:jc w:val="both"/>
        <w:ind w:left="660" w:right="60" w:hanging="4"/>
        <w:spacing w:after="0" w:line="312" w:lineRule="auto"/>
        <w:tabs>
          <w:tab w:leader="none" w:pos="1305"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46" w:lineRule="exact"/>
        <w:rPr>
          <w:rFonts w:ascii="Arial" w:cs="Arial" w:eastAsia="Arial" w:hAnsi="Arial"/>
          <w:sz w:val="16"/>
          <w:szCs w:val="16"/>
          <w:color w:val="auto"/>
        </w:rPr>
      </w:pPr>
    </w:p>
    <w:p>
      <w:pPr>
        <w:ind w:left="660" w:right="360" w:hanging="4"/>
        <w:spacing w:after="0" w:line="264" w:lineRule="auto"/>
        <w:tabs>
          <w:tab w:leader="none" w:pos="131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1" w:lineRule="exact"/>
        <w:rPr>
          <w:rFonts w:ascii="Arial" w:cs="Arial" w:eastAsia="Arial" w:hAnsi="Arial"/>
          <w:sz w:val="18"/>
          <w:szCs w:val="18"/>
          <w:color w:val="auto"/>
        </w:rPr>
      </w:pPr>
    </w:p>
    <w:p>
      <w:pPr>
        <w:ind w:left="660" w:right="220" w:hanging="4"/>
        <w:spacing w:after="0" w:line="312" w:lineRule="auto"/>
        <w:tabs>
          <w:tab w:leader="none" w:pos="1319"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w:t>
      </w:r>
    </w:p>
    <w:p>
      <w:pPr>
        <w:spacing w:after="0" w:line="35" w:lineRule="exact"/>
        <w:rPr>
          <w:sz w:val="20"/>
          <w:szCs w:val="20"/>
          <w:color w:val="auto"/>
        </w:rPr>
      </w:pPr>
    </w:p>
    <w:p>
      <w:pPr>
        <w:ind w:right="60" w:firstLine="8"/>
        <w:spacing w:after="0" w:line="255" w:lineRule="auto"/>
        <w:tabs>
          <w:tab w:leader="none" w:pos="21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ectPr>
          <w:pgSz w:w="11900" w:h="16945" w:orient="portrait"/>
          <w:cols w:equalWidth="0" w:num="1">
            <w:col w:w="11420"/>
          </w:cols>
          <w:pgMar w:left="240" w:top="125" w:right="239" w:bottom="0" w:gutter="0" w:footer="0" w:header="0"/>
        </w:sectPr>
      </w:pPr>
    </w:p>
    <w:bookmarkStart w:id="170" w:name="page171"/>
    <w:bookmarkEnd w:id="170"/>
    <w:p>
      <w:pPr>
        <w:spacing w:after="0" w:line="3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hereof, as such may be amended, supplemented or restated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means the Company and its Subsidiaries treated as a single consolidated entity, but excluding the MLP and its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Designating Members</w:t>
      </w:r>
      <w:r>
        <w:rPr>
          <w:rFonts w:ascii="Arial" w:cs="Arial" w:eastAsia="Arial" w:hAnsi="Arial"/>
          <w:sz w:val="18"/>
          <w:szCs w:val="18"/>
          <w:color w:val="auto"/>
        </w:rPr>
        <w:t>” means the Initial Designating Members and any Subsequent Designating Members, in each case until a Designation Loss Event with respect to such Member.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Loss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Right 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any Director that is not (a) designated by a Designating Member, (b) the Chief Executive Officer of the Company or (c) a Series A Designated Director.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the Original Members listed on Schedule 1 attached hereto, excluding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ectPr>
          <w:pgSz w:w="11900" w:h="16874" w:orient="portrait"/>
          <w:cols w:equalWidth="0" w:num="1">
            <w:col w:w="11420"/>
          </w:cols>
          <w:pgMar w:left="240" w:top="341" w:right="239" w:bottom="0" w:gutter="0" w:footer="0" w:header="0"/>
        </w:sectPr>
      </w:pPr>
    </w:p>
    <w:bookmarkStart w:id="171" w:name="page172"/>
    <w:bookmarkEnd w:id="171"/>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an Indemnitee by reason of providing, on a fee-for-services basis, trustee, fiduciary or custodial services, and (e) any Person the Board designates an “Indemnitee” for purposes of this Agreement.</w:t>
      </w:r>
    </w:p>
    <w:p>
      <w:pPr>
        <w:spacing w:after="0" w:line="16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Designating Members</w:t>
      </w:r>
      <w:r>
        <w:rPr>
          <w:rFonts w:ascii="Arial" w:cs="Arial" w:eastAsia="Arial" w:hAnsi="Arial"/>
          <w:sz w:val="18"/>
          <w:szCs w:val="18"/>
          <w:color w:val="auto"/>
        </w:rPr>
        <w:t>” means KAFU Holdings, L.P., Oxy and EMG Investment,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Common Units</w:t>
      </w:r>
      <w:r>
        <w:rPr>
          <w:rFonts w:ascii="Arial" w:cs="Arial" w:eastAsia="Arial" w:hAnsi="Arial"/>
          <w:sz w:val="18"/>
          <w:szCs w:val="18"/>
          <w:color w:val="auto"/>
        </w:rPr>
        <w:t>” has the meaning given to “Common Units” in the MLP Partnership Agreement.</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Redemption Units</w:t>
      </w:r>
      <w:r>
        <w:rPr>
          <w:rFonts w:ascii="Arial" w:cs="Arial" w:eastAsia="Arial" w:hAnsi="Arial"/>
          <w:sz w:val="18"/>
          <w:szCs w:val="18"/>
          <w:color w:val="auto"/>
        </w:rPr>
        <w:t>” means MLP Common Units received by a Member upon an AAP Redemption.</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 Securities Exchange</w:t>
      </w:r>
      <w:r>
        <w:rPr>
          <w:rFonts w:ascii="Arial" w:cs="Arial" w:eastAsia="Arial" w:hAnsi="Arial"/>
          <w:sz w:val="18"/>
          <w:szCs w:val="18"/>
          <w:color w:val="auto"/>
        </w:rPr>
        <w:t>” means an exchange registered with the Commission under Section 6(a) of the Securities Exchange Act or any successor to such statute.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a writing, containing the information required by this Agreement to be communicated to a party, and shall be deemed to have been received (a) 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means each of the owners of limited liability company interests in the Company as of the date of the Original Agreement as set forth in Schedule 1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in PAGP, having the rights and obligations specified in the PAGP Partnership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the Class B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Limited Partners</w:t>
      </w:r>
      <w:r>
        <w:rPr>
          <w:rFonts w:ascii="Arial" w:cs="Arial" w:eastAsia="Arial" w:hAnsi="Arial"/>
          <w:sz w:val="18"/>
          <w:szCs w:val="18"/>
          <w:color w:val="auto"/>
        </w:rPr>
        <w:t>” means the Limited Partners of PAGP as such term is given meaning in the PAGP Partnership Agreement.</w:t>
      </w:r>
    </w:p>
    <w:p>
      <w:pPr>
        <w:sectPr>
          <w:pgSz w:w="11900" w:h="16838" w:orient="portrait"/>
          <w:cols w:equalWidth="0" w:num="1">
            <w:col w:w="11400"/>
          </w:cols>
          <w:pgMar w:left="240" w:top="341" w:right="259" w:bottom="0" w:gutter="0" w:footer="0" w:header="0"/>
        </w:sectPr>
      </w:pPr>
    </w:p>
    <w:bookmarkStart w:id="172" w:name="page173"/>
    <w:bookmarkEnd w:id="172"/>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Partnership Agreement</w:t>
      </w:r>
      <w:r>
        <w:rPr>
          <w:rFonts w:ascii="Arial" w:cs="Arial" w:eastAsia="Arial" w:hAnsi="Arial"/>
          <w:sz w:val="18"/>
          <w:szCs w:val="18"/>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Reverse Stock Split</w:t>
      </w:r>
      <w:r>
        <w:rPr>
          <w:rFonts w:ascii="Arial" w:cs="Arial" w:eastAsia="Arial" w:hAnsi="Arial"/>
          <w:sz w:val="18"/>
          <w:szCs w:val="18"/>
          <w:color w:val="auto"/>
        </w:rPr>
        <w:t>” has the meaning set forth in that certain Simplification Agreement, dated as of July 11, 2016, by and among the Company, PAGP, AAP, the MLP, PAA GP LLC and Plains All American GP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“Qualifying Interest” </w:t>
      </w:r>
      <w:r>
        <w:rPr>
          <w:rFonts w:ascii="Arial" w:cs="Arial" w:eastAsia="Arial" w:hAnsi="Arial"/>
          <w:sz w:val="16"/>
          <w:szCs w:val="16"/>
          <w:color w:val="auto"/>
        </w:rPr>
        <w:t>means a direct or indirect ownership interest in the issued and outstanding limited partner interests of AAP represented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AAP Class A Units (i.e., excluding any AAP Class B Units) and, solely with respect to the Initial Designating Members, (a) including for this purpose any indirect ownership of such AAP Class A Units through the ownership of issued and outstanding PAGP Class A Shares and (b) treating any MLP Common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Units held by an Initial Designating Member that were issued to such Initial Designating Member in connection with an AAP Redemption as an equivalent number of AAP Class A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Designating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6.1(a)(iii)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6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GENERAL</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Formation</w:t>
      </w:r>
      <w:r>
        <w:rPr>
          <w:rFonts w:ascii="Arial" w:cs="Arial" w:eastAsia="Arial" w:hAnsi="Arial"/>
          <w:sz w:val="17"/>
          <w:szCs w:val="17"/>
          <w:color w:val="auto"/>
        </w:rPr>
        <w:t>. The name of the Company is PAA GP Holdings LLC. The rights and liabilities of the Members shall be as provided in the Act</w:t>
      </w:r>
      <w:r>
        <w:rPr>
          <w:rFonts w:ascii="Arial" w:cs="Arial" w:eastAsia="Arial" w:hAnsi="Arial"/>
          <w:sz w:val="17"/>
          <w:szCs w:val="17"/>
          <w:b w:val="1"/>
          <w:bCs w:val="1"/>
          <w:color w:val="auto"/>
        </w:rPr>
        <w:t xml:space="preserve"> </w:t>
      </w:r>
      <w:r>
        <w:rPr>
          <w:rFonts w:ascii="Arial" w:cs="Arial" w:eastAsia="Arial" w:hAnsi="Arial"/>
          <w:sz w:val="17"/>
          <w:szCs w:val="17"/>
          <w:color w:val="auto"/>
        </w:rPr>
        <w:t>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place(s) as the Board may determine from time to time.</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shall be as stated in the Certificate or as determined from time to time by the Board.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7" w:lineRule="exact"/>
        <w:rPr>
          <w:sz w:val="20"/>
          <w:szCs w:val="20"/>
          <w:color w:val="auto"/>
        </w:rPr>
      </w:pPr>
    </w:p>
    <w:p>
      <w:pPr>
        <w:ind w:right="660" w:firstLine="8"/>
        <w:spacing w:after="0" w:line="261" w:lineRule="auto"/>
        <w:tabs>
          <w:tab w:leader="none" w:pos="24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to act as the general partner of PAGP in accordance with the terms of the PAGP Partnership Agreement and (b) to engage in any and all activities necessary, advisable, convenient or incidental to the foregoing.</w:t>
      </w:r>
    </w:p>
    <w:p>
      <w:pPr>
        <w:spacing w:after="0" w:line="180" w:lineRule="exact"/>
        <w:rPr>
          <w:sz w:val="20"/>
          <w:szCs w:val="20"/>
          <w:color w:val="auto"/>
        </w:rPr>
      </w:pPr>
    </w:p>
    <w:p>
      <w:pPr>
        <w:ind w:right="440" w:firstLine="648"/>
        <w:spacing w:after="0" w:line="313"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The Company shall have perpetual existence unless the Company is dissolved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9</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existence of the Company as a separate legal entity shall continue until cancellation of the Certificate in the manner required by the Act.</w:t>
      </w:r>
    </w:p>
    <w:p>
      <w:pPr>
        <w:sectPr>
          <w:pgSz w:w="11900" w:h="16838" w:orient="portrait"/>
          <w:cols w:equalWidth="0" w:num="1">
            <w:col w:w="11360"/>
          </w:cols>
          <w:pgMar w:left="240" w:top="126" w:right="299" w:bottom="0" w:gutter="0" w:footer="0" w:header="0"/>
        </w:sectPr>
      </w:pPr>
    </w:p>
    <w:bookmarkStart w:id="173" w:name="page174"/>
    <w:bookmarkEnd w:id="173"/>
    <w:p>
      <w:pPr>
        <w:spacing w:after="0" w:line="141"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Chief Executive Officer, any Vice President, the Secretary and any Assistant Secretary of the Company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86" w:lineRule="auto"/>
        <w:tabs>
          <w:tab w:leader="none" w:pos="1294"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Powers of Members</w:t>
      </w:r>
      <w:r>
        <w:rPr>
          <w:rFonts w:ascii="Arial" w:cs="Arial" w:eastAsia="Arial" w:hAnsi="Arial"/>
          <w:sz w:val="17"/>
          <w:szCs w:val="17"/>
          <w:color w:val="auto"/>
        </w:rPr>
        <w:t>. Except to the extent waived or limited in a separate written agreement executed by a Member,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65" w:lineRule="exact"/>
        <w:rPr>
          <w:rFonts w:ascii="Arial" w:cs="Arial" w:eastAsia="Arial" w:hAnsi="Arial"/>
          <w:sz w:val="17"/>
          <w:szCs w:val="17"/>
          <w:color w:val="auto"/>
        </w:rPr>
      </w:pPr>
    </w:p>
    <w:p>
      <w:pPr>
        <w:jc w:val="both"/>
        <w:ind w:right="60" w:firstLine="656"/>
        <w:spacing w:after="0" w:line="286" w:lineRule="auto"/>
        <w:tabs>
          <w:tab w:leader="none" w:pos="1304" w:val="left"/>
        </w:tabs>
        <w:numPr>
          <w:ilvl w:val="1"/>
          <w:numId w:val="421"/>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Except upon a Transfer of all of its Company Units in accordance with this Agreement, a Member may not resign from the 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completion of dissolution and winding up of the Company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20" w:firstLine="656"/>
        <w:spacing w:after="0" w:line="277" w:lineRule="auto"/>
        <w:tabs>
          <w:tab w:leader="none" w:pos="1307"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Company Unit shall correspond to a “limited liability company interest” as is provided in the Act. The Company shall be the owner of the Property. No Member shall have any ownership interest or right in any Property, including any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conveyed by a Member to the Company, except indirectly by virtue of a Member’s ownership of a Company Unit.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CAPITALIZATION OF THE COMPANY</w:t>
      </w:r>
    </w:p>
    <w:p>
      <w:pPr>
        <w:spacing w:after="0" w:line="20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No capital was contributed to the Company in connection with its formation. The number of each current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initial Company Units is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No Member shall be required to make any capital contribution to the Company.</w:t>
      </w:r>
    </w:p>
    <w:p>
      <w:pPr>
        <w:spacing w:after="0" w:line="225"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u w:val="single" w:color="auto"/>
          <w:color w:val="auto"/>
        </w:rPr>
        <w:t>Splits</w:t>
      </w:r>
      <w:r>
        <w:rPr>
          <w:rFonts w:ascii="Arial" w:cs="Arial" w:eastAsia="Arial" w:hAnsi="Arial"/>
          <w:sz w:val="17"/>
          <w:szCs w:val="17"/>
          <w:color w:val="auto"/>
        </w:rPr>
        <w:t>. Any distribution, subdivision or combination of the Company Units shall be accompanied by a simultaneous and proportionate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Board shall have sole discretion to determine the timing, amount and manner of any distribution of cash or property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Any distribution declared by the Board shall be paid to the Members in proportion to their Company Units.</w:t>
      </w:r>
    </w:p>
    <w:p>
      <w:pPr>
        <w:spacing w:after="0" w:line="162"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Persons Entitled to Distributions</w:t>
      </w:r>
      <w:r>
        <w:rPr>
          <w:rFonts w:ascii="Arial" w:cs="Arial" w:eastAsia="Arial" w:hAnsi="Arial"/>
          <w:sz w:val="16"/>
          <w:szCs w:val="16"/>
          <w:color w:val="auto"/>
        </w:rPr>
        <w:t>. Any distributions to Members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to the Members shown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MEMBERS’ MEETINGS</w:t>
      </w:r>
    </w:p>
    <w:p>
      <w:pPr>
        <w:spacing w:after="0" w:line="20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u w:val="single" w:color="auto"/>
          <w:color w:val="auto"/>
        </w:rPr>
        <w:t>Meetings of Members</w:t>
      </w:r>
      <w:r>
        <w:rPr>
          <w:rFonts w:ascii="Arial" w:cs="Arial" w:eastAsia="Arial" w:hAnsi="Arial"/>
          <w:sz w:val="16"/>
          <w:szCs w:val="16"/>
          <w:color w:val="auto"/>
        </w:rPr>
        <w:t>. Meetings of the Members may be held on an annual basis or as otherwise determined by a Majority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7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Quorum; Voting Requirement</w:t>
      </w:r>
      <w:r>
        <w:rPr>
          <w:rFonts w:ascii="Arial" w:cs="Arial" w:eastAsia="Arial" w:hAnsi="Arial"/>
          <w:sz w:val="18"/>
          <w:szCs w:val="18"/>
          <w:color w:val="auto"/>
        </w:rPr>
        <w:t>. The presence, in person or by proxy, of a Majority in Interest of the Members shall constitute a quorum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of business by the Members. The affirmative vote of a Majority in Interest shall constitute a valid decision of the Members, except where a different vote is required by the Act or this Agreement.</w:t>
      </w:r>
    </w:p>
    <w:p>
      <w:pPr>
        <w:spacing w:after="0" w:line="176"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Proxies</w:t>
      </w:r>
      <w:r>
        <w:rPr>
          <w:rFonts w:ascii="Arial" w:cs="Arial" w:eastAsia="Arial" w:hAnsi="Arial"/>
          <w:sz w:val="16"/>
          <w:szCs w:val="16"/>
          <w:color w:val="auto"/>
        </w:rPr>
        <w:t>. Any Member entitled to vote but expecting to be absent from a meeting shall be entitled to designate in writing (or orally;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such oral designation is later confirmed in writing) a proxy (an “</w:t>
      </w:r>
      <w:r>
        <w:rPr>
          <w:rFonts w:ascii="Arial" w:cs="Arial" w:eastAsia="Arial" w:hAnsi="Arial"/>
          <w:sz w:val="16"/>
          <w:szCs w:val="16"/>
          <w:b w:val="1"/>
          <w:bCs w:val="1"/>
          <w:i w:val="1"/>
          <w:iCs w:val="1"/>
          <w:color w:val="auto"/>
        </w:rPr>
        <w:t>Authorized Representative</w:t>
      </w:r>
      <w:r>
        <w:rPr>
          <w:rFonts w:ascii="Arial" w:cs="Arial" w:eastAsia="Arial" w:hAnsi="Arial"/>
          <w:sz w:val="16"/>
          <w:szCs w:val="16"/>
          <w:color w:val="auto"/>
        </w:rPr>
        <w:t>”) to act on behalf of such Member with respect to</w:t>
      </w:r>
    </w:p>
    <w:p>
      <w:pPr>
        <w:sectPr>
          <w:pgSz w:w="11900" w:h="16979" w:orient="portrait"/>
          <w:cols w:equalWidth="0" w:num="1">
            <w:col w:w="11420"/>
          </w:cols>
          <w:pgMar w:left="240" w:top="121" w:right="239" w:bottom="0" w:gutter="0" w:footer="0" w:header="0"/>
        </w:sectPr>
      </w:pPr>
    </w:p>
    <w:bookmarkStart w:id="174" w:name="page175"/>
    <w:bookmarkEnd w:id="174"/>
    <w:p>
      <w:pPr>
        <w:ind w:right="200"/>
        <w:spacing w:after="0" w:line="264" w:lineRule="auto"/>
        <w:rPr>
          <w:sz w:val="20"/>
          <w:szCs w:val="20"/>
          <w:color w:val="auto"/>
        </w:rPr>
      </w:pPr>
      <w:r>
        <w:rPr>
          <w:rFonts w:ascii="Arial" w:cs="Arial" w:eastAsia="Arial" w:hAnsi="Arial"/>
          <w:sz w:val="18"/>
          <w:szCs w:val="18"/>
          <w:color w:val="auto"/>
        </w:rPr>
        <w:t>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7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at any meeting of Members of the Company may be taken without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Notice</w:t>
      </w:r>
      <w:r>
        <w:rPr>
          <w:rFonts w:ascii="Arial" w:cs="Arial" w:eastAsia="Arial" w:hAnsi="Arial"/>
          <w:sz w:val="17"/>
          <w:szCs w:val="17"/>
          <w:color w:val="auto"/>
        </w:rPr>
        <w:t>. Notice stating the place, day and hour of the meeting of Members and the purpose for which the meeting is called shall be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5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 any Notice is required to be given to any Member hereunder, a waiver thereof in writing signed by the Member or</w:t>
      </w:r>
      <w:r>
        <w:rPr>
          <w:rFonts w:ascii="Arial" w:cs="Arial" w:eastAsia="Arial" w:hAnsi="Arial"/>
          <w:sz w:val="18"/>
          <w:szCs w:val="18"/>
          <w:b w:val="1"/>
          <w:bCs w:val="1"/>
          <w:color w:val="auto"/>
        </w:rPr>
        <w:t xml:space="preserve"> </w:t>
      </w:r>
      <w:r>
        <w:rPr>
          <w:rFonts w:ascii="Arial" w:cs="Arial" w:eastAsia="Arial" w:hAnsi="Arial"/>
          <w:sz w:val="18"/>
          <w:szCs w:val="18"/>
          <w:color w:val="auto"/>
        </w:rPr>
        <w:t>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CONTROL</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2" w:lineRule="auto"/>
        <w:tabs>
          <w:tab w:leader="none" w:pos="1294" w:val="left"/>
        </w:tabs>
        <w:numPr>
          <w:ilvl w:val="0"/>
          <w:numId w:val="423"/>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consist of ten (plus up to two additional Directors, one of which may be appointed by the Series A Preferred Unitholders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and the other of which may be appointed by a majority of the Directors at any time) individuals designated as directors of the Company (the “</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right="20" w:firstLine="645"/>
        <w:spacing w:after="0" w:line="269" w:lineRule="auto"/>
        <w:tabs>
          <w:tab w:leader="none" w:pos="1978" w:val="left"/>
        </w:tabs>
        <w:numPr>
          <w:ilvl w:val="1"/>
          <w:numId w:val="423"/>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as of the date hereof shall be a Director and shall serve as Chairman of the Board.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at any time there shall be fewer than the required number of Independent Directors, the Board shall take such actions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to this Agreement.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79" w:lineRule="exact"/>
        <w:rPr>
          <w:rFonts w:ascii="Arial" w:cs="Arial" w:eastAsia="Arial" w:hAnsi="Arial"/>
          <w:sz w:val="17"/>
          <w:szCs w:val="17"/>
          <w:color w:val="auto"/>
        </w:rPr>
      </w:pPr>
    </w:p>
    <w:p>
      <w:pPr>
        <w:ind w:left="660" w:right="40" w:firstLine="645"/>
        <w:spacing w:after="0" w:line="255" w:lineRule="auto"/>
        <w:tabs>
          <w:tab w:leader="none" w:pos="1987" w:val="left"/>
        </w:tabs>
        <w:numPr>
          <w:ilvl w:val="1"/>
          <w:numId w:val="42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designated Director may also be removed by majority vote of the remaining Directors if such removal is for Cause. 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87" w:lineRule="exact"/>
        <w:rPr>
          <w:sz w:val="20"/>
          <w:szCs w:val="20"/>
          <w:color w:val="auto"/>
        </w:rPr>
      </w:pPr>
    </w:p>
    <w:p>
      <w:pPr>
        <w:ind w:left="660" w:right="40" w:firstLine="645"/>
        <w:spacing w:after="0" w:line="270" w:lineRule="auto"/>
        <w:tabs>
          <w:tab w:leader="none" w:pos="1997"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ectPr>
          <w:pgSz w:w="11900" w:h="16838" w:orient="portrait"/>
          <w:cols w:equalWidth="0" w:num="1">
            <w:col w:w="11420"/>
          </w:cols>
          <w:pgMar w:left="240" w:top="125" w:right="239" w:bottom="0" w:gutter="0" w:footer="0" w:header="0"/>
        </w:sectPr>
      </w:pPr>
    </w:p>
    <w:bookmarkStart w:id="175" w:name="page176"/>
    <w:bookmarkEnd w:id="175"/>
    <w:p>
      <w:pPr>
        <w:ind w:left="640" w:firstLine="645"/>
        <w:spacing w:after="0" w:line="291" w:lineRule="auto"/>
        <w:tabs>
          <w:tab w:leader="none" w:pos="1953" w:val="left"/>
        </w:tabs>
        <w:numPr>
          <w:ilvl w:val="0"/>
          <w:numId w:val="425"/>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67" w:lineRule="exact"/>
        <w:rPr>
          <w:rFonts w:ascii="Arial" w:cs="Arial" w:eastAsia="Arial" w:hAnsi="Arial"/>
          <w:sz w:val="16"/>
          <w:szCs w:val="16"/>
          <w:color w:val="auto"/>
        </w:rPr>
      </w:pPr>
    </w:p>
    <w:p>
      <w:pPr>
        <w:ind w:left="640" w:right="120" w:firstLine="645"/>
        <w:spacing w:after="0" w:line="255" w:lineRule="auto"/>
        <w:tabs>
          <w:tab w:leader="none" w:pos="194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8"/>
          <w:szCs w:val="18"/>
          <w:u w:val="single" w:color="auto"/>
          <w:color w:val="auto"/>
        </w:rPr>
        <w:t>Section 6.1(a)(v)</w:t>
      </w:r>
      <w:r>
        <w:rPr>
          <w:rFonts w:ascii="Arial" w:cs="Arial" w:eastAsia="Arial" w:hAnsi="Arial"/>
          <w:sz w:val="18"/>
          <w:szCs w:val="18"/>
          <w:color w:val="auto"/>
        </w:rPr>
        <w:t>,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72" w:lineRule="auto"/>
        <w:rPr>
          <w:sz w:val="20"/>
          <w:szCs w:val="20"/>
          <w:color w:val="auto"/>
        </w:rPr>
      </w:pPr>
      <w:r>
        <w:rPr>
          <w:rFonts w:ascii="Arial" w:cs="Arial" w:eastAsia="Arial" w:hAnsi="Arial"/>
          <w:sz w:val="17"/>
          <w:szCs w:val="17"/>
          <w:color w:val="auto"/>
        </w:rPr>
        <w:t xml:space="preserve">Director designated by such Designating Member shall immediately replace the Director appointed by the Board pursuant to this </w:t>
      </w:r>
      <w:r>
        <w:rPr>
          <w:rFonts w:ascii="Arial" w:cs="Arial" w:eastAsia="Arial" w:hAnsi="Arial"/>
          <w:sz w:val="17"/>
          <w:szCs w:val="17"/>
          <w:u w:val="single" w:color="auto"/>
          <w:color w:val="auto"/>
        </w:rPr>
        <w:t>Section 6.1(a)(v)</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by majority vote of the Directors elect to increase the size of the Board by one Director and fill the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vacancy with the Director that was appointed by the Board to fill the initial vacancy as provided in the first sentence of this </w:t>
      </w:r>
      <w:r>
        <w:rPr>
          <w:rFonts w:ascii="Arial" w:cs="Arial" w:eastAsia="Arial" w:hAnsi="Arial"/>
          <w:sz w:val="17"/>
          <w:szCs w:val="17"/>
          <w:u w:val="single" w:color="auto"/>
          <w:color w:val="auto"/>
        </w:rPr>
        <w:t>Section 6.1(a)(v)</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that if, following any such increase or increases in the size of the Board, there shall be any subsequent vacancy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w:t>
      </w:r>
    </w:p>
    <w:p>
      <w:pPr>
        <w:spacing w:after="0" w:line="178" w:lineRule="exact"/>
        <w:rPr>
          <w:sz w:val="20"/>
          <w:szCs w:val="20"/>
          <w:color w:val="auto"/>
        </w:rPr>
      </w:pPr>
    </w:p>
    <w:p>
      <w:pPr>
        <w:ind w:left="-20" w:right="60" w:firstLine="656"/>
        <w:spacing w:after="0" w:line="254" w:lineRule="auto"/>
        <w:tabs>
          <w:tab w:leader="none" w:pos="128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2" w:lineRule="exact"/>
        <w:rPr>
          <w:rFonts w:ascii="Arial" w:cs="Arial" w:eastAsia="Arial" w:hAnsi="Arial"/>
          <w:sz w:val="18"/>
          <w:szCs w:val="18"/>
          <w:color w:val="auto"/>
        </w:rPr>
      </w:pPr>
    </w:p>
    <w:p>
      <w:pPr>
        <w:ind w:left="640" w:right="320" w:firstLine="645"/>
        <w:spacing w:after="0" w:line="277" w:lineRule="auto"/>
        <w:tabs>
          <w:tab w:leader="none" w:pos="1958" w:val="left"/>
        </w:tabs>
        <w:numPr>
          <w:ilvl w:val="1"/>
          <w:numId w:val="426"/>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right="20" w:firstLine="645"/>
        <w:spacing w:after="0" w:line="257" w:lineRule="auto"/>
        <w:tabs>
          <w:tab w:leader="none" w:pos="1967"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ind w:left="640" w:right="320" w:firstLine="645"/>
        <w:spacing w:after="0" w:line="255" w:lineRule="auto"/>
        <w:tabs>
          <w:tab w:leader="none" w:pos="1977"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withholding is necessary or advisable for the protection and retention of any attorney-client privilege.</w:t>
      </w:r>
    </w:p>
    <w:p>
      <w:pPr>
        <w:spacing w:after="0" w:line="225" w:lineRule="exact"/>
        <w:rPr>
          <w:sz w:val="20"/>
          <w:szCs w:val="20"/>
          <w:color w:val="auto"/>
        </w:rPr>
      </w:pPr>
    </w:p>
    <w:p>
      <w:pPr>
        <w:ind w:left="640" w:right="280" w:firstLine="645"/>
        <w:spacing w:after="0" w:line="293" w:lineRule="auto"/>
        <w:tabs>
          <w:tab w:leader="none" w:pos="1953" w:val="left"/>
        </w:tabs>
        <w:numPr>
          <w:ilvl w:val="0"/>
          <w:numId w:val="427"/>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4" w:lineRule="exact"/>
        <w:rPr>
          <w:rFonts w:ascii="Arial" w:cs="Arial" w:eastAsia="Arial" w:hAnsi="Arial"/>
          <w:sz w:val="16"/>
          <w:szCs w:val="16"/>
          <w:color w:val="auto"/>
        </w:rPr>
      </w:pPr>
    </w:p>
    <w:p>
      <w:pPr>
        <w:ind w:left="640" w:right="40" w:firstLine="645"/>
        <w:spacing w:after="0" w:line="276" w:lineRule="auto"/>
        <w:tabs>
          <w:tab w:leader="none" w:pos="1944"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72" w:lineRule="exact"/>
        <w:rPr>
          <w:rFonts w:ascii="Arial" w:cs="Arial" w:eastAsia="Arial" w:hAnsi="Arial"/>
          <w:sz w:val="17"/>
          <w:szCs w:val="17"/>
          <w:color w:val="auto"/>
        </w:rPr>
      </w:pPr>
    </w:p>
    <w:p>
      <w:pPr>
        <w:jc w:val="both"/>
        <w:ind w:left="640" w:right="180" w:firstLine="645"/>
        <w:spacing w:after="0" w:line="302" w:lineRule="auto"/>
        <w:tabs>
          <w:tab w:leader="none" w:pos="1953"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with respect to materials provided to any Initial Designating Member pursuant to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w:t>
      </w:r>
    </w:p>
    <w:p>
      <w:pPr>
        <w:sectPr>
          <w:pgSz w:w="11900" w:h="16838" w:orient="portrait"/>
          <w:cols w:equalWidth="0" w:num="1">
            <w:col w:w="11380"/>
          </w:cols>
          <w:pgMar w:left="260" w:top="125" w:right="259" w:bottom="0" w:gutter="0" w:footer="0" w:header="0"/>
        </w:sectPr>
      </w:pPr>
    </w:p>
    <w:bookmarkStart w:id="176" w:name="page177"/>
    <w:bookmarkEnd w:id="176"/>
    <w:p>
      <w:pPr>
        <w:ind w:left="660" w:right="720"/>
        <w:spacing w:after="0" w:line="277" w:lineRule="auto"/>
        <w:rPr>
          <w:sz w:val="20"/>
          <w:szCs w:val="20"/>
          <w:color w:val="auto"/>
        </w:rPr>
      </w:pPr>
      <w:r>
        <w:rPr>
          <w:rFonts w:ascii="Arial" w:cs="Arial" w:eastAsia="Arial" w:hAnsi="Arial"/>
          <w:sz w:val="18"/>
          <w:szCs w:val="18"/>
          <w:color w:val="auto"/>
        </w:rPr>
        <w:t xml:space="preserve">its Subsidiaries. This </w:t>
      </w:r>
      <w:r>
        <w:rPr>
          <w:rFonts w:ascii="Arial" w:cs="Arial" w:eastAsia="Arial" w:hAnsi="Arial"/>
          <w:sz w:val="18"/>
          <w:szCs w:val="18"/>
          <w:u w:val="single" w:color="auto"/>
          <w:color w:val="auto"/>
        </w:rPr>
        <w:t>Section 6.1(b)(vi)</w:t>
      </w:r>
      <w:r>
        <w:rPr>
          <w:rFonts w:ascii="Arial" w:cs="Arial" w:eastAsia="Arial" w:hAnsi="Arial"/>
          <w:sz w:val="18"/>
          <w:szCs w:val="18"/>
          <w:color w:val="auto"/>
        </w:rPr>
        <w:t xml:space="preserve"> shall not apply with respect to information provided to any Initial Designating Member pursuant to </w:t>
      </w:r>
      <w:r>
        <w:rPr>
          <w:rFonts w:ascii="Arial" w:cs="Arial" w:eastAsia="Arial" w:hAnsi="Arial"/>
          <w:sz w:val="18"/>
          <w:szCs w:val="18"/>
          <w:u w:val="single" w:color="auto"/>
          <w:color w:val="auto"/>
        </w:rPr>
        <w:t>Section 6.2(b)(v)</w:t>
      </w:r>
      <w:r>
        <w:rPr>
          <w:rFonts w:ascii="Arial" w:cs="Arial" w:eastAsia="Arial" w:hAnsi="Arial"/>
          <w:sz w:val="18"/>
          <w:szCs w:val="18"/>
          <w:color w:val="auto"/>
        </w:rPr>
        <w:t xml:space="preserve"> or otherwise provided upon an Initial Designating Member’s request.</w:t>
      </w:r>
    </w:p>
    <w:p>
      <w:pPr>
        <w:spacing w:after="0" w:line="170" w:lineRule="exact"/>
        <w:rPr>
          <w:sz w:val="20"/>
          <w:szCs w:val="20"/>
          <w:color w:val="auto"/>
        </w:rPr>
      </w:pPr>
    </w:p>
    <w:p>
      <w:pPr>
        <w:ind w:left="660" w:right="340" w:firstLine="645"/>
        <w:spacing w:after="0" w:line="308" w:lineRule="auto"/>
        <w:tabs>
          <w:tab w:leader="none" w:pos="1983" w:val="left"/>
        </w:tabs>
        <w:numPr>
          <w:ilvl w:val="1"/>
          <w:numId w:val="428"/>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46" w:lineRule="exact"/>
        <w:rPr>
          <w:rFonts w:ascii="Arial" w:cs="Arial" w:eastAsia="Arial" w:hAnsi="Arial"/>
          <w:sz w:val="17"/>
          <w:szCs w:val="17"/>
          <w:color w:val="auto"/>
        </w:rPr>
      </w:pPr>
    </w:p>
    <w:p>
      <w:pPr>
        <w:ind w:right="80" w:firstLine="656"/>
        <w:spacing w:after="0" w:line="257" w:lineRule="auto"/>
        <w:tabs>
          <w:tab w:leader="none" w:pos="130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8"/>
          <w:szCs w:val="18"/>
          <w:b w:val="1"/>
          <w:bCs w:val="1"/>
          <w:i w:val="1"/>
          <w:iCs w:val="1"/>
          <w:color w:val="auto"/>
        </w:rPr>
        <w:t>Series A Designated Director</w:t>
      </w:r>
      <w:r>
        <w:rPr>
          <w:rFonts w:ascii="Arial" w:cs="Arial" w:eastAsia="Arial" w:hAnsi="Arial"/>
          <w:sz w:val="18"/>
          <w:szCs w:val="18"/>
          <w:color w:val="auto"/>
        </w:rPr>
        <w:t>.” The Series A Designated Director must, in the reasonable judgment of the Board, (i)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shall mean any entity that (a) is an operating company (and not a financial institution) and</w:t>
      </w:r>
    </w:p>
    <w:p>
      <w:pPr>
        <w:spacing w:after="0" w:line="5" w:lineRule="exact"/>
        <w:rPr>
          <w:sz w:val="20"/>
          <w:szCs w:val="20"/>
          <w:color w:val="auto"/>
        </w:rPr>
      </w:pPr>
    </w:p>
    <w:p>
      <w:pPr>
        <w:ind w:right="360" w:firstLine="8"/>
        <w:spacing w:after="0" w:line="254" w:lineRule="auto"/>
        <w:tabs>
          <w:tab w:leader="none" w:pos="25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6.1(e)</w:t>
      </w:r>
      <w:r>
        <w:rPr>
          <w:rFonts w:ascii="Arial" w:cs="Arial" w:eastAsia="Arial" w:hAnsi="Arial"/>
          <w:sz w:val="18"/>
          <w:szCs w:val="18"/>
          <w:color w:val="auto"/>
        </w:rPr>
        <w:t>. Any Series A Designated Director shall have all the rights and duties of a Director otherwise serving hereunder.</w:t>
      </w:r>
    </w:p>
    <w:p>
      <w:pPr>
        <w:spacing w:after="0" w:line="189" w:lineRule="exact"/>
        <w:rPr>
          <w:rFonts w:ascii="Arial" w:cs="Arial" w:eastAsia="Arial" w:hAnsi="Arial"/>
          <w:sz w:val="18"/>
          <w:szCs w:val="18"/>
          <w:color w:val="auto"/>
        </w:rPr>
      </w:pPr>
    </w:p>
    <w:p>
      <w:pPr>
        <w:ind w:right="20" w:firstLine="656"/>
        <w:spacing w:after="0" w:line="268" w:lineRule="auto"/>
        <w:tabs>
          <w:tab w:leader="none" w:pos="1304" w:val="left"/>
        </w:tabs>
        <w:numPr>
          <w:ilvl w:val="1"/>
          <w:numId w:val="430"/>
        </w:numPr>
        <w:rPr>
          <w:rFonts w:ascii="Arial" w:cs="Arial" w:eastAsia="Arial" w:hAnsi="Arial"/>
          <w:sz w:val="17"/>
          <w:szCs w:val="17"/>
          <w:color w:val="auto"/>
        </w:rPr>
      </w:pPr>
      <w:r>
        <w:rPr>
          <w:rFonts w:ascii="Arial" w:cs="Arial" w:eastAsia="Arial" w:hAnsi="Arial"/>
          <w:sz w:val="17"/>
          <w:szCs w:val="17"/>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rFonts w:ascii="Arial" w:cs="Arial" w:eastAsia="Arial" w:hAnsi="Arial"/>
          <w:sz w:val="17"/>
          <w:szCs w:val="17"/>
          <w:color w:val="auto"/>
        </w:rPr>
      </w:pPr>
    </w:p>
    <w:p>
      <w:pPr>
        <w:ind w:firstLine="656"/>
        <w:spacing w:after="0" w:line="264" w:lineRule="auto"/>
        <w:tabs>
          <w:tab w:leader="none" w:pos="1307" w:val="left"/>
        </w:tabs>
        <w:numPr>
          <w:ilvl w:val="1"/>
          <w:numId w:val="430"/>
        </w:numPr>
        <w:rPr>
          <w:rFonts w:ascii="Arial" w:cs="Arial" w:eastAsia="Arial" w:hAnsi="Arial"/>
          <w:sz w:val="18"/>
          <w:szCs w:val="18"/>
          <w:color w:val="auto"/>
        </w:rPr>
      </w:pPr>
      <w:r>
        <w:rPr>
          <w:rFonts w:ascii="Arial" w:cs="Arial" w:eastAsia="Arial" w:hAnsi="Arial"/>
          <w:sz w:val="18"/>
          <w:szCs w:val="18"/>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8"/>
          <w:szCs w:val="18"/>
          <w:b w:val="1"/>
          <w:bCs w:val="1"/>
          <w:i w:val="1"/>
          <w:iCs w:val="1"/>
          <w:color w:val="auto"/>
        </w:rPr>
        <w:t>Designation Right Termination Event</w:t>
      </w:r>
      <w:r>
        <w:rPr>
          <w:rFonts w:ascii="Arial" w:cs="Arial" w:eastAsia="Arial" w:hAnsi="Arial"/>
          <w:sz w:val="18"/>
          <w:szCs w:val="18"/>
          <w:color w:val="auto"/>
        </w:rPr>
        <w:t>”), the right of the Series A Preferred Unitholders to designate a Series A Designated Director shall automatically terminate (unless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87" w:lineRule="exact"/>
        <w:rPr>
          <w:sz w:val="20"/>
          <w:szCs w:val="20"/>
          <w:color w:val="auto"/>
        </w:rPr>
      </w:pPr>
    </w:p>
    <w:p>
      <w:pPr>
        <w:ind w:right="360" w:firstLine="656"/>
        <w:spacing w:after="0" w:line="264" w:lineRule="auto"/>
        <w:tabs>
          <w:tab w:leader="none" w:pos="130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ind w:right="120" w:firstLine="656"/>
        <w:spacing w:after="0" w:line="259" w:lineRule="auto"/>
        <w:tabs>
          <w:tab w:leader="none" w:pos="131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jc w:val="both"/>
        <w:ind w:right="660" w:firstLine="656"/>
        <w:spacing w:after="0" w:line="264" w:lineRule="auto"/>
        <w:tabs>
          <w:tab w:leader="none" w:pos="130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u w:val="single" w:color="auto"/>
          <w:color w:val="auto"/>
        </w:rPr>
        <w:t>Classification of the Board</w:t>
      </w:r>
      <w:r>
        <w:rPr>
          <w:rFonts w:ascii="Arial" w:cs="Arial" w:eastAsia="Arial" w:hAnsi="Arial"/>
          <w:sz w:val="16"/>
          <w:szCs w:val="16"/>
          <w:color w:val="auto"/>
        </w:rPr>
        <w:t>.</w:t>
      </w:r>
    </w:p>
    <w:p>
      <w:pPr>
        <w:spacing w:after="0" w:line="229" w:lineRule="exact"/>
        <w:rPr>
          <w:sz w:val="20"/>
          <w:szCs w:val="20"/>
          <w:color w:val="auto"/>
        </w:rPr>
      </w:pPr>
    </w:p>
    <w:p>
      <w:pPr>
        <w:ind w:right="160" w:firstLine="656"/>
        <w:spacing w:after="0" w:line="291" w:lineRule="auto"/>
        <w:tabs>
          <w:tab w:leader="none" w:pos="1294" w:val="left"/>
        </w:tabs>
        <w:numPr>
          <w:ilvl w:val="1"/>
          <w:numId w:val="432"/>
        </w:numPr>
        <w:rPr>
          <w:rFonts w:ascii="Arial" w:cs="Arial" w:eastAsia="Arial" w:hAnsi="Arial"/>
          <w:sz w:val="16"/>
          <w:szCs w:val="16"/>
          <w:color w:val="auto"/>
        </w:rPr>
      </w:pPr>
      <w:r>
        <w:rPr>
          <w:rFonts w:ascii="Arial" w:cs="Arial" w:eastAsia="Arial" w:hAnsi="Arial"/>
          <w:sz w:val="16"/>
          <w:szCs w:val="16"/>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and</w:t>
      </w:r>
    </w:p>
    <w:p>
      <w:pPr>
        <w:ind w:right="40" w:firstLine="8"/>
        <w:spacing w:after="0" w:line="323" w:lineRule="auto"/>
        <w:tabs>
          <w:tab w:leader="none" w:pos="265" w:val="left"/>
        </w:tabs>
        <w:numPr>
          <w:ilvl w:val="0"/>
          <w:numId w:val="433"/>
        </w:numPr>
        <w:rPr>
          <w:rFonts w:ascii="Arial" w:cs="Arial" w:eastAsia="Arial" w:hAnsi="Arial"/>
          <w:sz w:val="16"/>
          <w:szCs w:val="16"/>
          <w:color w:val="auto"/>
        </w:rPr>
      </w:pPr>
      <w:r>
        <w:rPr>
          <w:rFonts w:ascii="Arial" w:cs="Arial" w:eastAsia="Arial" w:hAnsi="Arial"/>
          <w:sz w:val="16"/>
          <w:szCs w:val="16"/>
          <w:color w:val="auto"/>
        </w:rPr>
        <w:t>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w:t>
      </w:r>
    </w:p>
    <w:p>
      <w:pPr>
        <w:sectPr>
          <w:pgSz w:w="11900" w:h="16838" w:orient="portrait"/>
          <w:cols w:equalWidth="0" w:num="1">
            <w:col w:w="11420"/>
          </w:cols>
          <w:pgMar w:left="240" w:top="125" w:right="239" w:bottom="0" w:gutter="0" w:footer="0" w:header="0"/>
        </w:sectPr>
      </w:pPr>
    </w:p>
    <w:bookmarkStart w:id="177" w:name="page178"/>
    <w:bookmarkEnd w:id="177"/>
    <w:p>
      <w:pPr>
        <w:ind w:right="80"/>
        <w:spacing w:after="0" w:line="277" w:lineRule="auto"/>
        <w:rPr>
          <w:sz w:val="20"/>
          <w:szCs w:val="20"/>
          <w:color w:val="auto"/>
        </w:rPr>
      </w:pPr>
      <w:r>
        <w:rPr>
          <w:rFonts w:ascii="Arial" w:cs="Arial" w:eastAsia="Arial" w:hAnsi="Arial"/>
          <w:sz w:val="18"/>
          <w:szCs w:val="18"/>
          <w:color w:val="auto"/>
        </w:rPr>
        <w:t xml:space="preserve">Classes such that Directors are as evenly distributed among Classes as possible. The Classes of the Directors as of the date hereof are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w:t>
      </w:r>
    </w:p>
    <w:p>
      <w:pPr>
        <w:spacing w:after="0" w:line="170" w:lineRule="exact"/>
        <w:rPr>
          <w:sz w:val="20"/>
          <w:szCs w:val="20"/>
          <w:color w:val="auto"/>
        </w:rPr>
      </w:pPr>
    </w:p>
    <w:p>
      <w:pPr>
        <w:ind w:right="260" w:firstLine="656"/>
        <w:spacing w:after="0" w:line="272" w:lineRule="auto"/>
        <w:tabs>
          <w:tab w:leader="none" w:pos="1304"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continue to be a Director until his removal or replacement in accordance with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Each Director that has been designated by a Designating Member shall continue to be a Director until such Director’s removal or replacement in accordance with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Any Series A Designated Director shall continue to be a Director until his removal or replacement in accordance with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6.1(e)</w:t>
      </w:r>
      <w:r>
        <w:rPr>
          <w:rFonts w:ascii="Arial" w:cs="Arial" w:eastAsia="Arial" w:hAnsi="Arial"/>
          <w:sz w:val="17"/>
          <w:szCs w:val="17"/>
          <w:color w:val="auto"/>
        </w:rPr>
        <w:t>. Each Eligible Director shall serve for a term ending as follows, subject to earlier death, resignation or removal as provided herein: (i) the Directors designated to Class III shall 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81" w:lineRule="exact"/>
        <w:rPr>
          <w:sz w:val="20"/>
          <w:szCs w:val="20"/>
          <w:color w:val="auto"/>
        </w:rPr>
      </w:pPr>
    </w:p>
    <w:p>
      <w:pPr>
        <w:jc w:val="both"/>
        <w:ind w:right="640" w:firstLine="656"/>
        <w:spacing w:after="0" w:line="286" w:lineRule="auto"/>
        <w:tabs>
          <w:tab w:leader="none" w:pos="1307"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65" w:lineRule="exact"/>
        <w:rPr>
          <w:rFonts w:ascii="Arial" w:cs="Arial" w:eastAsia="Arial" w:hAnsi="Arial"/>
          <w:sz w:val="17"/>
          <w:szCs w:val="17"/>
          <w:color w:val="auto"/>
        </w:rPr>
      </w:pPr>
    </w:p>
    <w:p>
      <w:pPr>
        <w:jc w:val="both"/>
        <w:ind w:right="160" w:firstLine="656"/>
        <w:spacing w:after="0" w:line="312" w:lineRule="auto"/>
        <w:tabs>
          <w:tab w:leader="none" w:pos="1304"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Director who is elected by the holders of PAGP Class A Shares, PAGP Class B Shares and PAGP Class C Shares pursuant to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PAGP Partnership Agreement may only be removed for Cause upon a vote of a majority of the remaining Directors then in office.</w:t>
      </w:r>
    </w:p>
    <w:p>
      <w:pPr>
        <w:spacing w:after="0" w:line="146" w:lineRule="exact"/>
        <w:rPr>
          <w:rFonts w:ascii="Arial" w:cs="Arial" w:eastAsia="Arial" w:hAnsi="Arial"/>
          <w:sz w:val="16"/>
          <w:szCs w:val="16"/>
          <w:color w:val="auto"/>
        </w:rPr>
      </w:pPr>
    </w:p>
    <w:p>
      <w:pPr>
        <w:ind w:right="560" w:firstLine="656"/>
        <w:spacing w:after="0" w:line="277" w:lineRule="auto"/>
        <w:tabs>
          <w:tab w:leader="none" w:pos="130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After the date hereof, individuals shall be nominated for election as Eligible Directors, and the election of Eligible Directors shall be conducted, in accordance with the provisions of the PAGP Partnership Agreement.</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7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committee. Such filing shall be in paper form if the minutes are maintained in paper form and shall be in electronic form if the minutes are maintained in electronic form.</w:t>
      </w:r>
    </w:p>
    <w:p>
      <w:pPr>
        <w:spacing w:after="0" w:line="166"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9" w:lineRule="exact"/>
        <w:rPr>
          <w:sz w:val="20"/>
          <w:szCs w:val="20"/>
          <w:color w:val="auto"/>
        </w:rPr>
      </w:pPr>
    </w:p>
    <w:p>
      <w:pPr>
        <w:ind w:right="80" w:firstLine="656"/>
        <w:spacing w:after="0" w:line="293" w:lineRule="auto"/>
        <w:tabs>
          <w:tab w:leader="none" w:pos="1294"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64" w:lineRule="exact"/>
        <w:rPr>
          <w:rFonts w:ascii="Arial" w:cs="Arial" w:eastAsia="Arial" w:hAnsi="Arial"/>
          <w:sz w:val="16"/>
          <w:szCs w:val="16"/>
          <w:color w:val="auto"/>
        </w:rPr>
      </w:pPr>
    </w:p>
    <w:p>
      <w:pPr>
        <w:ind w:right="20" w:firstLine="656"/>
        <w:spacing w:after="0" w:line="276" w:lineRule="auto"/>
        <w:tabs>
          <w:tab w:leader="none" w:pos="1304" w:val="left"/>
        </w:tabs>
        <w:numPr>
          <w:ilvl w:val="0"/>
          <w:numId w:val="436"/>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ectPr>
          <w:pgSz w:w="11900" w:h="16838" w:orient="portrait"/>
          <w:cols w:equalWidth="0" w:num="1">
            <w:col w:w="11420"/>
          </w:cols>
          <w:pgMar w:left="240" w:top="125" w:right="239" w:bottom="0" w:gutter="0" w:footer="0" w:header="0"/>
        </w:sectPr>
      </w:pPr>
    </w:p>
    <w:bookmarkStart w:id="178" w:name="page179"/>
    <w:bookmarkEnd w:id="178"/>
    <w:p>
      <w:pPr>
        <w:spacing w:after="0" w:line="137" w:lineRule="exact"/>
        <w:rPr>
          <w:sz w:val="20"/>
          <w:szCs w:val="20"/>
          <w:color w:val="auto"/>
        </w:rPr>
      </w:pPr>
    </w:p>
    <w:p>
      <w:pPr>
        <w:jc w:val="both"/>
        <w:ind w:right="180" w:firstLine="656"/>
        <w:spacing w:after="0" w:line="312" w:lineRule="auto"/>
        <w:tabs>
          <w:tab w:leader="none" w:pos="1307"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u w:val="single" w:color="auto"/>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43"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incurred by such Director in connection with attending Board meetings and such other compensation as may be approved by the Board.</w:t>
      </w:r>
    </w:p>
    <w:p>
      <w:pPr>
        <w:spacing w:after="0" w:line="13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u w:val="single" w:color="auto"/>
          <w:color w:val="auto"/>
        </w:rPr>
        <w:t>Directors as Agents</w:t>
      </w:r>
      <w:r>
        <w:rPr>
          <w:rFonts w:ascii="Arial" w:cs="Arial" w:eastAsia="Arial" w:hAnsi="Arial"/>
          <w:sz w:val="18"/>
          <w:szCs w:val="18"/>
          <w:color w:val="auto"/>
        </w:rPr>
        <w:t>. The Board, acting as a body pursuant to this Agreement, shall constitute a “manager” for purposes of the Act. No</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in such capacity, acting singly or with any other Director, shall have any authority or right to act on behalf of or bind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Company other than by exercising the Director’s voting power as a member of the Board, unless specifically authorized by the Board in each instance.</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6.9 </w:t>
      </w:r>
      <w:r>
        <w:rPr>
          <w:rFonts w:ascii="Arial" w:cs="Arial" w:eastAsia="Arial" w:hAnsi="Arial"/>
          <w:sz w:val="17"/>
          <w:szCs w:val="17"/>
          <w:u w:val="single" w:color="auto"/>
          <w:color w:val="auto"/>
        </w:rPr>
        <w:t>Officers; Agents</w:t>
      </w:r>
      <w:r>
        <w:rPr>
          <w:rFonts w:ascii="Arial" w:cs="Arial" w:eastAsia="Arial" w:hAnsi="Arial"/>
          <w:sz w:val="17"/>
          <w:szCs w:val="17"/>
          <w:color w:val="auto"/>
        </w:rPr>
        <w:t>. The Board shall have the power to appoint any Person or Persons as the Company’s officers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to act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7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u w:val="single" w:color="auto"/>
          <w:color w:val="auto"/>
        </w:rPr>
        <w:t>Actions Requiring Consent of Oxy</w:t>
      </w:r>
      <w:r>
        <w:rPr>
          <w:rFonts w:ascii="Arial" w:cs="Arial" w:eastAsia="Arial" w:hAnsi="Arial"/>
          <w:sz w:val="18"/>
          <w:szCs w:val="18"/>
          <w:color w:val="auto"/>
        </w:rPr>
        <w:t>. Until Oxy and its Affiliates (a) do not have a Qualifying Interest of at least 5% and (b) beneficially own</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The Company shall not propose any amendment to the PAGP Partnership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u w:val="single" w:color="auto"/>
          <w:color w:val="auto"/>
        </w:rPr>
        <w:t>Limitation on Liability of Members, Directors and Officers</w:t>
      </w:r>
      <w:r>
        <w:rPr>
          <w:rFonts w:ascii="Arial" w:cs="Arial" w:eastAsia="Arial" w:hAnsi="Arial"/>
          <w:sz w:val="17"/>
          <w:szCs w:val="17"/>
          <w:color w:val="auto"/>
        </w:rPr>
        <w:t>.</w:t>
      </w:r>
    </w:p>
    <w:p>
      <w:pPr>
        <w:spacing w:after="0" w:line="229" w:lineRule="exact"/>
        <w:rPr>
          <w:sz w:val="20"/>
          <w:szCs w:val="20"/>
          <w:color w:val="auto"/>
        </w:rPr>
      </w:pPr>
    </w:p>
    <w:p>
      <w:pPr>
        <w:ind w:right="60" w:firstLine="656"/>
        <w:spacing w:after="0" w:line="273" w:lineRule="auto"/>
        <w:tabs>
          <w:tab w:leader="none" w:pos="1294"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 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75" w:lineRule="exact"/>
        <w:rPr>
          <w:sz w:val="20"/>
          <w:szCs w:val="20"/>
          <w:color w:val="auto"/>
        </w:rPr>
      </w:pPr>
    </w:p>
    <w:p>
      <w:pPr>
        <w:ind w:right="80" w:firstLine="656"/>
        <w:spacing w:after="0" w:line="264" w:lineRule="auto"/>
        <w:tabs>
          <w:tab w:leader="none" w:pos="130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300" w:firstLine="656"/>
        <w:spacing w:after="0" w:line="342" w:lineRule="auto"/>
        <w:tabs>
          <w:tab w:leader="none" w:pos="1307"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No amendment, modification or repeal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as in</w:t>
      </w:r>
    </w:p>
    <w:p>
      <w:pPr>
        <w:sectPr>
          <w:pgSz w:w="11900" w:h="16975" w:orient="portrait"/>
          <w:cols w:equalWidth="0" w:num="1">
            <w:col w:w="11400"/>
          </w:cols>
          <w:pgMar w:left="240" w:top="125" w:right="259" w:bottom="0" w:gutter="0" w:footer="0" w:header="0"/>
        </w:sectPr>
      </w:pPr>
    </w:p>
    <w:bookmarkStart w:id="179" w:name="page180"/>
    <w:bookmarkEnd w:id="179"/>
    <w:p>
      <w:pPr>
        <w:ind w:right="240"/>
        <w:spacing w:after="0" w:line="277" w:lineRule="auto"/>
        <w:rPr>
          <w:sz w:val="20"/>
          <w:szCs w:val="20"/>
          <w:color w:val="auto"/>
        </w:rPr>
      </w:pPr>
      <w:r>
        <w:rPr>
          <w:rFonts w:ascii="Arial" w:cs="Arial" w:eastAsia="Arial" w:hAnsi="Arial"/>
          <w:sz w:val="18"/>
          <w:szCs w:val="18"/>
          <w:color w:val="auto"/>
        </w:rPr>
        <w:t>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9" w:lineRule="exact"/>
        <w:rPr>
          <w:sz w:val="20"/>
          <w:szCs w:val="20"/>
          <w:color w:val="auto"/>
        </w:rPr>
      </w:pPr>
    </w:p>
    <w:p>
      <w:pPr>
        <w:ind w:right="100" w:firstLine="656"/>
        <w:spacing w:after="0" w:line="264" w:lineRule="auto"/>
        <w:tabs>
          <w:tab w:leader="none" w:pos="129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73" w:lineRule="exact"/>
        <w:rPr>
          <w:sz w:val="20"/>
          <w:szCs w:val="20"/>
          <w:color w:val="auto"/>
        </w:rPr>
      </w:pPr>
    </w:p>
    <w:p>
      <w:pPr>
        <w:ind w:right="40" w:firstLine="656"/>
        <w:spacing w:after="0" w:line="259" w:lineRule="auto"/>
        <w:tabs>
          <w:tab w:leader="none" w:pos="130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293" w:lineRule="auto"/>
        <w:tabs>
          <w:tab w:leader="none" w:pos="1307"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The indemnification provided by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6"/>
          <w:szCs w:val="16"/>
          <w:u w:val="single" w:color="auto"/>
          <w:color w:val="auto"/>
        </w:rPr>
        <w:t>Section 7.2(c)</w:t>
      </w:r>
      <w:r>
        <w:rPr>
          <w:rFonts w:ascii="Arial" w:cs="Arial" w:eastAsia="Arial" w:hAnsi="Arial"/>
          <w:sz w:val="16"/>
          <w:szCs w:val="16"/>
          <w:color w:val="auto"/>
        </w:rPr>
        <w:t>. The Company shall not be required to indemnify any Member in connection with any losses, claims, demands, actions, disputes, suits or proceedings, of any Member against any other Member.</w:t>
      </w:r>
    </w:p>
    <w:p>
      <w:pPr>
        <w:spacing w:after="0" w:line="164" w:lineRule="exact"/>
        <w:rPr>
          <w:rFonts w:ascii="Arial" w:cs="Arial" w:eastAsia="Arial" w:hAnsi="Arial"/>
          <w:sz w:val="16"/>
          <w:szCs w:val="16"/>
          <w:color w:val="auto"/>
        </w:rPr>
      </w:pPr>
    </w:p>
    <w:p>
      <w:pPr>
        <w:ind w:right="640" w:firstLine="656"/>
        <w:spacing w:after="0" w:line="277" w:lineRule="auto"/>
        <w:tabs>
          <w:tab w:leader="none" w:pos="130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70" w:lineRule="exact"/>
        <w:rPr>
          <w:rFonts w:ascii="Arial" w:cs="Arial" w:eastAsia="Arial" w:hAnsi="Arial"/>
          <w:sz w:val="18"/>
          <w:szCs w:val="18"/>
          <w:color w:val="auto"/>
        </w:rPr>
      </w:pPr>
    </w:p>
    <w:p>
      <w:pPr>
        <w:ind w:right="240" w:firstLine="656"/>
        <w:spacing w:after="0" w:line="277" w:lineRule="auto"/>
        <w:tabs>
          <w:tab w:leader="none" w:pos="130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01"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Arial" w:cs="Arial" w:eastAsia="Arial" w:hAnsi="Arial"/>
          <w:sz w:val="17"/>
          <w:szCs w:val="17"/>
          <w:color w:val="auto"/>
        </w:rPr>
      </w:pPr>
    </w:p>
    <w:p>
      <w:pPr>
        <w:ind w:right="420" w:firstLine="656"/>
        <w:spacing w:after="0" w:line="308" w:lineRule="auto"/>
        <w:tabs>
          <w:tab w:leader="none" w:pos="1317"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120" w:firstLine="656"/>
        <w:spacing w:after="0" w:line="277" w:lineRule="auto"/>
        <w:tabs>
          <w:tab w:leader="none" w:pos="130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any provision hereof shall in any manner terminate, reduce or impair the right of any past, present or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TRANSFERS OF UNITS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u w:val="single" w:color="auto"/>
          <w:color w:val="auto"/>
        </w:rPr>
        <w:t>General Restrictions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1" w:lineRule="auto"/>
        <w:tabs>
          <w:tab w:leader="none" w:pos="1294" w:val="left"/>
        </w:tabs>
        <w:numPr>
          <w:ilvl w:val="0"/>
          <w:numId w:val="442"/>
        </w:numPr>
        <w:rPr>
          <w:rFonts w:ascii="Arial" w:cs="Arial" w:eastAsia="Arial" w:hAnsi="Arial"/>
          <w:sz w:val="17"/>
          <w:szCs w:val="17"/>
          <w:color w:val="auto"/>
        </w:rPr>
      </w:pPr>
      <w:r>
        <w:rPr>
          <w:rFonts w:ascii="Arial" w:cs="Arial" w:eastAsia="Arial" w:hAnsi="Arial"/>
          <w:sz w:val="17"/>
          <w:szCs w:val="17"/>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7"/>
          <w:szCs w:val="17"/>
          <w:b w:val="1"/>
          <w:bCs w:val="1"/>
          <w:i w:val="1"/>
          <w:i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If for any reason the transfer of such AAP Class A Units or PAGP Class B Shares does not occur simultaneously and proportionately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Transfer, then the Membership Transfer shall be null and void and of no force and effect.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no Member may pledge, mortgage or otherwise subject its Company Units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u w:val="single" w:color="auto"/>
          <w:color w:val="auto"/>
        </w:rPr>
        <w:t>Substitute Members</w:t>
      </w:r>
      <w:r>
        <w:rPr>
          <w:rFonts w:ascii="Arial" w:cs="Arial" w:eastAsia="Arial" w:hAnsi="Arial"/>
          <w:sz w:val="16"/>
          <w:szCs w:val="16"/>
          <w:color w:val="auto"/>
        </w:rPr>
        <w:t>.</w:t>
      </w:r>
    </w:p>
    <w:p>
      <w:pPr>
        <w:sectPr>
          <w:pgSz w:w="11900" w:h="16838" w:orient="portrait"/>
          <w:cols w:equalWidth="0" w:num="1">
            <w:col w:w="11420"/>
          </w:cols>
          <w:pgMar w:left="240" w:top="125" w:right="239" w:bottom="36" w:gutter="0" w:footer="0" w:header="0"/>
        </w:sectPr>
      </w:pPr>
    </w:p>
    <w:bookmarkStart w:id="180" w:name="page181"/>
    <w:bookmarkEnd w:id="180"/>
    <w:p>
      <w:pPr>
        <w:spacing w:after="0" w:line="36" w:lineRule="exact"/>
        <w:rPr>
          <w:sz w:val="20"/>
          <w:szCs w:val="20"/>
          <w:color w:val="auto"/>
        </w:rPr>
      </w:pPr>
    </w:p>
    <w:p>
      <w:pPr>
        <w:ind w:right="40" w:firstLine="656"/>
        <w:spacing w:after="0" w:line="272" w:lineRule="auto"/>
        <w:tabs>
          <w:tab w:leader="none" w:pos="1294"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u w:val="single" w:color="auto"/>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No transferee of all or any of a Member’s Company Units shall become a substitute Member in place of the transferor unless and until:</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77" w:lineRule="auto"/>
        <w:tabs>
          <w:tab w:leader="none" w:pos="198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9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Company in connection with the admission of the transferee as a substitute Member.</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43"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u w:val="single" w:color="auto"/>
          <w:color w:val="auto"/>
        </w:rPr>
        <w:t>Effect of Admission as a Substitute Member</w:t>
      </w:r>
      <w:r>
        <w:rPr>
          <w:rFonts w:ascii="Arial" w:cs="Arial" w:eastAsia="Arial" w:hAnsi="Arial"/>
          <w:sz w:val="17"/>
          <w:szCs w:val="17"/>
          <w:color w:val="auto"/>
        </w:rPr>
        <w:t>. Unless otherwise provided hereunder, a transferee who has become a substitute Member has,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6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Consent</w:t>
      </w:r>
      <w:r>
        <w:rPr>
          <w:rFonts w:ascii="Arial" w:cs="Arial" w:eastAsia="Arial" w:hAnsi="Arial"/>
          <w:sz w:val="18"/>
          <w:szCs w:val="18"/>
          <w:color w:val="auto"/>
        </w:rPr>
        <w:t>. Each Member hereby agrees that upon satisfaction of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the transferee may be admitted as a Member without any further action by a Member hereunder.</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u w:val="single" w:color="auto"/>
          <w:color w:val="auto"/>
        </w:rPr>
        <w:t>No Dissolution</w:t>
      </w:r>
      <w:r>
        <w:rPr>
          <w:rFonts w:ascii="Arial" w:cs="Arial" w:eastAsia="Arial" w:hAnsi="Arial"/>
          <w:sz w:val="18"/>
          <w:szCs w:val="18"/>
          <w:color w:val="auto"/>
        </w:rPr>
        <w:t>. If a Member Transfers all of its Company Units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transferee of such Company Units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admitted as a Member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such Person shall be admitted to the Company as a Member effective on the effective date of the Transfer and the Company shall not dissolve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76"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 xml:space="preserve">8.6 </w:t>
      </w:r>
      <w:r>
        <w:rPr>
          <w:rFonts w:ascii="Arial" w:cs="Arial" w:eastAsia="Arial" w:hAnsi="Arial"/>
          <w:sz w:val="17"/>
          <w:szCs w:val="17"/>
          <w:u w:val="single" w:color="auto"/>
          <w:color w:val="auto"/>
        </w:rPr>
        <w:t>Additional Members</w:t>
      </w:r>
      <w:r>
        <w:rPr>
          <w:rFonts w:ascii="Arial" w:cs="Arial" w:eastAsia="Arial" w:hAnsi="Arial"/>
          <w:sz w:val="17"/>
          <w:szCs w:val="17"/>
          <w:color w:val="auto"/>
        </w:rPr>
        <w:t>. Any Person acceptable to the Board may become an additional Member of the Company on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u w:val="single" w:color="auto"/>
          <w:color w:val="auto"/>
        </w:rPr>
        <w:t>Section 8.2(b)(ii) and (b)(iii)</w:t>
      </w:r>
      <w:r>
        <w:rPr>
          <w:rFonts w:ascii="Arial" w:cs="Arial" w:eastAsia="Arial" w:hAnsi="Arial"/>
          <w:sz w:val="17"/>
          <w:szCs w:val="17"/>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DISSOLUTION AND TERMINATION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u w:val="single" w:color="auto"/>
          <w:color w:val="auto"/>
        </w:rPr>
        <w:t>Events Causing Dissolution</w:t>
      </w:r>
      <w:r>
        <w:rPr>
          <w:rFonts w:ascii="Arial" w:cs="Arial" w:eastAsia="Arial" w:hAnsi="Arial"/>
          <w:sz w:val="16"/>
          <w:szCs w:val="16"/>
          <w:color w:val="auto"/>
        </w:rPr>
        <w:t>.</w:t>
      </w:r>
    </w:p>
    <w:p>
      <w:pPr>
        <w:spacing w:after="0" w:line="229" w:lineRule="exact"/>
        <w:rPr>
          <w:sz w:val="20"/>
          <w:szCs w:val="20"/>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Company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consent of at least two-thirds of the members of the Board;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 this Agreement;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entry of a decree of judicial dissolution pursuant to Section 18-802 of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56"/>
        <w:spacing w:after="0" w:line="308" w:lineRule="auto"/>
        <w:tabs>
          <w:tab w:leader="none" w:pos="1304"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43"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u w:val="single" w:color="auto"/>
          <w:color w:val="auto"/>
        </w:rPr>
        <w:t>Final Accounting</w:t>
      </w:r>
      <w:r>
        <w:rPr>
          <w:rFonts w:ascii="Arial" w:cs="Arial" w:eastAsia="Arial" w:hAnsi="Arial"/>
          <w:sz w:val="17"/>
          <w:szCs w:val="17"/>
          <w:color w:val="auto"/>
        </w:rPr>
        <w:t>. Upon dissolution and winding up of the Company, an accounting will be made of the accounts of the Company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Member and of the Company’s assets, liabilities and operations from the date of the last previous accounting to the date of such dissolution.</w:t>
      </w:r>
    </w:p>
    <w:p>
      <w:pPr>
        <w:spacing w:after="0" w:line="13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Distributions Following Dissolution and Termination</w:t>
      </w:r>
      <w:r>
        <w:rPr>
          <w:rFonts w:ascii="Arial" w:cs="Arial" w:eastAsia="Arial" w:hAnsi="Arial"/>
          <w:sz w:val="18"/>
          <w:szCs w:val="18"/>
          <w:color w:val="auto"/>
        </w:rPr>
        <w:t>. Upon dissolution and liquidation of the Company, the assets of the Company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and distributed in the following order of priority:</w:t>
      </w:r>
    </w:p>
    <w:p>
      <w:pPr>
        <w:spacing w:after="0" w:line="166" w:lineRule="exact"/>
        <w:rPr>
          <w:sz w:val="20"/>
          <w:szCs w:val="20"/>
          <w:color w:val="auto"/>
        </w:rPr>
      </w:pPr>
    </w:p>
    <w:p>
      <w:pPr>
        <w:ind w:right="660" w:firstLine="656"/>
        <w:spacing w:after="0" w:line="277" w:lineRule="auto"/>
        <w:tabs>
          <w:tab w:leader="none" w:pos="129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to the payment of debts and liabilities of the Company (including to the Members to the extent otherwise permitted by law) and the expenses of liquidation;</w:t>
      </w:r>
    </w:p>
    <w:p>
      <w:pPr>
        <w:spacing w:after="0" w:line="170"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remainder to the Members in proportion to their relative ownership of Company Units.</w:t>
      </w:r>
    </w:p>
    <w:p>
      <w:pPr>
        <w:sectPr>
          <w:pgSz w:w="11900" w:h="16874" w:orient="portrait"/>
          <w:cols w:equalWidth="0" w:num="1">
            <w:col w:w="11400"/>
          </w:cols>
          <w:pgMar w:left="240" w:top="125" w:right="259" w:bottom="0" w:gutter="0" w:footer="0" w:header="0"/>
        </w:sectPr>
      </w:pPr>
    </w:p>
    <w:bookmarkStart w:id="181" w:name="page182"/>
    <w:bookmarkEnd w:id="181"/>
    <w:p>
      <w:pPr>
        <w:spacing w:after="0" w:line="1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provisions of this Agreement, including, without limitation, this </w:t>
      </w:r>
      <w:r>
        <w:rPr>
          <w:rFonts w:ascii="Arial" w:cs="Arial" w:eastAsia="Arial" w:hAnsi="Arial"/>
          <w:sz w:val="18"/>
          <w:szCs w:val="18"/>
          <w:u w:val="single" w:color="auto"/>
          <w:color w:val="auto"/>
        </w:rPr>
        <w:t>Section 9.3</w:t>
      </w:r>
      <w:r>
        <w:rPr>
          <w:rFonts w:ascii="Arial" w:cs="Arial" w:eastAsia="Arial" w:hAnsi="Arial"/>
          <w:sz w:val="18"/>
          <w:szCs w:val="18"/>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83"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u w:val="single" w:color="auto"/>
          <w:color w:val="auto"/>
        </w:rPr>
        <w:t>Termination of the Company</w:t>
      </w:r>
      <w:r>
        <w:rPr>
          <w:rFonts w:ascii="Arial" w:cs="Arial" w:eastAsia="Arial" w:hAnsi="Arial"/>
          <w:sz w:val="18"/>
          <w:szCs w:val="18"/>
          <w:color w:val="auto"/>
        </w:rPr>
        <w:t>. The Company shall terminate when all assets of the Company, after payment or due provision for all debts,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liabilities and obligations of the Company, shall have been distributed to the Members in the manner provided for in this </w:t>
      </w:r>
      <w:r>
        <w:rPr>
          <w:rFonts w:ascii="Arial" w:cs="Arial" w:eastAsia="Arial" w:hAnsi="Arial"/>
          <w:sz w:val="18"/>
          <w:szCs w:val="18"/>
          <w:u w:val="single" w:color="auto"/>
          <w:color w:val="auto"/>
        </w:rPr>
        <w:t>Article 9</w:t>
      </w:r>
      <w:r>
        <w:rPr>
          <w:rFonts w:ascii="Arial" w:cs="Arial" w:eastAsia="Arial" w:hAnsi="Arial"/>
          <w:sz w:val="18"/>
          <w:szCs w:val="18"/>
          <w:color w:val="auto"/>
        </w:rPr>
        <w:t>, and the Certificate of Formation of the Company shall have been canceled in the manner required by the Act.</w:t>
      </w:r>
    </w:p>
    <w:p>
      <w:pPr>
        <w:spacing w:after="0" w:line="176"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u w:val="single" w:color="auto"/>
          <w:color w:val="auto"/>
        </w:rPr>
        <w:t>No Action for Dissolution</w:t>
      </w:r>
      <w:r>
        <w:rPr>
          <w:rFonts w:ascii="Arial" w:cs="Arial" w:eastAsia="Arial" w:hAnsi="Arial"/>
          <w:sz w:val="18"/>
          <w:szCs w:val="18"/>
          <w:color w:val="auto"/>
        </w:rPr>
        <w:t>. The Members acknowledge that irreparable damage would be done to the goodwill and reputation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if any Member should bring an action in court to dissolve the Company under circumstances where dissolution is not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Accordingly, except where the Board has failed to cause the liquidation of the Company as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except as specifically provided in Section 18-802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ACCOUNTING; BOOKS AND RECORDS</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The fiscal year and taxable year of the Company shall be the calendar year. The Company shall use</w:t>
      </w:r>
      <w:r>
        <w:rPr>
          <w:rFonts w:ascii="Arial" w:cs="Arial" w:eastAsia="Arial" w:hAnsi="Arial"/>
          <w:sz w:val="18"/>
          <w:szCs w:val="18"/>
          <w:b w:val="1"/>
          <w:bCs w:val="1"/>
          <w:color w:val="auto"/>
        </w:rPr>
        <w:t xml:space="preserve"> </w:t>
      </w:r>
      <w:r>
        <w:rPr>
          <w:rFonts w:ascii="Arial" w:cs="Arial" w:eastAsia="Arial" w:hAnsi="Arial"/>
          <w:sz w:val="18"/>
          <w:szCs w:val="18"/>
          <w:color w:val="auto"/>
        </w:rPr>
        <w:t>an accrual method of accounting.</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maintain at its principal office, or such other office as may be determined by the Board,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ind w:left="1300" w:hanging="644"/>
        <w:spacing w:after="0"/>
        <w:tabs>
          <w:tab w:leader="none" w:pos="130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w:t>
      </w:r>
    </w:p>
    <w:p>
      <w:pPr>
        <w:spacing w:after="0" w:line="236" w:lineRule="exact"/>
        <w:rPr>
          <w:rFonts w:ascii="Arial" w:cs="Arial" w:eastAsia="Arial" w:hAnsi="Arial"/>
          <w:sz w:val="17"/>
          <w:szCs w:val="17"/>
          <w:color w:val="auto"/>
        </w:rPr>
      </w:pPr>
    </w:p>
    <w:p>
      <w:pPr>
        <w:ind w:right="420" w:firstLine="656"/>
        <w:spacing w:after="0" w:line="277" w:lineRule="auto"/>
        <w:tabs>
          <w:tab w:leader="none" w:pos="130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Company’s books and records.</w:t>
      </w:r>
    </w:p>
    <w:p>
      <w:pPr>
        <w:spacing w:after="0" w:line="221" w:lineRule="exact"/>
        <w:rPr>
          <w:sz w:val="20"/>
          <w:szCs w:val="20"/>
          <w:color w:val="auto"/>
        </w:rPr>
      </w:pPr>
    </w:p>
    <w:p>
      <w:pPr>
        <w:ind w:right="420" w:firstLine="648"/>
        <w:spacing w:after="0" w:line="293"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u w:val="single" w:color="auto"/>
          <w:color w:val="auto"/>
        </w:rPr>
        <w:t>Delivery to Members; Inspection</w:t>
      </w:r>
      <w:r>
        <w:rPr>
          <w:rFonts w:ascii="Arial" w:cs="Arial" w:eastAsia="Arial" w:hAnsi="Arial"/>
          <w:sz w:val="16"/>
          <w:szCs w:val="16"/>
          <w:color w:val="auto"/>
        </w:rPr>
        <w:t>. Upon the request of any Member, for any purpose reasonably related to such Member’s interest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Company, the Board shall cause to be made available to the requesting Member the information required to be maintained by clauses</w:t>
      </w:r>
    </w:p>
    <w:p>
      <w:pPr>
        <w:spacing w:after="0" w:line="1" w:lineRule="exact"/>
        <w:rPr>
          <w:sz w:val="20"/>
          <w:szCs w:val="20"/>
          <w:color w:val="auto"/>
        </w:rPr>
      </w:pPr>
    </w:p>
    <w:p>
      <w:pPr>
        <w:ind w:right="360" w:firstLine="8"/>
        <w:spacing w:after="0" w:line="261" w:lineRule="auto"/>
        <w:tabs>
          <w:tab w:leader="none" w:pos="24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through (c)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such other information regarding the business and affairs and financial condition of the Company as any Member may reasonably request.</w:t>
      </w:r>
    </w:p>
    <w:p>
      <w:pPr>
        <w:spacing w:after="0" w:line="18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7"/>
          <w:szCs w:val="17"/>
          <w:u w:val="single" w:color="auto"/>
          <w:color w:val="auto"/>
        </w:rPr>
        <w:t>Non-Disclosure</w:t>
      </w:r>
      <w:r>
        <w:rPr>
          <w:rFonts w:ascii="Arial" w:cs="Arial" w:eastAsia="Arial" w:hAnsi="Arial"/>
          <w:sz w:val="17"/>
          <w:szCs w:val="17"/>
          <w:color w:val="auto"/>
        </w:rPr>
        <w:t>. Each Member (other than PAGP) agrees that, except as otherwise consented to by the Company in writing, all non-public</w:t>
      </w:r>
      <w:r>
        <w:rPr>
          <w:rFonts w:ascii="Arial" w:cs="Arial" w:eastAsia="Arial" w:hAnsi="Arial"/>
          <w:sz w:val="17"/>
          <w:szCs w:val="17"/>
          <w:b w:val="1"/>
          <w:bCs w:val="1"/>
          <w:color w:val="auto"/>
        </w:rPr>
        <w:t xml:space="preserve"> </w:t>
      </w:r>
      <w:r>
        <w:rPr>
          <w:rFonts w:ascii="Arial" w:cs="Arial" w:eastAsia="Arial" w:hAnsi="Arial"/>
          <w:sz w:val="17"/>
          <w:szCs w:val="17"/>
          <w:color w:val="auto"/>
        </w:rPr>
        <w:t>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Company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 xml:space="preserve">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information shall not be deemed to be confidential information for purposes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where such information (i) is already known to such Member (or its Representatives), having been disclosed to such Member (or its Representatives) by a third Person without such third Person having an obligation of confidentiality to the Company (ii) 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by its Representatives.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NON-COMPETITION AND NON-SOLICITATION</w:t>
      </w:r>
    </w:p>
    <w:p>
      <w:pPr>
        <w:spacing w:after="0" w:line="207"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u w:val="single" w:color="auto"/>
          <w:color w:val="auto"/>
        </w:rPr>
        <w:t>Non-Competition</w:t>
      </w:r>
      <w:r>
        <w:rPr>
          <w:rFonts w:ascii="Arial" w:cs="Arial" w:eastAsia="Arial" w:hAnsi="Arial"/>
          <w:sz w:val="16"/>
          <w:szCs w:val="16"/>
          <w:color w:val="auto"/>
        </w:rPr>
        <w:t>. Each of the Members (other than PAGP) hereby acknowledges that the Company and its Subsidiaries operate in a</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w:t>
      </w:r>
    </w:p>
    <w:p>
      <w:pPr>
        <w:sectPr>
          <w:pgSz w:w="11900" w:h="16941" w:orient="portrait"/>
          <w:cols w:equalWidth="0" w:num="1">
            <w:col w:w="11420"/>
          </w:cols>
          <w:pgMar w:left="240" w:top="341" w:right="239" w:bottom="0" w:gutter="0" w:footer="0" w:header="0"/>
        </w:sectPr>
      </w:pPr>
    </w:p>
    <w:bookmarkStart w:id="182" w:name="page183"/>
    <w:bookmarkEnd w:id="182"/>
    <w:p>
      <w:pPr>
        <w:ind w:right="20"/>
        <w:spacing w:after="0" w:line="286" w:lineRule="auto"/>
        <w:rPr>
          <w:sz w:val="20"/>
          <w:szCs w:val="20"/>
          <w:color w:val="auto"/>
        </w:rPr>
      </w:pPr>
      <w:r>
        <w:rPr>
          <w:rFonts w:ascii="Arial" w:cs="Arial" w:eastAsia="Arial" w:hAnsi="Arial"/>
          <w:sz w:val="16"/>
          <w:szCs w:val="16"/>
          <w:color w:val="auto"/>
        </w:rPr>
        <w:t xml:space="preserve">business conducted by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when a Member engages in such activities, there shall be no presumption of misuse of such confidential information solely because a Representative or Director 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6"/>
          <w:szCs w:val="16"/>
          <w:u w:val="single" w:color="auto"/>
          <w:color w:val="auto"/>
        </w:rPr>
        <w:t>Section 10.4</w:t>
      </w:r>
      <w:r>
        <w:rPr>
          <w:rFonts w:ascii="Arial" w:cs="Arial" w:eastAsia="Arial" w:hAnsi="Arial"/>
          <w:sz w:val="16"/>
          <w:szCs w:val="16"/>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and that Kayne Anderson and EMG may make Institutional Investments, even if such Institutional Investments are competitive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Partnership’s and its Subsidiaries’ business; (ii) Oxy Holding Company (Pipeline), Inc. (“</w:t>
      </w:r>
      <w:r>
        <w:rPr>
          <w:rFonts w:ascii="Arial" w:cs="Arial" w:eastAsia="Arial" w:hAnsi="Arial"/>
          <w:sz w:val="16"/>
          <w:szCs w:val="16"/>
          <w:b w:val="1"/>
          <w:bCs w:val="1"/>
          <w:i w:val="1"/>
          <w:iCs w:val="1"/>
          <w:color w:val="auto"/>
        </w:rPr>
        <w:t>Oxy</w:t>
      </w:r>
      <w:r>
        <w:rPr>
          <w:rFonts w:ascii="Arial" w:cs="Arial" w:eastAsia="Arial" w:hAnsi="Arial"/>
          <w:sz w:val="16"/>
          <w:szCs w:val="16"/>
          <w:color w:val="auto"/>
        </w:rPr>
        <w:t>”)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such Institutional Investments are not in violation of the provisions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the second sentence of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Each of the Members confirms that the restrictions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are reasonable and valid and all defenses to the strict enforcement thereof are hereby waived by each of the Members.</w:t>
      </w:r>
    </w:p>
    <w:p>
      <w:pPr>
        <w:spacing w:after="0" w:line="17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u w:val="single" w:color="auto"/>
          <w:color w:val="auto"/>
        </w:rPr>
        <w:t>Non-Solicitation</w:t>
      </w:r>
      <w:r>
        <w:rPr>
          <w:rFonts w:ascii="Arial" w:cs="Arial" w:eastAsia="Arial" w:hAnsi="Arial"/>
          <w:sz w:val="17"/>
          <w:szCs w:val="17"/>
          <w:color w:val="auto"/>
        </w:rPr>
        <w:t>. Each of the Members (other than PAGP) undertakes toward the Company and is obligated (absent the prior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72"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u w:val="single" w:color="auto"/>
          <w:color w:val="auto"/>
        </w:rPr>
        <w:t>Damages</w:t>
      </w:r>
      <w:r>
        <w:rPr>
          <w:rFonts w:ascii="Arial" w:cs="Arial" w:eastAsia="Arial" w:hAnsi="Arial"/>
          <w:sz w:val="16"/>
          <w:szCs w:val="16"/>
          <w:color w:val="auto"/>
        </w:rPr>
        <w:t>. Each of the Members acknowledges that damages may not be an adequate compensation for the losses which may be suffered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as a result of the breach by such Member of the covenants contained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that the Company shall be entitled to seek injunctive relief with respect to any such breach in lieu of or in addition to any recourse in damages without the posting of a bond or other security.</w:t>
      </w:r>
    </w:p>
    <w:p>
      <w:pPr>
        <w:spacing w:after="0" w:line="14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u w:val="single" w:color="auto"/>
          <w:color w:val="auto"/>
        </w:rPr>
        <w:t>Limitations</w:t>
      </w:r>
      <w:r>
        <w:rPr>
          <w:rFonts w:ascii="Arial" w:cs="Arial" w:eastAsia="Arial" w:hAnsi="Arial"/>
          <w:sz w:val="18"/>
          <w:szCs w:val="18"/>
          <w:color w:val="auto"/>
        </w:rPr>
        <w:t>. In the event that a court of competent jurisdiction decides that the limitations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are too broad,</w:t>
      </w:r>
      <w:r>
        <w:rPr>
          <w:rFonts w:ascii="Arial" w:cs="Arial" w:eastAsia="Arial" w:hAnsi="Arial"/>
          <w:sz w:val="18"/>
          <w:szCs w:val="18"/>
          <w:b w:val="1"/>
          <w:bCs w:val="1"/>
          <w:color w:val="auto"/>
        </w:rPr>
        <w:t xml:space="preserve"> </w:t>
      </w:r>
      <w:r>
        <w:rPr>
          <w:rFonts w:ascii="Arial" w:cs="Arial" w:eastAsia="Arial" w:hAnsi="Arial"/>
          <w:sz w:val="18"/>
          <w:szCs w:val="18"/>
          <w:color w:val="auto"/>
        </w:rPr>
        <w:t>such limitations shall be reduced to those limitations that such court deems reasonable.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u w:val="single" w:color="auto"/>
          <w:color w:val="auto"/>
        </w:rPr>
        <w:t>Waiver of Default</w:t>
      </w:r>
      <w:r>
        <w:rPr>
          <w:rFonts w:ascii="Arial" w:cs="Arial" w:eastAsia="Arial" w:hAnsi="Arial"/>
          <w:sz w:val="16"/>
          <w:szCs w:val="16"/>
          <w:color w:val="auto"/>
        </w:rPr>
        <w:t>. No consent or waiver, express or implied, by the Company or a Member with respect to any breach or default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29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sz w:val="20"/>
          <w:szCs w:val="20"/>
          <w:color w:val="auto"/>
        </w:rPr>
      </w:pPr>
    </w:p>
    <w:p>
      <w:pPr>
        <w:ind w:left="1980" w:hanging="675"/>
        <w:spacing w:after="0"/>
        <w:tabs>
          <w:tab w:leader="none" w:pos="198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no amendment of the terms of this Agreement that (A) increases or extends any financial obligation or liability of a Member,</w:t>
      </w:r>
    </w:p>
    <w:p>
      <w:pPr>
        <w:spacing w:after="0" w:line="34" w:lineRule="exact"/>
        <w:rPr>
          <w:rFonts w:ascii="Arial" w:cs="Arial" w:eastAsia="Arial" w:hAnsi="Arial"/>
          <w:sz w:val="17"/>
          <w:szCs w:val="17"/>
          <w:color w:val="auto"/>
        </w:rPr>
      </w:pPr>
    </w:p>
    <w:p>
      <w:pPr>
        <w:ind w:left="660" w:right="40" w:hanging="4"/>
        <w:spacing w:after="0" w:line="323" w:lineRule="auto"/>
        <w:tabs>
          <w:tab w:leader="none" w:pos="945" w:val="left"/>
        </w:tabs>
        <w:numPr>
          <w:ilvl w:val="0"/>
          <w:numId w:val="452"/>
        </w:numPr>
        <w:rPr>
          <w:rFonts w:ascii="Arial" w:cs="Arial" w:eastAsia="Arial" w:hAnsi="Arial"/>
          <w:sz w:val="16"/>
          <w:szCs w:val="16"/>
          <w:color w:val="auto"/>
        </w:rPr>
      </w:pPr>
      <w:r>
        <w:rPr>
          <w:rFonts w:ascii="Arial" w:cs="Arial" w:eastAsia="Arial" w:hAnsi="Arial"/>
          <w:sz w:val="16"/>
          <w:szCs w:val="16"/>
          <w:color w:val="auto"/>
        </w:rPr>
        <w:t>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38" w:lineRule="exact"/>
        <w:rPr>
          <w:rFonts w:ascii="Arial" w:cs="Arial" w:eastAsia="Arial" w:hAnsi="Arial"/>
          <w:sz w:val="16"/>
          <w:szCs w:val="16"/>
          <w:color w:val="auto"/>
        </w:rPr>
      </w:pPr>
    </w:p>
    <w:p>
      <w:pPr>
        <w:ind w:left="660" w:right="160" w:firstLine="645"/>
        <w:spacing w:after="0" w:line="277" w:lineRule="auto"/>
        <w:tabs>
          <w:tab w:leader="none" w:pos="1987" w:val="left"/>
        </w:tabs>
        <w:numPr>
          <w:ilvl w:val="1"/>
          <w:numId w:val="452"/>
        </w:numPr>
        <w:rPr>
          <w:rFonts w:ascii="Arial" w:cs="Arial" w:eastAsia="Arial" w:hAnsi="Arial"/>
          <w:sz w:val="18"/>
          <w:szCs w:val="18"/>
          <w:color w:val="auto"/>
        </w:rPr>
      </w:pPr>
      <w:r>
        <w:rPr>
          <w:rFonts w:ascii="Arial" w:cs="Arial" w:eastAsia="Arial" w:hAnsi="Arial"/>
          <w:sz w:val="18"/>
          <w:szCs w:val="18"/>
          <w:color w:val="auto"/>
        </w:rPr>
        <w:t xml:space="preserve">no amendment of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that adversely affects the obligations or rights of a Member shall be effective as to any Member without the prior written consent of that Member;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w:t>
      </w:r>
    </w:p>
    <w:p>
      <w:pPr>
        <w:spacing w:after="0" w:line="35" w:lineRule="exact"/>
        <w:rPr>
          <w:sz w:val="20"/>
          <w:szCs w:val="20"/>
          <w:color w:val="auto"/>
        </w:rPr>
      </w:pPr>
    </w:p>
    <w:p>
      <w:pPr>
        <w:ind w:left="660" w:right="160" w:hanging="4"/>
        <w:spacing w:after="0" w:line="255" w:lineRule="auto"/>
        <w:tabs>
          <w:tab w:leader="none" w:pos="94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90" w:lineRule="exact"/>
        <w:rPr>
          <w:rFonts w:ascii="Arial" w:cs="Arial" w:eastAsia="Arial" w:hAnsi="Arial"/>
          <w:sz w:val="18"/>
          <w:szCs w:val="18"/>
          <w:color w:val="auto"/>
        </w:rPr>
      </w:pPr>
    </w:p>
    <w:p>
      <w:pPr>
        <w:ind w:left="660" w:right="480" w:firstLine="645"/>
        <w:spacing w:after="0" w:line="277" w:lineRule="auto"/>
        <w:tabs>
          <w:tab w:leader="none" w:pos="1973" w:val="left"/>
        </w:tabs>
        <w:numPr>
          <w:ilvl w:val="1"/>
          <w:numId w:val="453"/>
        </w:numPr>
        <w:rPr>
          <w:rFonts w:ascii="Arial" w:cs="Arial" w:eastAsia="Arial" w:hAnsi="Arial"/>
          <w:sz w:val="18"/>
          <w:szCs w:val="18"/>
          <w:color w:val="auto"/>
        </w:rPr>
      </w:pPr>
      <w:r>
        <w:rPr>
          <w:rFonts w:ascii="Arial" w:cs="Arial" w:eastAsia="Arial" w:hAnsi="Arial"/>
          <w:sz w:val="18"/>
          <w:szCs w:val="18"/>
          <w:color w:val="auto"/>
        </w:rPr>
        <w:t>no amendment of Article 6 that would adversely affect the director election rights of holders of PAGP Class A Shares in any material respect shall be effective without the approval of a majority of the Company’s Independent Directors; and</w:t>
      </w:r>
    </w:p>
    <w:p>
      <w:pPr>
        <w:sectPr>
          <w:pgSz w:w="11900" w:h="16838" w:orient="portrait"/>
          <w:cols w:equalWidth="0" w:num="1">
            <w:col w:w="11400"/>
          </w:cols>
          <w:pgMar w:left="240" w:top="125" w:right="259" w:bottom="0" w:gutter="0" w:footer="0" w:header="0"/>
        </w:sectPr>
      </w:pPr>
    </w:p>
    <w:bookmarkStart w:id="183" w:name="page184"/>
    <w:bookmarkEnd w:id="183"/>
    <w:p>
      <w:pPr>
        <w:ind w:left="660" w:right="160" w:firstLine="645"/>
        <w:spacing w:after="0" w:line="277" w:lineRule="auto"/>
        <w:tabs>
          <w:tab w:leader="none" w:pos="1964" w:val="left"/>
        </w:tabs>
        <w:numPr>
          <w:ilvl w:val="1"/>
          <w:numId w:val="454"/>
        </w:numPr>
        <w:rPr>
          <w:rFonts w:ascii="Arial" w:cs="Arial" w:eastAsia="Arial" w:hAnsi="Arial"/>
          <w:sz w:val="18"/>
          <w:szCs w:val="18"/>
          <w:color w:val="auto"/>
        </w:rPr>
      </w:pPr>
      <w:r>
        <w:rPr>
          <w:rFonts w:ascii="Arial" w:cs="Arial" w:eastAsia="Arial" w:hAnsi="Arial"/>
          <w:sz w:val="18"/>
          <w:szCs w:val="18"/>
          <w:color w:val="auto"/>
        </w:rPr>
        <w:t xml:space="preserve">no amendment to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6.1(e)</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12.2(a)(v)</w:t>
      </w:r>
      <w:r>
        <w:rPr>
          <w:rFonts w:ascii="Arial" w:cs="Arial" w:eastAsia="Arial" w:hAnsi="Arial"/>
          <w:sz w:val="18"/>
          <w:szCs w:val="18"/>
          <w:color w:val="auto"/>
        </w:rPr>
        <w:t xml:space="preserve"> shall be effective without the consent of the Series A Preferred Unitholders holding a majority of the then outstanding Series A Preferred Units.</w:t>
      </w:r>
    </w:p>
    <w:p>
      <w:pPr>
        <w:spacing w:after="0" w:line="170" w:lineRule="exact"/>
        <w:rPr>
          <w:rFonts w:ascii="Arial" w:cs="Arial" w:eastAsia="Arial" w:hAnsi="Arial"/>
          <w:sz w:val="18"/>
          <w:szCs w:val="18"/>
          <w:color w:val="auto"/>
        </w:rPr>
      </w:pPr>
    </w:p>
    <w:p>
      <w:pPr>
        <w:ind w:right="620" w:firstLine="656"/>
        <w:spacing w:after="0" w:line="264" w:lineRule="auto"/>
        <w:tabs>
          <w:tab w:leader="none" w:pos="130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1" w:lineRule="exact"/>
        <w:rPr>
          <w:rFonts w:ascii="Arial" w:cs="Arial" w:eastAsia="Arial" w:hAnsi="Arial"/>
          <w:sz w:val="18"/>
          <w:szCs w:val="18"/>
          <w:color w:val="auto"/>
        </w:rPr>
      </w:pPr>
    </w:p>
    <w:p>
      <w:pPr>
        <w:ind w:right="640" w:firstLine="656"/>
        <w:spacing w:after="0" w:line="277" w:lineRule="auto"/>
        <w:tabs>
          <w:tab w:leader="none" w:pos="130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Board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right="400" w:firstLine="656"/>
        <w:spacing w:after="0" w:line="277" w:lineRule="auto"/>
        <w:tabs>
          <w:tab w:leader="none" w:pos="130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Any modification or amendment to this Agreement or the Certificate made in accordance with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shall be binding on all Members and the Board.</w:t>
      </w:r>
    </w:p>
    <w:p>
      <w:pPr>
        <w:spacing w:after="0" w:line="166" w:lineRule="exact"/>
        <w:rPr>
          <w:sz w:val="20"/>
          <w:szCs w:val="20"/>
          <w:color w:val="auto"/>
        </w:rPr>
      </w:pPr>
    </w:p>
    <w:p>
      <w:pPr>
        <w:ind w:right="500" w:firstLine="648"/>
        <w:spacing w:after="0" w:line="313"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u w:val="single" w:color="auto"/>
          <w:color w:val="auto"/>
        </w:rPr>
        <w:t>No Third Party Rights</w:t>
      </w:r>
      <w:r>
        <w:rPr>
          <w:rFonts w:ascii="Arial" w:cs="Arial" w:eastAsia="Arial" w:hAnsi="Arial"/>
          <w:sz w:val="17"/>
          <w:szCs w:val="17"/>
          <w:color w:val="auto"/>
        </w:rPr>
        <w:t>. Except for the rights provided to the Initial Designating Members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6.1(a)</w:t>
      </w:r>
      <w:r>
        <w:rPr>
          <w:rFonts w:ascii="Arial" w:cs="Arial" w:eastAsia="Arial" w:hAnsi="Arial"/>
          <w:sz w:val="17"/>
          <w:szCs w:val="17"/>
          <w:color w:val="auto"/>
        </w:rPr>
        <w:t>, the rights provided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Series A Preferred Unitholders in </w:t>
      </w:r>
      <w:r>
        <w:rPr>
          <w:rFonts w:ascii="Arial" w:cs="Arial" w:eastAsia="Arial" w:hAnsi="Arial"/>
          <w:sz w:val="17"/>
          <w:szCs w:val="17"/>
          <w:u w:val="single" w:color="auto"/>
          <w:color w:val="auto"/>
        </w:rPr>
        <w:t>Sections 6.1(c)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as provided in </w:t>
      </w:r>
      <w:r>
        <w:rPr>
          <w:rFonts w:ascii="Arial" w:cs="Arial" w:eastAsia="Arial" w:hAnsi="Arial"/>
          <w:sz w:val="17"/>
          <w:szCs w:val="17"/>
          <w:u w:val="single" w:color="auto"/>
          <w:color w:val="auto"/>
        </w:rPr>
        <w:t>Article 7</w:t>
      </w:r>
      <w:r>
        <w:rPr>
          <w:rFonts w:ascii="Arial" w:cs="Arial" w:eastAsia="Arial" w:hAnsi="Arial"/>
          <w:sz w:val="17"/>
          <w:szCs w:val="17"/>
          <w:color w:val="auto"/>
        </w:rPr>
        <w:t>, none of the provisions contained in this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Aopgreement shall be for the benefit of or enforceable by any third parties, including creditors of the Company.</w:t>
      </w:r>
    </w:p>
    <w:p>
      <w:pPr>
        <w:spacing w:after="0" w:line="221"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A Member’s Company Units shall be personal property for all purposes.</w:t>
      </w:r>
    </w:p>
    <w:p>
      <w:pPr>
        <w:spacing w:after="0" w:line="225" w:lineRule="exact"/>
        <w:rPr>
          <w:sz w:val="20"/>
          <w:szCs w:val="20"/>
          <w:color w:val="auto"/>
        </w:rPr>
      </w:pPr>
    </w:p>
    <w:p>
      <w:pPr>
        <w:jc w:val="both"/>
        <w:ind w:right="320" w:firstLine="648"/>
        <w:spacing w:after="0" w:line="347"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u w:val="single" w:color="auto"/>
          <w:color w:val="auto"/>
        </w:rPr>
        <w:t>Binding Agreement</w:t>
      </w:r>
      <w:r>
        <w:rPr>
          <w:rFonts w:ascii="Arial" w:cs="Arial" w:eastAsia="Arial" w:hAnsi="Arial"/>
          <w:sz w:val="16"/>
          <w:szCs w:val="16"/>
          <w:color w:val="auto"/>
        </w:rPr>
        <w:t>. Subject to the restrictions on the disposition of Company Units herein contained, the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binding upon, and inure to the benefit of, the parties hereto and their respective heirs, personal representatives, successors and permitted assigns.</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terms or provisions hereof.</w:t>
      </w:r>
    </w:p>
    <w:p>
      <w:pPr>
        <w:spacing w:after="0" w:line="16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notwithstanding that all the parties have not signed the same counterpart.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with respect to the subject matter hereof.</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u w:val="single" w:color="auto"/>
          <w:color w:val="auto"/>
        </w:rPr>
        <w:t>Partition</w:t>
      </w:r>
      <w:r>
        <w:rPr>
          <w:rFonts w:ascii="Arial" w:cs="Arial" w:eastAsia="Arial" w:hAnsi="Arial"/>
          <w:sz w:val="18"/>
          <w:szCs w:val="18"/>
          <w:color w:val="auto"/>
        </w:rPr>
        <w:t>. The Members agree that the Property is not and will not be suitable for partition. Accordingly, each of the Members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7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District Court for the District of Delaware, as the case may be, and agree that the Company or Members may, at their option, enforce their rights hereunder in such courts.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Company has caused this Agreement to be duly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HOLDINGS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84" w:name="page185"/>
    <w:bookmarkEnd w:id="184"/>
    <w:p>
      <w:pPr>
        <w:spacing w:after="0" w:line="9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FOR 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INITIAL HOLDERS NAMED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88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4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40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88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00" w:type="dxa"/>
            <w:vAlign w:val="bottom"/>
          </w:tcPr>
          <w:p>
            <w:pPr>
              <w:ind w:left="180"/>
              <w:spacing w:after="0"/>
              <w:rPr>
                <w:sz w:val="20"/>
                <w:szCs w:val="20"/>
                <w:color w:val="auto"/>
              </w:rPr>
            </w:pPr>
            <w:r>
              <w:rPr>
                <w:rFonts w:ascii="Arial" w:cs="Arial" w:eastAsia="Arial" w:hAnsi="Arial"/>
                <w:sz w:val="18"/>
                <w:szCs w:val="18"/>
                <w:color w:val="auto"/>
              </w:rPr>
              <w:t>Section 1.02</w:t>
            </w:r>
          </w:p>
        </w:tc>
        <w:tc>
          <w:tcPr>
            <w:tcW w:w="8880" w:type="dxa"/>
            <w:vAlign w:val="bottom"/>
          </w:tcPr>
          <w:p>
            <w:pPr>
              <w:ind w:left="320"/>
              <w:spacing w:after="0"/>
              <w:rPr>
                <w:sz w:val="20"/>
                <w:szCs w:val="20"/>
                <w:color w:val="auto"/>
              </w:rPr>
            </w:pPr>
            <w:r>
              <w:rPr>
                <w:rFonts w:ascii="Arial" w:cs="Arial" w:eastAsia="Arial" w:hAnsi="Arial"/>
                <w:sz w:val="18"/>
                <w:szCs w:val="18"/>
                <w:color w:val="auto"/>
              </w:rPr>
              <w:t>Registrable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40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8880" w:type="dxa"/>
            <w:vAlign w:val="bottom"/>
          </w:tcPr>
          <w:p>
            <w:pPr>
              <w:ind w:left="320"/>
              <w:spacing w:after="0"/>
              <w:rPr>
                <w:sz w:val="20"/>
                <w:szCs w:val="20"/>
                <w:color w:val="auto"/>
              </w:rPr>
            </w:pPr>
            <w:r>
              <w:rPr>
                <w:rFonts w:ascii="Arial" w:cs="Arial" w:eastAsia="Arial" w:hAnsi="Arial"/>
                <w:sz w:val="18"/>
                <w:szCs w:val="18"/>
                <w:color w:val="auto"/>
              </w:rPr>
              <w:t>Shelf Registration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2.02</w:t>
            </w:r>
          </w:p>
        </w:tc>
        <w:tc>
          <w:tcPr>
            <w:tcW w:w="8880" w:type="dxa"/>
            <w:vAlign w:val="bottom"/>
          </w:tcPr>
          <w:p>
            <w:pPr>
              <w:ind w:left="320"/>
              <w:spacing w:after="0"/>
              <w:rPr>
                <w:sz w:val="20"/>
                <w:szCs w:val="20"/>
                <w:color w:val="auto"/>
              </w:rPr>
            </w:pPr>
            <w:r>
              <w:rPr>
                <w:rFonts w:ascii="Arial" w:cs="Arial" w:eastAsia="Arial" w:hAnsi="Arial"/>
                <w:sz w:val="18"/>
                <w:szCs w:val="18"/>
                <w:color w:val="auto"/>
              </w:rPr>
              <w:t>Piggyback Registration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2.03</w:t>
            </w:r>
          </w:p>
        </w:tc>
        <w:tc>
          <w:tcPr>
            <w:tcW w:w="8880" w:type="dxa"/>
            <w:vAlign w:val="bottom"/>
          </w:tcPr>
          <w:p>
            <w:pPr>
              <w:ind w:left="320"/>
              <w:spacing w:after="0"/>
              <w:rPr>
                <w:sz w:val="20"/>
                <w:szCs w:val="20"/>
                <w:color w:val="auto"/>
              </w:rPr>
            </w:pPr>
            <w:r>
              <w:rPr>
                <w:rFonts w:ascii="Arial" w:cs="Arial" w:eastAsia="Arial" w:hAnsi="Arial"/>
                <w:sz w:val="18"/>
                <w:szCs w:val="18"/>
                <w:color w:val="auto"/>
              </w:rPr>
              <w:t>Underwritten Offering</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2.04</w:t>
            </w:r>
          </w:p>
        </w:tc>
        <w:tc>
          <w:tcPr>
            <w:tcW w:w="8880" w:type="dxa"/>
            <w:vAlign w:val="bottom"/>
          </w:tcPr>
          <w:p>
            <w:pPr>
              <w:ind w:left="320"/>
              <w:spacing w:after="0"/>
              <w:rPr>
                <w:sz w:val="20"/>
                <w:szCs w:val="20"/>
                <w:color w:val="auto"/>
              </w:rPr>
            </w:pPr>
            <w:r>
              <w:rPr>
                <w:rFonts w:ascii="Arial" w:cs="Arial" w:eastAsia="Arial" w:hAnsi="Arial"/>
                <w:sz w:val="18"/>
                <w:szCs w:val="18"/>
                <w:color w:val="auto"/>
              </w:rPr>
              <w:t>Further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2.05</w:t>
            </w:r>
          </w:p>
        </w:tc>
        <w:tc>
          <w:tcPr>
            <w:tcW w:w="8880" w:type="dxa"/>
            <w:vAlign w:val="bottom"/>
          </w:tcPr>
          <w:p>
            <w:pPr>
              <w:ind w:left="320"/>
              <w:spacing w:after="0"/>
              <w:rPr>
                <w:sz w:val="20"/>
                <w:szCs w:val="20"/>
                <w:color w:val="auto"/>
              </w:rPr>
            </w:pPr>
            <w:r>
              <w:rPr>
                <w:rFonts w:ascii="Arial" w:cs="Arial" w:eastAsia="Arial" w:hAnsi="Arial"/>
                <w:sz w:val="18"/>
                <w:szCs w:val="18"/>
                <w:color w:val="auto"/>
              </w:rPr>
              <w:t>Cooperation by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2.06</w:t>
            </w:r>
          </w:p>
        </w:tc>
        <w:tc>
          <w:tcPr>
            <w:tcW w:w="8880" w:type="dxa"/>
            <w:vAlign w:val="bottom"/>
          </w:tcPr>
          <w:p>
            <w:pPr>
              <w:ind w:left="320"/>
              <w:spacing w:after="0"/>
              <w:rPr>
                <w:sz w:val="20"/>
                <w:szCs w:val="20"/>
                <w:color w:val="auto"/>
              </w:rPr>
            </w:pPr>
            <w:r>
              <w:rPr>
                <w:rFonts w:ascii="Arial" w:cs="Arial" w:eastAsia="Arial" w:hAnsi="Arial"/>
                <w:sz w:val="18"/>
                <w:szCs w:val="18"/>
                <w:color w:val="auto"/>
              </w:rPr>
              <w:t>Restrictions on Public Sale by Holders of Registrable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2.07</w:t>
            </w:r>
          </w:p>
        </w:tc>
        <w:tc>
          <w:tcPr>
            <w:tcW w:w="8880" w:type="dxa"/>
            <w:vAlign w:val="bottom"/>
          </w:tcPr>
          <w:p>
            <w:pPr>
              <w:ind w:left="320"/>
              <w:spacing w:after="0"/>
              <w:rPr>
                <w:sz w:val="20"/>
                <w:szCs w:val="20"/>
                <w:color w:val="auto"/>
              </w:rPr>
            </w:pPr>
            <w:r>
              <w:rPr>
                <w:rFonts w:ascii="Arial" w:cs="Arial" w:eastAsia="Arial" w:hAnsi="Arial"/>
                <w:sz w:val="18"/>
                <w:szCs w:val="18"/>
                <w:color w:val="auto"/>
              </w:rPr>
              <w:t>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2.08</w:t>
            </w:r>
          </w:p>
        </w:tc>
        <w:tc>
          <w:tcPr>
            <w:tcW w:w="888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2.09</w:t>
            </w:r>
          </w:p>
        </w:tc>
        <w:tc>
          <w:tcPr>
            <w:tcW w:w="8880" w:type="dxa"/>
            <w:vAlign w:val="bottom"/>
          </w:tcPr>
          <w:p>
            <w:pPr>
              <w:ind w:left="320"/>
              <w:spacing w:after="0"/>
              <w:rPr>
                <w:sz w:val="20"/>
                <w:szCs w:val="20"/>
                <w:color w:val="auto"/>
              </w:rPr>
            </w:pPr>
            <w:r>
              <w:rPr>
                <w:rFonts w:ascii="Arial" w:cs="Arial" w:eastAsia="Arial" w:hAnsi="Arial"/>
                <w:sz w:val="18"/>
                <w:szCs w:val="18"/>
                <w:color w:val="auto"/>
              </w:rPr>
              <w:t>Rule 144 Reporting</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8880" w:type="dxa"/>
            <w:vAlign w:val="bottom"/>
          </w:tcPr>
          <w:p>
            <w:pPr>
              <w:ind w:left="320"/>
              <w:spacing w:after="0"/>
              <w:rPr>
                <w:sz w:val="20"/>
                <w:szCs w:val="20"/>
                <w:color w:val="auto"/>
              </w:rPr>
            </w:pPr>
            <w:r>
              <w:rPr>
                <w:rFonts w:ascii="Arial" w:cs="Arial" w:eastAsia="Arial" w:hAnsi="Arial"/>
                <w:sz w:val="18"/>
                <w:szCs w:val="18"/>
                <w:color w:val="auto"/>
              </w:rPr>
              <w:t>Transfer or Assignment of 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400" w:type="dxa"/>
            <w:vAlign w:val="bottom"/>
          </w:tcPr>
          <w:p>
            <w:pPr>
              <w:ind w:left="180"/>
              <w:spacing w:after="0"/>
              <w:rPr>
                <w:sz w:val="20"/>
                <w:szCs w:val="20"/>
                <w:color w:val="auto"/>
              </w:rPr>
            </w:pPr>
            <w:r>
              <w:rPr>
                <w:rFonts w:ascii="Arial" w:cs="Arial" w:eastAsia="Arial" w:hAnsi="Arial"/>
                <w:sz w:val="18"/>
                <w:szCs w:val="18"/>
                <w:color w:val="auto"/>
              </w:rPr>
              <w:t>Section 2.11</w:t>
            </w:r>
          </w:p>
        </w:tc>
        <w:tc>
          <w:tcPr>
            <w:tcW w:w="8880" w:type="dxa"/>
            <w:vAlign w:val="bottom"/>
          </w:tcPr>
          <w:p>
            <w:pPr>
              <w:ind w:left="320"/>
              <w:spacing w:after="0"/>
              <w:rPr>
                <w:sz w:val="20"/>
                <w:szCs w:val="20"/>
                <w:color w:val="auto"/>
              </w:rPr>
            </w:pPr>
            <w:r>
              <w:rPr>
                <w:rFonts w:ascii="Arial" w:cs="Arial" w:eastAsia="Arial" w:hAnsi="Arial"/>
                <w:sz w:val="18"/>
                <w:szCs w:val="18"/>
                <w:color w:val="auto"/>
              </w:rPr>
              <w:t>Limitation on Subsequent 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400" w:type="dxa"/>
            <w:vAlign w:val="bottom"/>
          </w:tcPr>
          <w:p>
            <w:pPr>
              <w:ind w:left="180"/>
              <w:spacing w:after="0"/>
              <w:rPr>
                <w:sz w:val="20"/>
                <w:szCs w:val="20"/>
                <w:color w:val="auto"/>
              </w:rPr>
            </w:pPr>
            <w:r>
              <w:rPr>
                <w:rFonts w:ascii="Arial" w:cs="Arial" w:eastAsia="Arial" w:hAnsi="Arial"/>
                <w:sz w:val="18"/>
                <w:szCs w:val="18"/>
                <w:color w:val="auto"/>
              </w:rPr>
              <w:t>Section 3.01</w:t>
            </w:r>
          </w:p>
        </w:tc>
        <w:tc>
          <w:tcPr>
            <w:tcW w:w="8880" w:type="dxa"/>
            <w:vAlign w:val="bottom"/>
          </w:tcPr>
          <w:p>
            <w:pPr>
              <w:ind w:left="320"/>
              <w:spacing w:after="0"/>
              <w:rPr>
                <w:sz w:val="20"/>
                <w:szCs w:val="20"/>
                <w:color w:val="auto"/>
              </w:rPr>
            </w:pPr>
            <w:r>
              <w:rPr>
                <w:rFonts w:ascii="Arial" w:cs="Arial" w:eastAsia="Arial" w:hAnsi="Arial"/>
                <w:sz w:val="18"/>
                <w:szCs w:val="18"/>
                <w:color w:val="auto"/>
              </w:rPr>
              <w:t>Communications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3.02</w:t>
            </w:r>
          </w:p>
        </w:tc>
        <w:tc>
          <w:tcPr>
            <w:tcW w:w="8880" w:type="dxa"/>
            <w:vAlign w:val="bottom"/>
          </w:tcPr>
          <w:p>
            <w:pPr>
              <w:ind w:left="320"/>
              <w:spacing w:after="0"/>
              <w:rPr>
                <w:sz w:val="20"/>
                <w:szCs w:val="20"/>
                <w:color w:val="auto"/>
              </w:rPr>
            </w:pPr>
            <w:r>
              <w:rPr>
                <w:rFonts w:ascii="Arial" w:cs="Arial" w:eastAsia="Arial" w:hAnsi="Arial"/>
                <w:sz w:val="18"/>
                <w:szCs w:val="18"/>
                <w:color w:val="auto"/>
              </w:rPr>
              <w:t>Binding Effect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3.03</w:t>
            </w:r>
          </w:p>
        </w:tc>
        <w:tc>
          <w:tcPr>
            <w:tcW w:w="8880" w:type="dxa"/>
            <w:vAlign w:val="bottom"/>
          </w:tcPr>
          <w:p>
            <w:pPr>
              <w:ind w:left="320"/>
              <w:spacing w:after="0"/>
              <w:rPr>
                <w:sz w:val="20"/>
                <w:szCs w:val="20"/>
                <w:color w:val="auto"/>
              </w:rPr>
            </w:pPr>
            <w:r>
              <w:rPr>
                <w:rFonts w:ascii="Arial" w:cs="Arial" w:eastAsia="Arial" w:hAnsi="Arial"/>
                <w:sz w:val="18"/>
                <w:szCs w:val="18"/>
                <w:color w:val="auto"/>
              </w:rPr>
              <w:t>Assignment of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3.04</w:t>
            </w:r>
          </w:p>
        </w:tc>
        <w:tc>
          <w:tcPr>
            <w:tcW w:w="8880" w:type="dxa"/>
            <w:vAlign w:val="bottom"/>
          </w:tcPr>
          <w:p>
            <w:pPr>
              <w:ind w:left="320"/>
              <w:spacing w:after="0"/>
              <w:rPr>
                <w:sz w:val="20"/>
                <w:szCs w:val="20"/>
                <w:color w:val="auto"/>
              </w:rPr>
            </w:pPr>
            <w:r>
              <w:rPr>
                <w:rFonts w:ascii="Arial" w:cs="Arial" w:eastAsia="Arial" w:hAnsi="Arial"/>
                <w:sz w:val="18"/>
                <w:szCs w:val="18"/>
                <w:color w:val="auto"/>
              </w:rPr>
              <w:t>Recapitalization, Exchanges, Etc.</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3.05</w:t>
            </w:r>
          </w:p>
        </w:tc>
        <w:tc>
          <w:tcPr>
            <w:tcW w:w="8880" w:type="dxa"/>
            <w:vAlign w:val="bottom"/>
          </w:tcPr>
          <w:p>
            <w:pPr>
              <w:ind w:left="320"/>
              <w:spacing w:after="0"/>
              <w:rPr>
                <w:sz w:val="20"/>
                <w:szCs w:val="20"/>
                <w:color w:val="auto"/>
              </w:rPr>
            </w:pPr>
            <w:r>
              <w:rPr>
                <w:rFonts w:ascii="Arial" w:cs="Arial" w:eastAsia="Arial" w:hAnsi="Arial"/>
                <w:sz w:val="18"/>
                <w:szCs w:val="18"/>
                <w:color w:val="auto"/>
              </w:rPr>
              <w:t>Aggregation of Registrable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3.06</w:t>
            </w:r>
          </w:p>
        </w:tc>
        <w:tc>
          <w:tcPr>
            <w:tcW w:w="888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3.07</w:t>
            </w:r>
          </w:p>
        </w:tc>
        <w:tc>
          <w:tcPr>
            <w:tcW w:w="888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3.08</w:t>
            </w:r>
          </w:p>
        </w:tc>
        <w:tc>
          <w:tcPr>
            <w:tcW w:w="8880" w:type="dxa"/>
            <w:vAlign w:val="bottom"/>
          </w:tcPr>
          <w:p>
            <w:pPr>
              <w:ind w:left="320"/>
              <w:spacing w:after="0"/>
              <w:rPr>
                <w:sz w:val="20"/>
                <w:szCs w:val="20"/>
                <w:color w:val="auto"/>
              </w:rPr>
            </w:pPr>
            <w:r>
              <w:rPr>
                <w:rFonts w:ascii="Arial" w:cs="Arial" w:eastAsia="Arial" w:hAnsi="Arial"/>
                <w:sz w:val="18"/>
                <w:szCs w:val="18"/>
                <w:color w:val="auto"/>
              </w:rPr>
              <w:t>Governing Law, Submission to Jurisdiction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3.09</w:t>
            </w:r>
          </w:p>
        </w:tc>
        <w:tc>
          <w:tcPr>
            <w:tcW w:w="888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3.10</w:t>
            </w:r>
          </w:p>
        </w:tc>
        <w:tc>
          <w:tcPr>
            <w:tcW w:w="888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3.11</w:t>
            </w:r>
          </w:p>
        </w:tc>
        <w:tc>
          <w:tcPr>
            <w:tcW w:w="8880" w:type="dxa"/>
            <w:vAlign w:val="bottom"/>
          </w:tcPr>
          <w:p>
            <w:pPr>
              <w:ind w:left="320"/>
              <w:spacing w:after="0"/>
              <w:rPr>
                <w:sz w:val="20"/>
                <w:szCs w:val="20"/>
                <w:color w:val="auto"/>
              </w:rPr>
            </w:pPr>
            <w:r>
              <w:rPr>
                <w:rFonts w:ascii="Arial" w:cs="Arial" w:eastAsia="Arial" w:hAnsi="Arial"/>
                <w:sz w:val="18"/>
                <w:szCs w:val="18"/>
                <w:color w:val="auto"/>
              </w:rPr>
              <w:t>Amendment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3.12</w:t>
            </w:r>
          </w:p>
        </w:tc>
        <w:tc>
          <w:tcPr>
            <w:tcW w:w="8880" w:type="dxa"/>
            <w:vAlign w:val="bottom"/>
          </w:tcPr>
          <w:p>
            <w:pPr>
              <w:ind w:left="320"/>
              <w:spacing w:after="0"/>
              <w:rPr>
                <w:sz w:val="20"/>
                <w:szCs w:val="20"/>
                <w:color w:val="auto"/>
              </w:rPr>
            </w:pPr>
            <w:r>
              <w:rPr>
                <w:rFonts w:ascii="Arial" w:cs="Arial" w:eastAsia="Arial" w:hAnsi="Arial"/>
                <w:sz w:val="18"/>
                <w:szCs w:val="18"/>
                <w:color w:val="auto"/>
              </w:rPr>
              <w:t>No Presumption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3.13</w:t>
            </w:r>
          </w:p>
        </w:tc>
        <w:tc>
          <w:tcPr>
            <w:tcW w:w="8880" w:type="dxa"/>
            <w:vAlign w:val="bottom"/>
          </w:tcPr>
          <w:p>
            <w:pPr>
              <w:ind w:left="320"/>
              <w:spacing w:after="0"/>
              <w:rPr>
                <w:sz w:val="20"/>
                <w:szCs w:val="20"/>
                <w:color w:val="auto"/>
              </w:rPr>
            </w:pPr>
            <w:r>
              <w:rPr>
                <w:rFonts w:ascii="Arial" w:cs="Arial" w:eastAsia="Arial" w:hAnsi="Arial"/>
                <w:sz w:val="18"/>
                <w:szCs w:val="18"/>
                <w:color w:val="auto"/>
              </w:rPr>
              <w:t>Obligations Limited to Parties to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00" w:type="dxa"/>
            <w:vAlign w:val="bottom"/>
          </w:tcPr>
          <w:p>
            <w:pPr>
              <w:ind w:left="180"/>
              <w:spacing w:after="0"/>
              <w:rPr>
                <w:sz w:val="20"/>
                <w:szCs w:val="20"/>
                <w:color w:val="auto"/>
              </w:rPr>
            </w:pPr>
            <w:r>
              <w:rPr>
                <w:rFonts w:ascii="Arial" w:cs="Arial" w:eastAsia="Arial" w:hAnsi="Arial"/>
                <w:sz w:val="18"/>
                <w:szCs w:val="18"/>
                <w:color w:val="auto"/>
              </w:rPr>
              <w:t>Section 3.14</w:t>
            </w:r>
          </w:p>
        </w:tc>
        <w:tc>
          <w:tcPr>
            <w:tcW w:w="888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SCHEDULE A — Purchaser Name; Notice and 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B — Initial Management Holder Name; Notice and Contact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dated as of [·], 2016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entered into by and among </w:t>
      </w:r>
      <w:r>
        <w:rPr>
          <w:rFonts w:ascii="Arial" w:cs="Arial" w:eastAsia="Arial" w:hAnsi="Arial"/>
          <w:sz w:val="18"/>
          <w:szCs w:val="18"/>
          <w:b w:val="1"/>
          <w:bCs w:val="1"/>
          <w:color w:val="auto"/>
        </w:rPr>
        <w:t>PLAINS ALL</w:t>
      </w:r>
      <w:r>
        <w:rPr>
          <w:rFonts w:ascii="Arial" w:cs="Arial" w:eastAsia="Arial" w:hAnsi="Arial"/>
          <w:sz w:val="18"/>
          <w:szCs w:val="18"/>
          <w:color w:val="auto"/>
        </w:rPr>
        <w:t xml:space="preserve"> </w:t>
      </w:r>
      <w:r>
        <w:rPr>
          <w:rFonts w:ascii="Arial" w:cs="Arial" w:eastAsia="Arial" w:hAnsi="Arial"/>
          <w:sz w:val="18"/>
          <w:szCs w:val="18"/>
          <w:b w:val="1"/>
          <w:bCs w:val="1"/>
          <w:color w:val="auto"/>
        </w:rPr>
        <w:t>AMERICAN PIPELINE, L.P.</w:t>
      </w:r>
      <w:r>
        <w:rPr>
          <w:rFonts w:ascii="Arial" w:cs="Arial" w:eastAsia="Arial" w:hAnsi="Arial"/>
          <w:sz w:val="18"/>
          <w:szCs w:val="18"/>
          <w:color w:val="auto"/>
        </w:rPr>
        <w:t>, a Delaware limited partnership (the “</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and each of the Persons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u w:val="single" w:color="auto"/>
          <w:color w:val="auto"/>
        </w:rPr>
        <w:t>Initial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w:t>
      </w:r>
    </w:p>
    <w:p>
      <w:pPr>
        <w:sectPr>
          <w:pgSz w:w="11900" w:h="16933" w:orient="portrait"/>
          <w:cols w:equalWidth="0" w:num="1">
            <w:col w:w="11420"/>
          </w:cols>
          <w:pgMar w:left="240" w:top="125" w:right="239" w:bottom="0" w:gutter="0" w:footer="0" w:header="0"/>
        </w:sectPr>
      </w:pPr>
    </w:p>
    <w:bookmarkStart w:id="185" w:name="page186"/>
    <w:bookmarkEnd w:id="185"/>
    <w:p>
      <w:pPr>
        <w:ind w:right="100" w:firstLine="648"/>
        <w:spacing w:after="0" w:line="257" w:lineRule="auto"/>
        <w:rPr>
          <w:sz w:val="20"/>
          <w:szCs w:val="20"/>
          <w:color w:val="auto"/>
        </w:rPr>
      </w:pPr>
      <w:r>
        <w:rPr>
          <w:rFonts w:ascii="Arial" w:cs="Arial" w:eastAsia="Arial" w:hAnsi="Arial"/>
          <w:sz w:val="18"/>
          <w:szCs w:val="18"/>
          <w:color w:val="auto"/>
        </w:rPr>
        <w:t>WHEREAS, this Agreement is made in connection with the closing of the transactions contemplated by the Simplification Agreement dated as of July 11, 2016 (the date of such closing,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by and among PAA GP Holdings LLC, a Delaware limited partnership, Plains GP Holdings, L.P., a Delaware limited partnership,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PAA GP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and the Partnership (the “</w:t>
      </w:r>
      <w:r>
        <w:rPr>
          <w:rFonts w:ascii="Arial" w:cs="Arial" w:eastAsia="Arial" w:hAnsi="Arial"/>
          <w:sz w:val="18"/>
          <w:szCs w:val="18"/>
          <w:b w:val="1"/>
          <w:bCs w:val="1"/>
          <w:u w:val="single" w:color="auto"/>
          <w:color w:val="auto"/>
        </w:rPr>
        <w:t>Simplification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and</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Partnership has agreed to provide the registration and other rights set forth in this Agreement for the benefit of the Initial Holders and their permitted transferees and assignees pursuant to the Simplification Agreement.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indicated:</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Average Common Unit Price</w:t>
      </w:r>
      <w:r>
        <w:rPr>
          <w:rFonts w:ascii="Arial" w:cs="Arial" w:eastAsia="Arial" w:hAnsi="Arial"/>
          <w:sz w:val="18"/>
          <w:szCs w:val="18"/>
          <w:color w:val="auto"/>
        </w:rPr>
        <w:t>” means, as of a particular date, the average of the closing prices on the NYSE for the Common Units during the ten trading days preceding such date.</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Unit</w:t>
      </w:r>
      <w:r>
        <w:rPr>
          <w:rFonts w:ascii="Arial" w:cs="Arial" w:eastAsia="Arial" w:hAnsi="Arial"/>
          <w:sz w:val="18"/>
          <w:szCs w:val="18"/>
          <w:color w:val="auto"/>
        </w:rPr>
        <w:t>” has the meaning set forth in the Plains AAP LP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has the meaning set forth in the Recitals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means the common units representing limited partner interests in the Partnership and having the rights and obligations specified in the Partnership Agreement.</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Contingent Registrable Security</w:t>
      </w:r>
      <w:r>
        <w:rPr>
          <w:rFonts w:ascii="Arial" w:cs="Arial" w:eastAsia="Arial" w:hAnsi="Arial"/>
          <w:sz w:val="18"/>
          <w:szCs w:val="18"/>
          <w:color w:val="auto"/>
        </w:rPr>
        <w:t>” means any Common Units issued to AAP after the date hereof pursuant to Section 4.2(c)(i) of the Omnibus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Entities</w:t>
      </w:r>
      <w:r>
        <w:rPr>
          <w:rFonts w:ascii="Arial" w:cs="Arial" w:eastAsia="Arial" w:hAnsi="Arial"/>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means the record holder of any Registrable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 Underwriter 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2.04(q)</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Included Registrable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Holders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Investor Holders</w:t>
      </w:r>
      <w:r>
        <w:rPr>
          <w:rFonts w:ascii="Arial" w:cs="Arial" w:eastAsia="Arial" w:hAnsi="Arial"/>
          <w:sz w:val="18"/>
          <w:szCs w:val="18"/>
          <w:color w:val="auto"/>
        </w:rPr>
        <w:t>” means the Initial Holders specified as Initial Investor Holders on the signature page(s)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Initial Management Holders</w:t>
      </w:r>
      <w:r>
        <w:rPr>
          <w:rFonts w:ascii="Arial" w:cs="Arial" w:eastAsia="Arial" w:hAnsi="Arial"/>
          <w:sz w:val="17"/>
          <w:szCs w:val="17"/>
          <w:color w:val="auto"/>
        </w:rPr>
        <w:t>” means the Initial Holders specified as Initial Management Holders on the signature page(s) to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Managing Underwriter</w:t>
      </w:r>
      <w:r>
        <w:rPr>
          <w:rFonts w:ascii="Arial" w:cs="Arial" w:eastAsia="Arial" w:hAnsi="Arial"/>
          <w:sz w:val="17"/>
          <w:szCs w:val="17"/>
          <w:color w:val="auto"/>
        </w:rPr>
        <w:t>” means, with respect to any Underwritten Offering, the book running lead manager of such Underwritten Offering.</w:t>
      </w:r>
    </w:p>
    <w:p>
      <w:pPr>
        <w:sectPr>
          <w:pgSz w:w="11900" w:h="16838" w:orient="portrait"/>
          <w:cols w:equalWidth="0" w:num="1">
            <w:col w:w="11420"/>
          </w:cols>
          <w:pgMar w:left="240" w:top="341" w:right="239" w:bottom="0" w:gutter="0" w:footer="0" w:header="0"/>
        </w:sectPr>
      </w:pPr>
    </w:p>
    <w:bookmarkStart w:id="186" w:name="page187"/>
    <w:bookmarkEnd w:id="18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Omnibus Agreement</w:t>
      </w:r>
      <w:r>
        <w:rPr>
          <w:rFonts w:ascii="Arial" w:cs="Arial" w:eastAsia="Arial" w:hAnsi="Arial"/>
          <w:sz w:val="18"/>
          <w:szCs w:val="18"/>
          <w:color w:val="auto"/>
        </w:rPr>
        <w:t>” means the Omnibus Agreement, dated [·], 2016, by and among the PAA GP Holdings LLC, Plains GP Holdings, L.P., GP LLC, Plains AAP, the General Partner and the Partnership.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Holder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 Registrable Securities</w:t>
      </w:r>
      <w:r>
        <w:rPr>
          <w:rFonts w:ascii="Arial" w:cs="Arial" w:eastAsia="Arial" w:hAnsi="Arial"/>
          <w:sz w:val="18"/>
          <w:szCs w:val="18"/>
          <w:color w:val="auto"/>
        </w:rPr>
        <w:t>” means the Common Units issued to (i) Plains AAP and (ii) the General Partner and subsequently transferred to Plains AAP, in each case, on the date hereof pursuant to the Simplification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 Agreement</w:t>
      </w:r>
      <w:r>
        <w:rPr>
          <w:rFonts w:ascii="Arial" w:cs="Arial" w:eastAsia="Arial" w:hAnsi="Arial"/>
          <w:sz w:val="18"/>
          <w:szCs w:val="18"/>
          <w:color w:val="auto"/>
        </w:rPr>
        <w:t>” means the Sixth Amended and Restated Agreement of Limited Partnership of the Partnership, dated as of the date hereof, as the same may be further amended and/or restated from time to time.</w:t>
      </w:r>
    </w:p>
    <w:p>
      <w:pPr>
        <w:spacing w:after="0" w:line="162" w:lineRule="exact"/>
        <w:rPr>
          <w:sz w:val="20"/>
          <w:szCs w:val="20"/>
          <w:color w:val="auto"/>
        </w:rPr>
      </w:pPr>
    </w:p>
    <w:p>
      <w:pPr>
        <w:ind w:right="9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Opt-Out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 LP Agreement</w:t>
      </w:r>
      <w:r>
        <w:rPr>
          <w:rFonts w:ascii="Arial" w:cs="Arial" w:eastAsia="Arial" w:hAnsi="Arial"/>
          <w:sz w:val="18"/>
          <w:szCs w:val="18"/>
          <w:color w:val="auto"/>
        </w:rPr>
        <w:t>” means the Eighth Amended and Restated Agreement of Limited Partnership of Plains AAP, dated as of the date hereof, as the same may be further amended and/or restated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Quarter</w:t>
      </w:r>
      <w:r>
        <w:rPr>
          <w:rFonts w:ascii="Arial" w:cs="Arial" w:eastAsia="Arial" w:hAnsi="Arial"/>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w:t>
      </w:r>
      <w:r>
        <w:rPr>
          <w:rFonts w:ascii="Arial" w:cs="Arial" w:eastAsia="Arial" w:hAnsi="Arial"/>
          <w:sz w:val="17"/>
          <w:szCs w:val="17"/>
          <w:color w:val="auto"/>
        </w:rPr>
        <w:t>” means any registration pursuant to this Agreement, including pursuant to a Registration Statement or a Piggyback Registration.</w:t>
      </w:r>
    </w:p>
    <w:p>
      <w:pPr>
        <w:spacing w:after="0" w:line="23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means each of (i) Contingent Registrable Securities and (ii) Outstanding Registrable Securities, all of which are subject to the rights provided herein until such time as such securities cease to be Registrable Securities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w:t>
      </w:r>
      <w:r>
        <w:rPr>
          <w:rFonts w:ascii="Arial" w:cs="Arial" w:eastAsia="Arial" w:hAnsi="Arial"/>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 Indemnified Persons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Simplification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Underwritten Offering</w:t>
      </w:r>
      <w:r>
        <w:rPr>
          <w:rFonts w:ascii="Arial" w:cs="Arial" w:eastAsia="Arial" w:hAnsi="Arial"/>
          <w:sz w:val="17"/>
          <w:szCs w:val="17"/>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WKSI</w:t>
      </w:r>
      <w:r>
        <w:rPr>
          <w:rFonts w:ascii="Arial" w:cs="Arial" w:eastAsia="Arial" w:hAnsi="Arial"/>
          <w:sz w:val="18"/>
          <w:szCs w:val="18"/>
          <w:color w:val="auto"/>
        </w:rPr>
        <w:t>” means a well-known seasoned issuer (as defined in the rules and regulations of the Commission).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pursuant to any section of Rule 144 (or any similar provision then in effect) under the Securities Act, (c) when such Registrable Security is transferred to the Partnership or one of its direct or indirect subsidiaries and (d) when such Registrable Security has been sold or disposed of in an unregistered transaction in which the transferor’s rights under this Agreement are not assigned to the transferee of such securities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400"/>
          </w:cols>
          <w:pgMar w:left="240" w:top="121" w:right="259" w:bottom="0" w:gutter="0" w:footer="0" w:header="0"/>
        </w:sectPr>
      </w:pPr>
    </w:p>
    <w:bookmarkStart w:id="187" w:name="page188"/>
    <w:bookmarkEnd w:id="187"/>
    <w:p>
      <w:pPr>
        <w:spacing w:after="0" w:line="9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b w:val="1"/>
          <w:bCs w:val="1"/>
          <w:u w:val="single" w:color="auto"/>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84" w:lineRule="auto"/>
        <w:tabs>
          <w:tab w:leader="none" w:pos="1294" w:val="left"/>
        </w:tabs>
        <w:numPr>
          <w:ilvl w:val="0"/>
          <w:numId w:val="456"/>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Outstanding Registrable Securities</w:t>
      </w:r>
      <w:r>
        <w:rPr>
          <w:rFonts w:ascii="Arial" w:cs="Arial" w:eastAsia="Arial" w:hAnsi="Arial"/>
          <w:sz w:val="16"/>
          <w:szCs w:val="16"/>
          <w:color w:val="auto"/>
        </w:rPr>
        <w:t>. The Partnership shall use its commercially reasonable efforts to (i) prepare</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an initial registration statement under the Securities Act to permit the public resale of Outstanding Registrable Securities from time to time as permitted by Rule 415 (or any similar provision adopted by the Commission then in effect) of the Securities Act (a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xml:space="preserve">”) and (ii) cause such initial Registration Statement to become effective as soon as practicable after the date hereof. The Partnership will use its commercially reasonable efforts to cause such initial Registration Statement filed pursuant to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to be continuously effective under the Securities Act, with respect to any Holder, until the earliest to occur of the following: (A) the date on which all Outstanding Registrable Securities covered by the Registration Statement have been distributed in the manner set forth and as contemplated in such Registration Statement and (B) the date on which there are no longer any Registrable Securities outstanding (in each case of clause (A) or (B), the “</w:t>
      </w:r>
      <w:r>
        <w:rPr>
          <w:rFonts w:ascii="Arial" w:cs="Arial" w:eastAsia="Arial" w:hAnsi="Arial"/>
          <w:sz w:val="16"/>
          <w:szCs w:val="16"/>
          <w:b w:val="1"/>
          <w:bCs w:val="1"/>
          <w:u w:val="single" w:color="auto"/>
          <w:color w:val="auto"/>
        </w:rPr>
        <w:t>Effectiveness Period</w:t>
      </w:r>
      <w:r>
        <w:rPr>
          <w:rFonts w:ascii="Arial" w:cs="Arial" w:eastAsia="Arial" w:hAnsi="Arial"/>
          <w:sz w:val="16"/>
          <w:szCs w:val="16"/>
          <w:color w:val="auto"/>
        </w:rPr>
        <w:t>”). A Registration Statement filed pursuant to this</w:t>
      </w:r>
    </w:p>
    <w:p>
      <w:pPr>
        <w:spacing w:after="0" w:line="5" w:lineRule="exact"/>
        <w:rPr>
          <w:rFonts w:ascii="Arial" w:cs="Arial" w:eastAsia="Arial" w:hAnsi="Arial"/>
          <w:sz w:val="16"/>
          <w:szCs w:val="16"/>
          <w:color w:val="auto"/>
        </w:rPr>
      </w:pPr>
    </w:p>
    <w:p>
      <w:pPr>
        <w:ind w:right="140"/>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67" w:lineRule="exact"/>
        <w:rPr>
          <w:sz w:val="20"/>
          <w:szCs w:val="20"/>
          <w:color w:val="auto"/>
        </w:rPr>
      </w:pPr>
    </w:p>
    <w:p>
      <w:pPr>
        <w:ind w:right="20" w:firstLine="656"/>
        <w:spacing w:after="0" w:line="314" w:lineRule="auto"/>
        <w:tabs>
          <w:tab w:leader="none" w:pos="1304" w:val="left"/>
        </w:tabs>
        <w:numPr>
          <w:ilvl w:val="0"/>
          <w:numId w:val="457"/>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Contingent Registrable Securities</w:t>
      </w:r>
      <w:r>
        <w:rPr>
          <w:rFonts w:ascii="Arial" w:cs="Arial" w:eastAsia="Arial" w:hAnsi="Arial"/>
          <w:sz w:val="16"/>
          <w:szCs w:val="16"/>
          <w:color w:val="auto"/>
        </w:rPr>
        <w:t>. The Partnership shall use its commercially reasonable efforts to prepare and file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Registration Statement and maintain the effectiveness of such Registration Statement to permit public resales of Contingent Registrable Securities on the same terms, and subject to the same conditions and restrictions, as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with respect to Outstanding Registrable Securities.</w:t>
      </w:r>
    </w:p>
    <w:p>
      <w:pPr>
        <w:spacing w:after="0" w:line="142" w:lineRule="exact"/>
        <w:rPr>
          <w:rFonts w:ascii="Arial" w:cs="Arial" w:eastAsia="Arial" w:hAnsi="Arial"/>
          <w:sz w:val="16"/>
          <w:szCs w:val="16"/>
          <w:color w:val="auto"/>
        </w:rPr>
      </w:pPr>
    </w:p>
    <w:p>
      <w:pPr>
        <w:ind w:firstLine="656"/>
        <w:spacing w:after="0" w:line="269" w:lineRule="auto"/>
        <w:tabs>
          <w:tab w:leader="none" w:pos="1307" w:val="left"/>
        </w:tabs>
        <w:numPr>
          <w:ilvl w:val="0"/>
          <w:numId w:val="457"/>
        </w:numPr>
        <w:rPr>
          <w:rFonts w:ascii="Arial" w:cs="Arial" w:eastAsia="Arial" w:hAnsi="Arial"/>
          <w:sz w:val="17"/>
          <w:szCs w:val="17"/>
          <w:color w:val="auto"/>
        </w:rPr>
      </w:pPr>
      <w:r>
        <w:rPr>
          <w:rFonts w:ascii="Arial" w:cs="Arial" w:eastAsia="Arial" w:hAnsi="Arial"/>
          <w:sz w:val="17"/>
          <w:szCs w:val="17"/>
          <w:b w:val="1"/>
          <w:bCs w:val="1"/>
          <w:u w:val="single" w:color="auto"/>
          <w:color w:val="auto"/>
        </w:rPr>
        <w:t>Delay Rights</w:t>
      </w:r>
      <w:r>
        <w:rPr>
          <w:rFonts w:ascii="Arial" w:cs="Arial" w:eastAsia="Arial" w:hAnsi="Arial"/>
          <w:sz w:val="17"/>
          <w:szCs w:val="17"/>
          <w:color w:val="auto"/>
        </w:rPr>
        <w:t>. Notwithstanding anything to the contrary contained herein, the Partnership may, upon written notice to any Selling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294" w:val="left"/>
        </w:tabs>
        <w:numPr>
          <w:ilvl w:val="0"/>
          <w:numId w:val="458"/>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Participation</w:t>
      </w:r>
      <w:r>
        <w:rPr>
          <w:rFonts w:ascii="Arial" w:cs="Arial" w:eastAsia="Arial" w:hAnsi="Arial"/>
          <w:sz w:val="17"/>
          <w:szCs w:val="17"/>
          <w:color w:val="auto"/>
        </w:rPr>
        <w:t>. If at any time the Partnership proposes to file (i) a Registration Statement (other than a Registration Statement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w:t>
      </w:r>
      <w:r>
        <w:rPr>
          <w:rFonts w:ascii="Arial" w:cs="Arial" w:eastAsia="Arial" w:hAnsi="Arial"/>
          <w:sz w:val="17"/>
          <w:szCs w:val="17"/>
          <w:u w:val="single" w:color="auto"/>
          <w:color w:val="auto"/>
        </w:rPr>
        <w:t>Section 2.01(a)</w:t>
      </w:r>
      <w:r>
        <w:rPr>
          <w:rFonts w:ascii="Arial" w:cs="Arial" w:eastAsia="Arial" w:hAnsi="Arial"/>
          <w:sz w:val="17"/>
          <w:szCs w:val="17"/>
          <w:color w:val="auto"/>
        </w:rPr>
        <w:t>) on behalf of any other Persons who have or have been granted registration rights by the Partnership (the “</w:t>
      </w:r>
      <w:r>
        <w:rPr>
          <w:rFonts w:ascii="Arial" w:cs="Arial" w:eastAsia="Arial" w:hAnsi="Arial"/>
          <w:sz w:val="17"/>
          <w:szCs w:val="17"/>
          <w:b w:val="1"/>
          <w:bCs w:val="1"/>
          <w:u w:val="single" w:color="auto"/>
          <w:color w:val="auto"/>
        </w:rPr>
        <w:t>Other Holders</w:t>
      </w:r>
      <w:r>
        <w:rPr>
          <w:rFonts w:ascii="Arial" w:cs="Arial" w:eastAsia="Arial" w:hAnsi="Arial"/>
          <w:sz w:val="17"/>
          <w:szCs w:val="17"/>
          <w:color w:val="auto"/>
        </w:rPr>
        <w:t>”) or (ii) a prospectus supplement relating to the sale of Common Units by any Other Holders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other case in which Holders may participate in such offering without the filing of a post-effective amendment of a registration statement, in each case, for the sale of Common Units by Other Holders in an Underwritten Offering (including an Underwritten Offering undertaken pursuant to Section 2.03),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-41275</wp:posOffset>
            </wp:positionV>
            <wp:extent cx="2286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Partnership shall give not less than three Business Days’ notice (including, but not limited to, notification by electronic mail) (the “</w:t>
      </w:r>
      <w:r>
        <w:rPr>
          <w:rFonts w:ascii="Arial" w:cs="Arial" w:eastAsia="Arial" w:hAnsi="Arial"/>
          <w:sz w:val="16"/>
          <w:szCs w:val="16"/>
          <w:b w:val="1"/>
          <w:bCs w:val="1"/>
          <w:u w:val="single" w:color="auto"/>
          <w:color w:val="auto"/>
        </w:rPr>
        <w:t>Piggyback Notice</w:t>
      </w:r>
      <w:r>
        <w:rPr>
          <w:rFonts w:ascii="Arial" w:cs="Arial" w:eastAsia="Arial" w:hAnsi="Arial"/>
          <w:sz w:val="16"/>
          <w:szCs w:val="16"/>
          <w:color w:val="auto"/>
        </w:rPr>
        <w:t>”) of such proposed Underwritten Offering to each Holder (together with its Affiliates) owning more than $100 million of Registrable Securities, calculated on the basis of the Average Common Unit Price as of the date of the Piggyback Notice, and such Piggyback Notice shall offer such Holder the opportunity to include in such Underwritten Offering for Other Holders such number of Registrable Securities (the “</w:t>
      </w:r>
      <w:r>
        <w:rPr>
          <w:rFonts w:ascii="Arial" w:cs="Arial" w:eastAsia="Arial" w:hAnsi="Arial"/>
          <w:sz w:val="16"/>
          <w:szCs w:val="16"/>
          <w:b w:val="1"/>
          <w:bCs w:val="1"/>
          <w:u w:val="single" w:color="auto"/>
          <w:color w:val="auto"/>
        </w:rPr>
        <w:t>Included Registrable Securities</w:t>
      </w:r>
      <w:r>
        <w:rPr>
          <w:rFonts w:ascii="Arial" w:cs="Arial" w:eastAsia="Arial" w:hAnsi="Arial"/>
          <w:sz w:val="16"/>
          <w:szCs w:val="16"/>
          <w:color w:val="auto"/>
        </w:rPr>
        <w:t>”) as such Holder may request in writing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shall not be required to offer such opportunity (A) to such Holders if the Holders, together with their Affiliates, do not offer a minimum of $50 million of Registrable Securities, in the aggregate (determined by multiplying the number of Registrable Securities offered by the Average Common Unit Price),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Each Piggyback Notice shall be provided to Holders on a Business Day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w:t>
      </w:r>
    </w:p>
    <w:p>
      <w:pPr>
        <w:spacing w:after="0" w:line="4" w:lineRule="exact"/>
        <w:rPr>
          <w:sz w:val="20"/>
          <w:szCs w:val="20"/>
          <w:color w:val="auto"/>
        </w:rPr>
      </w:pPr>
    </w:p>
    <w:p>
      <w:pPr>
        <w:ind w:right="40" w:firstLine="8"/>
        <w:spacing w:after="0" w:line="292" w:lineRule="auto"/>
        <w:tabs>
          <w:tab w:leader="none" w:pos="25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Arial" w:cs="Arial" w:eastAsia="Arial" w:hAnsi="Arial"/>
          <w:sz w:val="16"/>
          <w:szCs w:val="16"/>
          <w:b w:val="1"/>
          <w:bCs w:val="1"/>
          <w:u w:val="single" w:color="auto"/>
          <w:color w:val="auto"/>
        </w:rPr>
        <w:t>Piggyback Opt-Out Notice</w:t>
      </w:r>
      <w:r>
        <w:rPr>
          <w:rFonts w:ascii="Arial" w:cs="Arial" w:eastAsia="Arial" w:hAnsi="Arial"/>
          <w:sz w:val="16"/>
          <w:szCs w:val="16"/>
          <w:color w:val="auto"/>
        </w:rPr>
        <w:t>”) to the Partnership requesting that such Holder not receive notice from the Partnership of any proposed Underwritten Offering for Other Holders;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w:t>
      </w:r>
    </w:p>
    <w:p>
      <w:pPr>
        <w:sectPr>
          <w:pgSz w:w="11900" w:h="16936" w:orient="portrait"/>
          <w:cols w:equalWidth="0" w:num="1">
            <w:col w:w="11420"/>
          </w:cols>
          <w:pgMar w:left="240" w:top="121" w:right="239" w:bottom="0" w:gutter="0" w:footer="0" w:header="0"/>
        </w:sectPr>
      </w:pPr>
    </w:p>
    <w:bookmarkStart w:id="188" w:name="page189"/>
    <w:bookmarkEnd w:id="188"/>
    <w:p>
      <w:pPr>
        <w:ind w:right="240"/>
        <w:spacing w:after="0" w:line="259" w:lineRule="auto"/>
        <w:rPr>
          <w:sz w:val="20"/>
          <w:szCs w:val="20"/>
          <w:color w:val="auto"/>
        </w:rPr>
      </w:pPr>
      <w:r>
        <w:rPr>
          <w:rFonts w:ascii="Arial" w:cs="Arial" w:eastAsia="Arial" w:hAnsi="Arial"/>
          <w:sz w:val="18"/>
          <w:szCs w:val="18"/>
          <w:color w:val="auto"/>
        </w:rPr>
        <w:t xml:space="preserve">that such Holder may later revoke any such Piggyback Opt-Out Notice in writing. Following receipt of a Piggyback Opt-Out Notice from a Holder (unless subsequently revoked), the Partnership shall not be required to deliver any notice to such Holder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and such Holder shall no longer be entitled to participate in Underwritten Offerings for Other Holders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unless such Piggyback Opt-Out Notice is revoked by such Holder.</w:t>
      </w:r>
    </w:p>
    <w:p>
      <w:pPr>
        <w:spacing w:after="0" w:line="183" w:lineRule="exact"/>
        <w:rPr>
          <w:sz w:val="20"/>
          <w:szCs w:val="20"/>
          <w:color w:val="auto"/>
        </w:rPr>
      </w:pPr>
    </w:p>
    <w:p>
      <w:pPr>
        <w:ind w:right="480" w:firstLine="656"/>
        <w:spacing w:after="0" w:line="266" w:lineRule="auto"/>
        <w:tabs>
          <w:tab w:leader="none" w:pos="1304" w:val="left"/>
        </w:tabs>
        <w:numPr>
          <w:ilvl w:val="0"/>
          <w:numId w:val="460"/>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Priority of Piggyback Registration</w:t>
      </w:r>
      <w:r>
        <w:rPr>
          <w:rFonts w:ascii="Arial" w:cs="Arial" w:eastAsia="Arial" w:hAnsi="Arial"/>
          <w:sz w:val="18"/>
          <w:szCs w:val="18"/>
          <w:color w:val="auto"/>
        </w:rPr>
        <w:t>. If the Managing Underwriter or Underwriters of any proposed Underwritten Offering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advise the Partnership that the total amount of Registrable Securities that the Selling Holders and any Other Holders intend to include in such offering exceeds the number that can be sold in such offering without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 Other Holder, on the percentage derived by dividing (A) the number of Common Units proposed to be sold by such Selling Holder or such Other Holder in such offering by (B) the aggregate number of Common Units proposed to be sold by all Selling Holders and all Other Holders in the Piggyback Registration).</w:t>
      </w:r>
    </w:p>
    <w:p>
      <w:pPr>
        <w:spacing w:after="0" w:line="16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5" w:lineRule="auto"/>
        <w:tabs>
          <w:tab w:leader="none" w:pos="1294" w:val="left"/>
        </w:tabs>
        <w:numPr>
          <w:ilvl w:val="0"/>
          <w:numId w:val="461"/>
        </w:numPr>
        <w:rPr>
          <w:rFonts w:ascii="Arial" w:cs="Arial" w:eastAsia="Arial" w:hAnsi="Arial"/>
          <w:sz w:val="16"/>
          <w:szCs w:val="16"/>
          <w:color w:val="auto"/>
        </w:rPr>
      </w:pPr>
      <w:r>
        <w:rPr>
          <w:rFonts w:ascii="Arial" w:cs="Arial" w:eastAsia="Arial" w:hAnsi="Arial"/>
          <w:sz w:val="16"/>
          <w:szCs w:val="16"/>
          <w:b w:val="1"/>
          <w:bCs w:val="1"/>
          <w:u w:val="single" w:color="auto"/>
          <w:color w:val="auto"/>
        </w:rPr>
        <w:t>S-3 Registration</w:t>
      </w:r>
      <w:r>
        <w:rPr>
          <w:rFonts w:ascii="Arial" w:cs="Arial" w:eastAsia="Arial" w:hAnsi="Arial"/>
          <w:sz w:val="16"/>
          <w:szCs w:val="16"/>
          <w:color w:val="auto"/>
        </w:rPr>
        <w:t>. In the event that any of (i) Oxy Holding Company (Pipeline), Inc. and its Affiliates, (ii) The Energy Minerals Group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Affiliates or (iii) Kayne Anderson Capital Advisors and its Affiliates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Section 2.02),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shall take all such other reasonable actions as are requested by the Managing Underwriter in order to expedite or facilitate the disposition of such Registrable Securities; provided, however, that the Partnership shall have no obligation to facilitate or participate in, including entering into any underwriting agreement, more than three (3) Underwritten Offerings requested by each of (i) Oxy Holding Company (Pipeline), Inc. and its Affiliates, collectively, (ii) The Energy Minerals Group and its Affiliates, collectively, or (iii) Kayne Anderson Capital Advisors and its Affiliates, collectively, for a maximum of nine total Underwritten Offerings;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provided, however, that the Partnership may only suspend such Selling Holder’s right to require the Partnership to conduct an Underwritten Offering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once in any six month period. Notwithstanding anything to the foregoing, if the aggregate value of the Registrable Securities held by any of (i) Oxy Holding Company (Pipeline), Inc. and its Affiliates, (ii) The Energy Minerals Group and its Affiliates or (iii) Kayne Anderson Capital Advisors and its Affiliates is less than or equal to $150 million, such Selling Holder may make a single and final request (provided that such Selling Holder has not previously requested its allotment of three Underwritten Offerings) with respect to its remaining Registrable Securities and the Partnership shall, upon such single and final request, take the actions provided for in this Section 2.03(a) in order to facilitate the disposition of such Registrable Securities pursuant to an Underwritten Offering.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71" w:lineRule="auto"/>
        <w:tabs>
          <w:tab w:leader="none" w:pos="1304"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Procedures</w:t>
      </w:r>
      <w:r>
        <w:rPr>
          <w:rFonts w:ascii="Arial" w:cs="Arial" w:eastAsia="Arial" w:hAnsi="Arial"/>
          <w:sz w:val="17"/>
          <w:szCs w:val="17"/>
          <w:color w:val="auto"/>
        </w:rPr>
        <w:t>. In connection with any Underwritten Offering contemplated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2.03(a)</w:t>
      </w:r>
      <w:r>
        <w:rPr>
          <w:rFonts w:ascii="Arial" w:cs="Arial" w:eastAsia="Arial" w:hAnsi="Arial"/>
          <w:sz w:val="17"/>
          <w:szCs w:val="17"/>
          <w:color w:val="auto"/>
        </w:rPr>
        <w:t>, the underwriting agreement into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each Selling Holder and the Partnership shall enter shall contain such representations, covenants, indemnities (subject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other rights and obligations as are customary in Underwritten Offerings of securities by the Partnership. No Selling Holder shall be required to make any representations or warranties to or agreements with the Partnership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Arial" w:cs="Arial" w:eastAsia="Arial" w:hAnsi="Arial"/>
          <w:sz w:val="17"/>
          <w:szCs w:val="17"/>
          <w:u w:val="single" w:color="auto"/>
          <w:color w:val="auto"/>
        </w:rPr>
        <w:t>Section 2.03</w:t>
      </w:r>
      <w:r>
        <w:rPr>
          <w:rFonts w:ascii="Arial" w:cs="Arial" w:eastAsia="Arial" w:hAnsi="Arial"/>
          <w:sz w:val="17"/>
          <w:szCs w:val="17"/>
          <w:color w:val="auto"/>
        </w:rPr>
        <w:t>, such Selling Holder may elect to withdraw therefrom by notice to the Partnership and the Managing Underwriter;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such withdrawal must be made at least one Business Day prior to the time of pricing of such Underwritten Offering to be effective. No such withdrawal or abandonment shall affect the Partnership’s obligation to pay Registration Expenses.</w:t>
      </w:r>
    </w:p>
    <w:p>
      <w:pPr>
        <w:spacing w:after="0" w:line="17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b w:val="1"/>
          <w:bCs w:val="1"/>
          <w:u w:val="single" w:color="auto"/>
          <w:color w:val="auto"/>
        </w:rPr>
        <w:t>Further Obligations</w:t>
      </w:r>
      <w:r>
        <w:rPr>
          <w:rFonts w:ascii="Arial" w:cs="Arial" w:eastAsia="Arial" w:hAnsi="Arial"/>
          <w:sz w:val="16"/>
          <w:szCs w:val="16"/>
          <w:color w:val="auto"/>
        </w:rPr>
        <w:t>. In connection with its obligations under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the Partnership will:</w:t>
      </w:r>
    </w:p>
    <w:p>
      <w:pPr>
        <w:spacing w:after="0" w:line="229" w:lineRule="exact"/>
        <w:rPr>
          <w:sz w:val="20"/>
          <w:szCs w:val="20"/>
          <w:color w:val="auto"/>
        </w:rPr>
      </w:pPr>
    </w:p>
    <w:p>
      <w:pPr>
        <w:ind w:right="80" w:firstLine="656"/>
        <w:spacing w:after="0" w:line="312" w:lineRule="auto"/>
        <w:tabs>
          <w:tab w:leader="none" w:pos="1294" w:val="left"/>
        </w:tabs>
        <w:numPr>
          <w:ilvl w:val="0"/>
          <w:numId w:val="463"/>
        </w:numPr>
        <w:rPr>
          <w:rFonts w:ascii="Arial" w:cs="Arial" w:eastAsia="Arial" w:hAnsi="Arial"/>
          <w:sz w:val="16"/>
          <w:szCs w:val="16"/>
          <w:color w:val="auto"/>
        </w:rPr>
      </w:pPr>
      <w:r>
        <w:rPr>
          <w:rFonts w:ascii="Arial" w:cs="Arial" w:eastAsia="Arial" w:hAnsi="Arial"/>
          <w:sz w:val="16"/>
          <w:szCs w:val="16"/>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46" w:lineRule="exact"/>
        <w:rPr>
          <w:rFonts w:ascii="Arial" w:cs="Arial" w:eastAsia="Arial" w:hAnsi="Arial"/>
          <w:sz w:val="16"/>
          <w:szCs w:val="16"/>
          <w:color w:val="auto"/>
        </w:rPr>
      </w:pPr>
    </w:p>
    <w:p>
      <w:pPr>
        <w:jc w:val="both"/>
        <w:ind w:right="200" w:firstLine="656"/>
        <w:spacing w:after="0" w:line="279" w:lineRule="auto"/>
        <w:tabs>
          <w:tab w:leader="none" w:pos="1304" w:val="left"/>
        </w:tabs>
        <w:numPr>
          <w:ilvl w:val="0"/>
          <w:numId w:val="463"/>
        </w:numPr>
        <w:rPr>
          <w:rFonts w:ascii="Arial" w:cs="Arial" w:eastAsia="Arial" w:hAnsi="Arial"/>
          <w:sz w:val="17"/>
          <w:szCs w:val="17"/>
          <w:color w:val="auto"/>
        </w:rPr>
      </w:pPr>
      <w:r>
        <w:rPr>
          <w:rFonts w:ascii="Arial" w:cs="Arial" w:eastAsia="Arial" w:hAnsi="Arial"/>
          <w:sz w:val="17"/>
          <w:szCs w:val="17"/>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71" w:lineRule="exact"/>
        <w:rPr>
          <w:rFonts w:ascii="Arial" w:cs="Arial" w:eastAsia="Arial" w:hAnsi="Arial"/>
          <w:sz w:val="17"/>
          <w:szCs w:val="17"/>
          <w:color w:val="auto"/>
        </w:rPr>
      </w:pPr>
    </w:p>
    <w:p>
      <w:pPr>
        <w:ind w:firstLine="656"/>
        <w:spacing w:after="0" w:line="291" w:lineRule="auto"/>
        <w:tabs>
          <w:tab w:leader="none" w:pos="1307" w:val="left"/>
        </w:tabs>
        <w:numPr>
          <w:ilvl w:val="0"/>
          <w:numId w:val="463"/>
        </w:numPr>
        <w:rPr>
          <w:rFonts w:ascii="Arial" w:cs="Arial" w:eastAsia="Arial" w:hAnsi="Arial"/>
          <w:sz w:val="16"/>
          <w:szCs w:val="16"/>
          <w:color w:val="auto"/>
        </w:rPr>
      </w:pPr>
      <w:r>
        <w:rPr>
          <w:rFonts w:ascii="Arial" w:cs="Arial" w:eastAsia="Arial" w:hAnsi="Arial"/>
          <w:sz w:val="16"/>
          <w:szCs w:val="16"/>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w:t>
      </w:r>
    </w:p>
    <w:p>
      <w:pPr>
        <w:sectPr>
          <w:pgSz w:w="11900" w:h="16838" w:orient="portrait"/>
          <w:cols w:equalWidth="0" w:num="1">
            <w:col w:w="11420"/>
          </w:cols>
          <w:pgMar w:left="240" w:top="125" w:right="239" w:bottom="0" w:gutter="0" w:footer="0" w:header="0"/>
        </w:sectPr>
      </w:pPr>
    </w:p>
    <w:bookmarkStart w:id="189" w:name="page190"/>
    <w:bookmarkEnd w:id="189"/>
    <w:p>
      <w:pPr>
        <w:ind w:right="160"/>
        <w:spacing w:after="0" w:line="277" w:lineRule="auto"/>
        <w:rPr>
          <w:sz w:val="20"/>
          <w:szCs w:val="20"/>
          <w:color w:val="auto"/>
        </w:rPr>
      </w:pPr>
      <w:r>
        <w:rPr>
          <w:rFonts w:ascii="Arial" w:cs="Arial" w:eastAsia="Arial" w:hAnsi="Arial"/>
          <w:sz w:val="18"/>
          <w:szCs w:val="18"/>
          <w:color w:val="auto"/>
        </w:rPr>
        <w:t>any supplements and amendments thereto as such Persons may reasonably request in order to facilitate the public sale or other disposition of the Registrable Securities covered by such Registration Statement or other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57" w:lineRule="auto"/>
        <w:tabs>
          <w:tab w:leader="none" w:pos="13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8" w:lineRule="exact"/>
        <w:rPr>
          <w:rFonts w:ascii="Arial" w:cs="Arial" w:eastAsia="Arial" w:hAnsi="Arial"/>
          <w:sz w:val="18"/>
          <w:szCs w:val="18"/>
          <w:color w:val="auto"/>
        </w:rPr>
      </w:pPr>
    </w:p>
    <w:p>
      <w:pPr>
        <w:ind w:firstLine="656"/>
        <w:spacing w:after="0" w:line="273" w:lineRule="auto"/>
        <w:tabs>
          <w:tab w:leader="none" w:pos="1307" w:val="left"/>
        </w:tabs>
        <w:numPr>
          <w:ilvl w:val="0"/>
          <w:numId w:val="464"/>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78" w:lineRule="exact"/>
        <w:rPr>
          <w:rFonts w:ascii="Arial" w:cs="Arial" w:eastAsia="Arial" w:hAnsi="Arial"/>
          <w:sz w:val="17"/>
          <w:szCs w:val="17"/>
          <w:color w:val="auto"/>
        </w:rPr>
      </w:pPr>
    </w:p>
    <w:p>
      <w:pPr>
        <w:ind w:firstLine="656"/>
        <w:spacing w:after="0" w:line="269" w:lineRule="auto"/>
        <w:tabs>
          <w:tab w:leader="none" w:pos="1301" w:val="left"/>
        </w:tabs>
        <w:numPr>
          <w:ilvl w:val="0"/>
          <w:numId w:val="464"/>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79" w:lineRule="exact"/>
        <w:rPr>
          <w:rFonts w:ascii="Arial" w:cs="Arial" w:eastAsia="Arial" w:hAnsi="Arial"/>
          <w:sz w:val="17"/>
          <w:szCs w:val="17"/>
          <w:color w:val="auto"/>
        </w:rPr>
      </w:pPr>
    </w:p>
    <w:p>
      <w:pPr>
        <w:ind w:right="40" w:firstLine="656"/>
        <w:spacing w:after="0" w:line="264" w:lineRule="auto"/>
        <w:tabs>
          <w:tab w:leader="none" w:pos="131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1" w:lineRule="auto"/>
        <w:tabs>
          <w:tab w:leader="none" w:pos="130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w:t>
      </w:r>
    </w:p>
    <w:p>
      <w:pPr>
        <w:spacing w:after="0" w:line="225" w:lineRule="exact"/>
        <w:rPr>
          <w:rFonts w:ascii="Arial" w:cs="Arial" w:eastAsia="Arial" w:hAnsi="Arial"/>
          <w:sz w:val="18"/>
          <w:szCs w:val="18"/>
          <w:color w:val="auto"/>
        </w:rPr>
      </w:pPr>
    </w:p>
    <w:p>
      <w:pPr>
        <w:ind w:right="160" w:firstLine="656"/>
        <w:spacing w:after="0" w:line="259" w:lineRule="auto"/>
        <w:tabs>
          <w:tab w:leader="none" w:pos="13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6" w:lineRule="exact"/>
        <w:rPr>
          <w:rFonts w:ascii="Arial" w:cs="Arial" w:eastAsia="Arial" w:hAnsi="Arial"/>
          <w:sz w:val="18"/>
          <w:szCs w:val="18"/>
          <w:color w:val="auto"/>
        </w:rPr>
      </w:pPr>
    </w:p>
    <w:p>
      <w:pPr>
        <w:ind w:right="620" w:firstLine="656"/>
        <w:spacing w:after="0" w:line="308" w:lineRule="auto"/>
        <w:tabs>
          <w:tab w:leader="none" w:pos="130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46" w:lineRule="exact"/>
        <w:rPr>
          <w:rFonts w:ascii="Arial" w:cs="Arial" w:eastAsia="Arial" w:hAnsi="Arial"/>
          <w:sz w:val="17"/>
          <w:szCs w:val="17"/>
          <w:color w:val="auto"/>
        </w:rPr>
      </w:pPr>
    </w:p>
    <w:p>
      <w:pPr>
        <w:jc w:val="both"/>
        <w:ind w:right="520" w:firstLine="656"/>
        <w:spacing w:after="0" w:line="264" w:lineRule="auto"/>
        <w:tabs>
          <w:tab w:leader="none" w:pos="131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pacing w:after="0" w:line="181" w:lineRule="exact"/>
        <w:rPr>
          <w:rFonts w:ascii="Arial" w:cs="Arial" w:eastAsia="Arial" w:hAnsi="Arial"/>
          <w:sz w:val="18"/>
          <w:szCs w:val="18"/>
          <w:color w:val="auto"/>
        </w:rPr>
      </w:pPr>
    </w:p>
    <w:p>
      <w:pPr>
        <w:ind w:right="180" w:firstLine="656"/>
        <w:spacing w:after="0" w:line="277" w:lineRule="auto"/>
        <w:tabs>
          <w:tab w:leader="none" w:pos="130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any Registration Statement not later than the Effective Date of such Registration Statement;</w:t>
      </w:r>
    </w:p>
    <w:p>
      <w:pPr>
        <w:spacing w:after="0" w:line="170" w:lineRule="exact"/>
        <w:rPr>
          <w:rFonts w:ascii="Arial" w:cs="Arial" w:eastAsia="Arial" w:hAnsi="Arial"/>
          <w:sz w:val="18"/>
          <w:szCs w:val="18"/>
          <w:color w:val="auto"/>
        </w:rPr>
      </w:pPr>
    </w:p>
    <w:p>
      <w:pPr>
        <w:ind w:right="140" w:firstLine="656"/>
        <w:spacing w:after="0" w:line="259" w:lineRule="auto"/>
        <w:tabs>
          <w:tab w:leader="none" w:pos="13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6" w:lineRule="exact"/>
        <w:rPr>
          <w:rFonts w:ascii="Arial" w:cs="Arial" w:eastAsia="Arial" w:hAnsi="Arial"/>
          <w:sz w:val="18"/>
          <w:szCs w:val="18"/>
          <w:color w:val="auto"/>
        </w:rPr>
      </w:pPr>
    </w:p>
    <w:p>
      <w:pPr>
        <w:ind w:right="300" w:firstLine="656"/>
        <w:spacing w:after="0" w:line="264" w:lineRule="auto"/>
        <w:tabs>
          <w:tab w:leader="none" w:pos="13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w:t>
      </w:r>
    </w:p>
    <w:p>
      <w:pPr>
        <w:sectPr>
          <w:pgSz w:w="11900" w:h="16838" w:orient="portrait"/>
          <w:cols w:equalWidth="0" w:num="1">
            <w:col w:w="11420"/>
          </w:cols>
          <w:pgMar w:left="240" w:top="125" w:right="239" w:bottom="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81" w:lineRule="exact"/>
        <w:rPr>
          <w:sz w:val="20"/>
          <w:szCs w:val="20"/>
          <w:color w:val="auto"/>
        </w:rPr>
      </w:pPr>
    </w:p>
    <w:p>
      <w:pPr>
        <w:ind w:right="180" w:firstLine="656"/>
        <w:spacing w:after="0" w:line="264" w:lineRule="auto"/>
        <w:tabs>
          <w:tab w:leader="none" w:pos="130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7" w:lineRule="exact"/>
        <w:rPr>
          <w:rFonts w:ascii="Arial" w:cs="Arial" w:eastAsia="Arial" w:hAnsi="Arial"/>
          <w:sz w:val="18"/>
          <w:szCs w:val="18"/>
          <w:color w:val="auto"/>
        </w:rPr>
      </w:pPr>
    </w:p>
    <w:p>
      <w:pPr>
        <w:ind w:right="80" w:firstLine="656"/>
        <w:spacing w:after="0" w:line="268" w:lineRule="auto"/>
        <w:tabs>
          <w:tab w:leader="none" w:pos="1304" w:val="left"/>
        </w:tabs>
        <w:numPr>
          <w:ilvl w:val="0"/>
          <w:numId w:val="466"/>
        </w:numPr>
        <w:rPr>
          <w:rFonts w:ascii="Arial" w:cs="Arial" w:eastAsia="Arial" w:hAnsi="Arial"/>
          <w:sz w:val="17"/>
          <w:szCs w:val="17"/>
          <w:color w:val="auto"/>
        </w:rPr>
      </w:pPr>
      <w:r>
        <w:rPr>
          <w:rFonts w:ascii="Arial" w:cs="Arial" w:eastAsia="Arial" w:hAnsi="Arial"/>
          <w:sz w:val="17"/>
          <w:szCs w:val="17"/>
          <w:color w:val="auto"/>
        </w:rPr>
        <w:t>if any Holder could reasonably be deemed to be an “</w:t>
      </w:r>
      <w:r>
        <w:rPr>
          <w:rFonts w:ascii="Arial" w:cs="Arial" w:eastAsia="Arial" w:hAnsi="Arial"/>
          <w:sz w:val="17"/>
          <w:szCs w:val="17"/>
          <w:b w:val="1"/>
          <w:bCs w:val="1"/>
          <w:u w:val="single" w:color="auto"/>
          <w:color w:val="auto"/>
        </w:rPr>
        <w:t>underwriter,</w:t>
      </w:r>
      <w:r>
        <w:rPr>
          <w:rFonts w:ascii="Arial" w:cs="Arial" w:eastAsia="Arial" w:hAnsi="Arial"/>
          <w:sz w:val="17"/>
          <w:szCs w:val="17"/>
          <w:color w:val="auto"/>
        </w:rPr>
        <w:t>” as defined in Section 2(a)(11) of the Securities Act, in connection with the Registration Statement and any amendment or supplement thereof (a “</w:t>
      </w:r>
      <w:r>
        <w:rPr>
          <w:rFonts w:ascii="Arial" w:cs="Arial" w:eastAsia="Arial" w:hAnsi="Arial"/>
          <w:sz w:val="17"/>
          <w:szCs w:val="17"/>
          <w:b w:val="1"/>
          <w:bCs w:val="1"/>
          <w:u w:val="single" w:color="auto"/>
          <w:color w:val="auto"/>
        </w:rPr>
        <w:t>Holder Underwriter Registration Statement</w:t>
      </w:r>
      <w:r>
        <w:rPr>
          <w:rFonts w:ascii="Arial" w:cs="Arial" w:eastAsia="Arial" w:hAnsi="Arial"/>
          <w:sz w:val="17"/>
          <w:szCs w:val="17"/>
          <w:color w:val="auto"/>
        </w:rPr>
        <w:t>”), then the Partnership will reasonably cooperate with such Holder in allowing such Holder to conduct customary “</w:t>
      </w:r>
      <w:r>
        <w:rPr>
          <w:rFonts w:ascii="Arial" w:cs="Arial" w:eastAsia="Arial" w:hAnsi="Arial"/>
          <w:sz w:val="17"/>
          <w:szCs w:val="17"/>
          <w:b w:val="1"/>
          <w:bCs w:val="1"/>
          <w:u w:val="single" w:color="auto"/>
          <w:color w:val="auto"/>
        </w:rPr>
        <w:t>underwriter’s due diligence</w:t>
      </w:r>
      <w:r>
        <w:rPr>
          <w:rFonts w:ascii="Arial" w:cs="Arial" w:eastAsia="Arial" w:hAnsi="Arial"/>
          <w:sz w:val="17"/>
          <w:szCs w:val="17"/>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 request shall not be more frequently than on an annual basis unless such Holder is offering Registrable Securities pursuant to a Holder Underwriter Registration Statement), (i)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Arial" w:cs="Arial" w:eastAsia="Arial" w:hAnsi="Arial"/>
          <w:sz w:val="17"/>
          <w:szCs w:val="17"/>
          <w:b w:val="1"/>
          <w:bCs w:val="1"/>
          <w:u w:val="single" w:color="auto"/>
          <w:color w:val="auto"/>
        </w:rPr>
        <w:t>10b-5</w:t>
      </w:r>
      <w:r>
        <w:rPr>
          <w:rFonts w:ascii="Arial" w:cs="Arial" w:eastAsia="Arial" w:hAnsi="Arial"/>
          <w:sz w:val="17"/>
          <w:szCs w:val="17"/>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Partnership will not name a Holder as an underwriter (as defined in Section 2(a)</w:t>
      </w:r>
    </w:p>
    <w:p>
      <w:pPr>
        <w:spacing w:after="0" w:line="46" w:lineRule="exact"/>
        <w:rPr>
          <w:sz w:val="20"/>
          <w:szCs w:val="20"/>
          <w:color w:val="auto"/>
        </w:rPr>
      </w:pPr>
    </w:p>
    <w:p>
      <w:pPr>
        <w:ind w:right="80" w:firstLine="8"/>
        <w:spacing w:after="0" w:line="252" w:lineRule="auto"/>
        <w:tabs>
          <w:tab w:leader="none" w:pos="33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Arial" w:cs="Arial" w:eastAsia="Arial" w:hAnsi="Arial"/>
          <w:sz w:val="18"/>
          <w:szCs w:val="18"/>
          <w:u w:val="single" w:color="auto"/>
          <w:color w:val="auto"/>
        </w:rPr>
        <w:t>subsection (q)</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with respect to the Partnership at the time such Holder’s consent is sought.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Each Selling Holder, upon receipt of notice from the Partnership of the happening of any event of the kind described in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6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b w:val="1"/>
          <w:bCs w:val="1"/>
          <w:u w:val="single" w:color="auto"/>
          <w:color w:val="auto"/>
        </w:rPr>
        <w:t>Cooperation by Holders</w:t>
      </w:r>
      <w:r>
        <w:rPr>
          <w:rFonts w:ascii="Arial" w:cs="Arial" w:eastAsia="Arial" w:hAnsi="Arial"/>
          <w:sz w:val="18"/>
          <w:szCs w:val="18"/>
          <w:color w:val="auto"/>
        </w:rPr>
        <w:t xml:space="preserve">. The Partnership shall have no obligation to include Registrable Securities of a Holder in a Registration Statement or in an Underwritten Offering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8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u w:val="single" w:color="auto"/>
          <w:color w:val="auto"/>
        </w:rPr>
        <w:t>Restrictions on Public Sale by Holders of Registrable Securities</w:t>
      </w:r>
      <w:r>
        <w:rPr>
          <w:rFonts w:ascii="Arial" w:cs="Arial" w:eastAsia="Arial" w:hAnsi="Arial"/>
          <w:sz w:val="18"/>
          <w:szCs w:val="18"/>
          <w:color w:val="auto"/>
        </w:rPr>
        <w:t>. Each Selling Holder participating in an Underwritten Offering included in a Registration Statement agrees to enter into a customary letter agreement with underwriters providing that such Selling Holder, to the extent requested by the Partnership and any underwriter, will not effect any public sale or distribution of Registrable Securities during a period not to exceed forty-five (45) calendar days following the date of a prospectus or prospectus supplement filed with the Commission with respect to the pricing of such Underwritten Offering;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not apply to any Registrable Securities that are included in such Underwritten Offering by such Selling Holder.</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b w:val="1"/>
          <w:bCs w:val="1"/>
          <w:u w:val="single" w:color="auto"/>
          <w:color w:val="auto"/>
        </w:rPr>
        <w:t>Expenses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468"/>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shall not include Selling Expenses but otherwise means all expenses incident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Partnership’s performance under or compliance with this Agreement to effect the registration of Registrable Securities on a Registration Statement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 Piggyback Registration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an Underwritten Offering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means all underwriting fees, discounts</w:t>
      </w:r>
    </w:p>
    <w:p>
      <w:pPr>
        <w:sectPr>
          <w:pgSz w:w="11900" w:h="16838" w:orient="portrait"/>
          <w:cols w:equalWidth="0" w:num="1">
            <w:col w:w="11420"/>
          </w:cols>
          <w:pgMar w:left="240" w:top="125" w:right="239" w:bottom="55"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191" w:name="page192"/>
    <w:bookmarkEnd w:id="191"/>
    <w:p>
      <w:pPr>
        <w:ind w:right="160"/>
        <w:spacing w:after="0" w:line="277" w:lineRule="auto"/>
        <w:rPr>
          <w:sz w:val="20"/>
          <w:szCs w:val="20"/>
          <w:color w:val="auto"/>
        </w:rPr>
      </w:pPr>
      <w:r>
        <w:rPr>
          <w:rFonts w:ascii="Arial" w:cs="Arial" w:eastAsia="Arial" w:hAnsi="Arial"/>
          <w:sz w:val="18"/>
          <w:szCs w:val="18"/>
          <w:color w:val="auto"/>
        </w:rPr>
        <w:t>and selling commissions and transfer taxes allocable to the sale of the Registrable Securities, plus any costs or expenses related to any roadshows conducted in connection with the marketing of any Underwritten Offering.</w:t>
      </w:r>
    </w:p>
    <w:p>
      <w:pPr>
        <w:spacing w:after="0" w:line="166" w:lineRule="exact"/>
        <w:rPr>
          <w:sz w:val="20"/>
          <w:szCs w:val="20"/>
          <w:color w:val="auto"/>
        </w:rPr>
      </w:pPr>
    </w:p>
    <w:p>
      <w:pPr>
        <w:jc w:val="both"/>
        <w:ind w:right="100" w:firstLine="656"/>
        <w:spacing w:after="0" w:line="258" w:lineRule="auto"/>
        <w:tabs>
          <w:tab w:leader="none" w:pos="1304" w:val="left"/>
        </w:tabs>
        <w:numPr>
          <w:ilvl w:val="0"/>
          <w:numId w:val="469"/>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Partnership will pay all reasonable Registration Expenses, as determined in good faith, in connection with a shelf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Arial" w:cs="Arial" w:eastAsia="Arial" w:hAnsi="Arial"/>
          <w:sz w:val="18"/>
          <w:szCs w:val="18"/>
          <w:u w:val="single" w:color="auto"/>
          <w:color w:val="auto"/>
        </w:rPr>
        <w:t>Section 2.08</w:t>
      </w:r>
      <w:r>
        <w:rPr>
          <w:rFonts w:ascii="Arial" w:cs="Arial" w:eastAsia="Arial" w:hAnsi="Arial"/>
          <w:sz w:val="18"/>
          <w:szCs w:val="18"/>
          <w:color w:val="auto"/>
        </w:rPr>
        <w:t>, the Partnership shall not be responsible for professional fees (including legal fees) incurred by Holders in connection with the exercise of such Holders’ rights hereunder.</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5" w:lineRule="auto"/>
        <w:tabs>
          <w:tab w:leader="none" w:pos="1294" w:val="left"/>
        </w:tabs>
        <w:numPr>
          <w:ilvl w:val="0"/>
          <w:numId w:val="470"/>
        </w:numPr>
        <w:rPr>
          <w:rFonts w:ascii="Arial" w:cs="Arial" w:eastAsia="Arial" w:hAnsi="Arial"/>
          <w:sz w:val="16"/>
          <w:szCs w:val="16"/>
          <w:color w:val="auto"/>
        </w:rPr>
      </w:pPr>
      <w:r>
        <w:rPr>
          <w:rFonts w:ascii="Arial" w:cs="Arial" w:eastAsia="Arial" w:hAnsi="Arial"/>
          <w:sz w:val="16"/>
          <w:szCs w:val="16"/>
          <w:b w:val="1"/>
          <w:bCs w:val="1"/>
          <w:u w:val="single" w:color="auto"/>
          <w:color w:val="auto"/>
        </w:rPr>
        <w:t>By the Partnership</w:t>
      </w:r>
      <w:r>
        <w:rPr>
          <w:rFonts w:ascii="Arial" w:cs="Arial" w:eastAsia="Arial" w:hAnsi="Arial"/>
          <w:sz w:val="16"/>
          <w:szCs w:val="16"/>
          <w:color w:val="auto"/>
        </w:rPr>
        <w:t>. In the event of a registration of any Registrable Securities under the Securities Act pursuant to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Arial" w:cs="Arial" w:eastAsia="Arial" w:hAnsi="Arial"/>
          <w:sz w:val="16"/>
          <w:szCs w:val="16"/>
          <w:b w:val="1"/>
          <w:bCs w:val="1"/>
          <w:u w:val="single" w:color="auto"/>
          <w:color w:val="auto"/>
        </w:rPr>
        <w:t>Selling Holder Indemnified Persons</w:t>
      </w:r>
      <w:r>
        <w:rPr>
          <w:rFonts w:ascii="Arial" w:cs="Arial" w:eastAsia="Arial" w:hAnsi="Arial"/>
          <w:sz w:val="16"/>
          <w:szCs w:val="16"/>
          <w:color w:val="auto"/>
        </w:rPr>
        <w:t>”), against any losses, claims, damages, expenses or liabilities (including reasonable attorneys’ fees and expenses) (collectively, “</w:t>
      </w:r>
      <w:r>
        <w:rPr>
          <w:rFonts w:ascii="Arial" w:cs="Arial" w:eastAsia="Arial" w:hAnsi="Arial"/>
          <w:sz w:val="16"/>
          <w:szCs w:val="16"/>
          <w:b w:val="1"/>
          <w:bCs w:val="1"/>
          <w:u w:val="single" w:color="auto"/>
          <w:color w:val="auto"/>
        </w:rPr>
        <w:t>Losses</w:t>
      </w:r>
      <w:r>
        <w:rPr>
          <w:rFonts w:ascii="Arial" w:cs="Arial" w:eastAsia="Arial" w:hAnsi="Arial"/>
          <w:sz w:val="16"/>
          <w:szCs w:val="16"/>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72" w:lineRule="exact"/>
        <w:rPr>
          <w:rFonts w:ascii="Arial" w:cs="Arial" w:eastAsia="Arial" w:hAnsi="Arial"/>
          <w:sz w:val="16"/>
          <w:szCs w:val="16"/>
          <w:color w:val="auto"/>
        </w:rPr>
      </w:pPr>
    </w:p>
    <w:p>
      <w:pPr>
        <w:ind w:right="40" w:firstLine="656"/>
        <w:spacing w:after="0" w:line="282" w:lineRule="auto"/>
        <w:tabs>
          <w:tab w:leader="none" w:pos="1304" w:val="left"/>
        </w:tabs>
        <w:numPr>
          <w:ilvl w:val="0"/>
          <w:numId w:val="470"/>
        </w:numPr>
        <w:rPr>
          <w:rFonts w:ascii="Arial" w:cs="Arial" w:eastAsia="Arial" w:hAnsi="Arial"/>
          <w:sz w:val="18"/>
          <w:szCs w:val="18"/>
          <w:color w:val="auto"/>
        </w:rPr>
      </w:pPr>
      <w:r>
        <w:rPr>
          <w:rFonts w:ascii="Arial" w:cs="Arial" w:eastAsia="Arial" w:hAnsi="Arial"/>
          <w:sz w:val="18"/>
          <w:szCs w:val="18"/>
          <w:b w:val="1"/>
          <w:bCs w:val="1"/>
          <w:u w:val="single" w:color="auto"/>
          <w:color w:val="auto"/>
        </w:rPr>
        <w:t>By Each Selling Holder</w:t>
      </w:r>
      <w:r>
        <w:rPr>
          <w:rFonts w:ascii="Arial" w:cs="Arial" w:eastAsia="Arial" w:hAnsi="Arial"/>
          <w:sz w:val="18"/>
          <w:szCs w:val="18"/>
          <w:color w:val="auto"/>
        </w:rPr>
        <w:t>. Each Selling Holder agrees severally and not jointly to indemnify and hold harmless the Partnership,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the GP Entities, GP LLC’s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5" w:lineRule="exact"/>
        <w:rPr>
          <w:sz w:val="20"/>
          <w:szCs w:val="20"/>
          <w:color w:val="auto"/>
        </w:rPr>
      </w:pPr>
    </w:p>
    <w:p>
      <w:pPr>
        <w:ind w:firstLine="656"/>
        <w:spacing w:after="0" w:line="285" w:lineRule="auto"/>
        <w:tabs>
          <w:tab w:leader="none" w:pos="1307" w:val="left"/>
        </w:tabs>
        <w:numPr>
          <w:ilvl w:val="0"/>
          <w:numId w:val="47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Promptly after receipt by an indemnified party hereunder of notice of the commencement of any action, such indemnified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Arial" w:cs="Arial" w:eastAsia="Arial" w:hAnsi="Arial"/>
          <w:sz w:val="16"/>
          <w:szCs w:val="16"/>
          <w:u w:val="single" w:color="auto"/>
          <w:color w:val="auto"/>
        </w:rPr>
        <w:t>Section 2.08(c)</w:t>
      </w:r>
      <w:r>
        <w:rPr>
          <w:rFonts w:ascii="Arial" w:cs="Arial" w:eastAsia="Arial" w:hAnsi="Arial"/>
          <w:sz w:val="16"/>
          <w:szCs w:val="16"/>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for any legal expenses subsequently incurred by such indemnified party in connection with the defense thereof other than reasonable costs of investigation and of liaison with counsel so selected;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pacing w:after="0" w:line="172" w:lineRule="exact"/>
        <w:rPr>
          <w:rFonts w:ascii="Arial" w:cs="Arial" w:eastAsia="Arial" w:hAnsi="Arial"/>
          <w:sz w:val="16"/>
          <w:szCs w:val="16"/>
          <w:color w:val="auto"/>
        </w:rPr>
      </w:pPr>
    </w:p>
    <w:p>
      <w:pPr>
        <w:ind w:right="40" w:firstLine="656"/>
        <w:spacing w:after="0" w:line="314" w:lineRule="auto"/>
        <w:tabs>
          <w:tab w:leader="none" w:pos="1304" w:val="left"/>
        </w:tabs>
        <w:numPr>
          <w:ilvl w:val="0"/>
          <w:numId w:val="471"/>
        </w:numPr>
        <w:rPr>
          <w:rFonts w:ascii="Arial" w:cs="Arial" w:eastAsia="Arial" w:hAnsi="Arial"/>
          <w:sz w:val="16"/>
          <w:szCs w:val="16"/>
          <w:color w:val="auto"/>
        </w:rPr>
      </w:pPr>
      <w:r>
        <w:rPr>
          <w:rFonts w:ascii="Arial" w:cs="Arial" w:eastAsia="Arial" w:hAnsi="Arial"/>
          <w:sz w:val="16"/>
          <w:szCs w:val="16"/>
          <w:b w:val="1"/>
          <w:bCs w:val="1"/>
          <w:u w:val="single" w:color="auto"/>
          <w:color w:val="auto"/>
        </w:rPr>
        <w:t>Contribution</w:t>
      </w:r>
      <w:r>
        <w:rPr>
          <w:rFonts w:ascii="Arial" w:cs="Arial" w:eastAsia="Arial" w:hAnsi="Arial"/>
          <w:sz w:val="16"/>
          <w:szCs w:val="16"/>
          <w:color w:val="auto"/>
        </w:rPr>
        <w:t>. If the indemnification provided for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2.08</w:t>
      </w:r>
      <w:r>
        <w:rPr>
          <w:rFonts w:ascii="Arial" w:cs="Arial" w:eastAsia="Arial" w:hAnsi="Arial"/>
          <w:sz w:val="16"/>
          <w:szCs w:val="16"/>
          <w:b w:val="1"/>
          <w:bCs w:val="1"/>
          <w:color w:val="auto"/>
        </w:rPr>
        <w:t xml:space="preserve"> </w:t>
      </w:r>
      <w:r>
        <w:rPr>
          <w:rFonts w:ascii="Arial" w:cs="Arial" w:eastAsia="Arial" w:hAnsi="Arial"/>
          <w:sz w:val="16"/>
          <w:szCs w:val="16"/>
          <w:color w:val="auto"/>
        </w:rPr>
        <w:t>is held by a court or government agency of competent jurisdiction to</w:t>
      </w:r>
      <w:r>
        <w:rPr>
          <w:rFonts w:ascii="Arial" w:cs="Arial" w:eastAsia="Arial" w:hAnsi="Arial"/>
          <w:sz w:val="16"/>
          <w:szCs w:val="16"/>
          <w:b w:val="1"/>
          <w:bCs w:val="1"/>
          <w:color w:val="auto"/>
        </w:rPr>
        <w:t xml:space="preserve"> </w:t>
      </w:r>
      <w:r>
        <w:rPr>
          <w:rFonts w:ascii="Arial" w:cs="Arial" w:eastAsia="Arial" w:hAnsi="Arial"/>
          <w:sz w:val="16"/>
          <w:szCs w:val="16"/>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21" w:gutter="0" w:footer="0" w:header="0"/>
        </w:sectPr>
      </w:pPr>
    </w:p>
    <w:bookmarkStart w:id="192" w:name="page193"/>
    <w:bookmarkEnd w:id="192"/>
    <w:p>
      <w:pPr>
        <w:spacing w:after="0" w:line="287" w:lineRule="auto"/>
        <w:rPr>
          <w:sz w:val="20"/>
          <w:szCs w:val="20"/>
          <w:color w:val="auto"/>
        </w:rPr>
      </w:pPr>
      <w:r>
        <w:rPr>
          <w:rFonts w:ascii="Arial" w:cs="Arial" w:eastAsia="Arial" w:hAnsi="Arial"/>
          <w:sz w:val="16"/>
          <w:szCs w:val="16"/>
          <w:color w:val="auto"/>
        </w:rPr>
        <w:t>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65" w:lineRule="exact"/>
        <w:rPr>
          <w:sz w:val="20"/>
          <w:szCs w:val="20"/>
          <w:color w:val="auto"/>
        </w:rPr>
      </w:pPr>
    </w:p>
    <w:p>
      <w:pPr>
        <w:ind w:right="120" w:firstLine="656"/>
        <w:spacing w:after="0" w:line="282" w:lineRule="auto"/>
        <w:tabs>
          <w:tab w:leader="none" w:pos="1307" w:val="left"/>
        </w:tabs>
        <w:numPr>
          <w:ilvl w:val="0"/>
          <w:numId w:val="47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Indemnification</w:t>
      </w:r>
      <w:r>
        <w:rPr>
          <w:rFonts w:ascii="Arial" w:cs="Arial" w:eastAsia="Arial" w:hAnsi="Arial"/>
          <w:sz w:val="18"/>
          <w:szCs w:val="18"/>
          <w:color w:val="auto"/>
        </w:rPr>
        <w:t>.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2.08</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addition to any other rights to indemnification or contribution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indemnified party may have pursuant to law, equity, contract or otherwise.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b w:val="1"/>
          <w:bCs w:val="1"/>
          <w:u w:val="single" w:color="auto"/>
          <w:color w:val="auto"/>
        </w:rPr>
        <w:t>Rule 144 Reporting</w:t>
      </w:r>
      <w:r>
        <w:rPr>
          <w:rFonts w:ascii="Arial" w:cs="Arial" w:eastAsia="Arial" w:hAnsi="Arial"/>
          <w:sz w:val="17"/>
          <w:szCs w:val="17"/>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pacing w:after="0" w:line="142" w:lineRule="exact"/>
        <w:rPr>
          <w:sz w:val="20"/>
          <w:szCs w:val="20"/>
          <w:color w:val="auto"/>
        </w:rPr>
      </w:pPr>
    </w:p>
    <w:p>
      <w:pPr>
        <w:ind w:right="360" w:firstLine="656"/>
        <w:spacing w:after="0" w:line="277" w:lineRule="auto"/>
        <w:tabs>
          <w:tab w:leader="none" w:pos="129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70" w:lineRule="exact"/>
        <w:rPr>
          <w:rFonts w:ascii="Arial" w:cs="Arial" w:eastAsia="Arial" w:hAnsi="Arial"/>
          <w:sz w:val="18"/>
          <w:szCs w:val="18"/>
          <w:color w:val="auto"/>
        </w:rPr>
      </w:pPr>
    </w:p>
    <w:p>
      <w:pPr>
        <w:ind w:right="240" w:firstLine="656"/>
        <w:spacing w:after="0" w:line="277" w:lineRule="auto"/>
        <w:tabs>
          <w:tab w:leader="none" w:pos="130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70" w:lineRule="exact"/>
        <w:rPr>
          <w:rFonts w:ascii="Arial" w:cs="Arial" w:eastAsia="Arial" w:hAnsi="Arial"/>
          <w:sz w:val="18"/>
          <w:szCs w:val="18"/>
          <w:color w:val="auto"/>
        </w:rPr>
      </w:pPr>
    </w:p>
    <w:p>
      <w:pPr>
        <w:ind w:right="160" w:firstLine="656"/>
        <w:spacing w:after="0" w:line="276" w:lineRule="auto"/>
        <w:tabs>
          <w:tab w:leader="none" w:pos="1307" w:val="left"/>
        </w:tabs>
        <w:numPr>
          <w:ilvl w:val="0"/>
          <w:numId w:val="473"/>
        </w:numPr>
        <w:rPr>
          <w:rFonts w:ascii="Arial" w:cs="Arial" w:eastAsia="Arial" w:hAnsi="Arial"/>
          <w:sz w:val="17"/>
          <w:szCs w:val="17"/>
          <w:color w:val="auto"/>
        </w:rPr>
      </w:pPr>
      <w:r>
        <w:rPr>
          <w:rFonts w:ascii="Arial" w:cs="Arial" w:eastAsia="Arial" w:hAnsi="Arial"/>
          <w:sz w:val="17"/>
          <w:szCs w:val="17"/>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u w:val="single" w:color="auto"/>
          <w:color w:val="auto"/>
        </w:rPr>
        <w:t>Transfer or Assignment of Registration Rights</w:t>
      </w:r>
      <w:r>
        <w:rPr>
          <w:rFonts w:ascii="Arial" w:cs="Arial" w:eastAsia="Arial" w:hAnsi="Arial"/>
          <w:sz w:val="17"/>
          <w:szCs w:val="17"/>
          <w:color w:val="auto"/>
        </w:rPr>
        <w:t xml:space="preserve">. The rights to cause the Partnership to register Registrable Securities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may be transferred or assigned by each Holder to one or more transferees or assignees of Registrable Securities or securities convertible into Registrable Securities;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(a) unless any such transferee or assignee is an Affiliate of, and after such transfer or assignment continues to be an Affiliate of, such Holder, the amount of Registrable Securities or securities convertible into Registrable Securities, as applicable, transferred or assigned to such transferee or assignee shall represent at least $50 million of Registrable Securities (determined by multiplying the number of Registrable Securities owned by the Average Common Unit Price as of date of such transfer or assignment), (b) the Partnership is given written notice prior to any said transfer or assignment, stating the name and address of each such transferee or assignee and identifying the securities with respect to which such registration rights are being transferred or assigned and (c) each such transferee or assignee assumes in writing responsibility for its portion of the obligations of such transferring Holder under this Agreement.</w:t>
      </w:r>
    </w:p>
    <w:p>
      <w:pPr>
        <w:spacing w:after="0" w:line="174"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b w:val="1"/>
          <w:bCs w:val="1"/>
          <w:u w:val="single" w:color="auto"/>
          <w:color w:val="auto"/>
        </w:rPr>
        <w:t>Limitation on Subsequent Registration Rights</w:t>
      </w:r>
      <w:r>
        <w:rPr>
          <w:rFonts w:ascii="Arial" w:cs="Arial" w:eastAsia="Arial" w:hAnsi="Arial"/>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u w:val="single" w:color="auto"/>
          <w:color w:val="auto"/>
        </w:rPr>
        <w:t>Communications</w:t>
      </w:r>
      <w:r>
        <w:rPr>
          <w:rFonts w:ascii="Arial" w:cs="Arial" w:eastAsia="Arial" w:hAnsi="Arial"/>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80" w:lineRule="exact"/>
        <w:rPr>
          <w:sz w:val="20"/>
          <w:szCs w:val="20"/>
          <w:color w:val="auto"/>
        </w:rPr>
      </w:pPr>
    </w:p>
    <w:p>
      <w:pPr>
        <w:ind w:left="1960" w:hanging="655"/>
        <w:spacing w:after="0"/>
        <w:tabs>
          <w:tab w:leader="none" w:pos="196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 xml:space="preserve">If to the Initial Investor Holders, to the addresses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with a copy to (which shall not constitute notice):</w:t>
      </w:r>
    </w:p>
    <w:p>
      <w:pPr>
        <w:spacing w:after="0" w:line="236"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Baker Botts L.L.P.</w:t>
      </w:r>
    </w:p>
    <w:p>
      <w:pPr>
        <w:spacing w:after="0" w:line="23" w:lineRule="exact"/>
        <w:rPr>
          <w:rFonts w:ascii="Arial" w:cs="Arial" w:eastAsia="Arial" w:hAnsi="Arial"/>
          <w:sz w:val="17"/>
          <w:szCs w:val="17"/>
          <w:color w:val="auto"/>
        </w:rPr>
      </w:pPr>
    </w:p>
    <w:p>
      <w:pPr>
        <w:ind w:left="1960" w:right="7440"/>
        <w:spacing w:after="0" w:line="281" w:lineRule="auto"/>
        <w:rPr>
          <w:rFonts w:ascii="Arial" w:cs="Arial" w:eastAsia="Arial" w:hAnsi="Arial"/>
          <w:sz w:val="17"/>
          <w:szCs w:val="17"/>
          <w:color w:val="auto"/>
        </w:rPr>
      </w:pPr>
      <w:r>
        <w:rPr>
          <w:rFonts w:ascii="Arial" w:cs="Arial" w:eastAsia="Arial" w:hAnsi="Arial"/>
          <w:sz w:val="16"/>
          <w:szCs w:val="16"/>
          <w:color w:val="auto"/>
        </w:rPr>
        <w:t>910 Louisiana St. Houston, Texas 77002 Attention: Joshua Davidson Facsimile: (713) 229-2727</w:t>
      </w:r>
    </w:p>
    <w:p>
      <w:pPr>
        <w:spacing w:after="0" w:line="2"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Email: joshua.davidson@bakerbotts.com</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If to the Initial Management Holders, to the addresses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to the Partnership:</w:t>
      </w:r>
    </w:p>
    <w:p>
      <w:pPr>
        <w:sectPr>
          <w:pgSz w:w="11900" w:h="16838" w:orient="portrait"/>
          <w:cols w:equalWidth="0" w:num="1">
            <w:col w:w="11400"/>
          </w:cols>
          <w:pgMar w:left="240" w:top="125" w:right="259" w:bottom="32" w:gutter="0" w:footer="0" w:header="0"/>
        </w:sectPr>
      </w:pPr>
    </w:p>
    <w:bookmarkStart w:id="193" w:name="page194"/>
    <w:bookmarkEnd w:id="193"/>
    <w:p>
      <w:pPr>
        <w:ind w:left="19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Clay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Richard McGee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rkmcgee@paalp.com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TX 77002-6760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Alan Beck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(713) 615-5620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abeck@velaw.com</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or to such other address as the Partnership or the Initial Holders may designate to each other in writing from time to time or, if to a transferee or assignee of the Initial Holders or any transferee or assignee thereof, to such transferee or assignee at the address provided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the Partnership, each of the Initial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80"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b w:val="1"/>
          <w:bCs w:val="1"/>
          <w:u w:val="single" w:color="auto"/>
          <w:color w:val="auto"/>
        </w:rPr>
        <w:t>Assignment of Rights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neither this Agreement nor any of the rights, benefits or obligations hereunder may be assigned or transferred, by operation of law or otherwise, by any party hereto without the prior written consent of the other party.</w:t>
      </w:r>
    </w:p>
    <w:p>
      <w:pPr>
        <w:spacing w:after="0" w:line="116" w:lineRule="exact"/>
        <w:rPr>
          <w:sz w:val="20"/>
          <w:szCs w:val="20"/>
          <w:color w:val="auto"/>
        </w:rPr>
      </w:pPr>
    </w:p>
    <w:p>
      <w:pPr>
        <w:ind w:right="320" w:firstLine="648"/>
        <w:spacing w:after="0" w:line="28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b w:val="1"/>
          <w:bCs w:val="1"/>
          <w:u w:val="single" w:color="auto"/>
          <w:color w:val="auto"/>
        </w:rPr>
        <w:t>Recapitalization, Exchanges, Etc. Affecting Units</w:t>
      </w:r>
      <w:r>
        <w:rPr>
          <w:rFonts w:ascii="Arial" w:cs="Arial" w:eastAsia="Arial" w:hAnsi="Arial"/>
          <w:sz w:val="17"/>
          <w:szCs w:val="17"/>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b w:val="1"/>
          <w:bCs w:val="1"/>
          <w:u w:val="single" w:color="auto"/>
          <w:color w:val="auto"/>
        </w:rPr>
        <w:t>Aggregation of Registrable Securities</w:t>
      </w:r>
      <w:r>
        <w:rPr>
          <w:rFonts w:ascii="Arial" w:cs="Arial" w:eastAsia="Arial" w:hAnsi="Arial"/>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88"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6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w:t>
      </w:r>
    </w:p>
    <w:p>
      <w:pPr>
        <w:sectPr>
          <w:pgSz w:w="11900" w:h="16838" w:orient="portrait"/>
          <w:cols w:equalWidth="0" w:num="1">
            <w:col w:w="11420"/>
          </w:cols>
          <w:pgMar w:left="240" w:top="125" w:right="239" w:bottom="122"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2" w:gutter="0" w:footer="0" w:header="0"/>
          <w:type w:val="continuous"/>
        </w:sectPr>
      </w:pPr>
    </w:p>
    <w:bookmarkStart w:id="194" w:name="page195"/>
    <w:bookmarkEnd w:id="194"/>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COUNTERPART OF A COPY OF THIS AGREEMENT WITH ANY COURT AS WRITTEN EVIDENCE OF THE CONSENT OF THE PARTIES HERETO TO THE WAIVER OF THEIR RIGHT TO TRIAL BY JURY.</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herein with respect to the rights granted by the Partnership or any of its Affiliates. This Agreement and the other agreements and documents referred to herein or therein supersede all prior agreements and understandings between the parties with respect to such subject matter.</w:t>
      </w:r>
    </w:p>
    <w:p>
      <w:pPr>
        <w:spacing w:after="0" w:line="168"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no such amendment shall adversely affect the rights of any Holder hereunder without the consent of such Holder. Any amendment, supplement or modification of or to any provision of this Agreement, any waiver of any provision of this Agreement, and any consent to any departure by the Partnership or any Holder from the terms of any provision of this Agreement shall be effective only in the specific instance and for the specific purpose for which such amendment, supplement, modification, waiver or consent has been made or given.</w:t>
      </w:r>
    </w:p>
    <w:p>
      <w:pPr>
        <w:spacing w:after="0" w:line="174"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u w:val="single" w:color="auto"/>
          <w:color w:val="auto"/>
        </w:rPr>
        <w:t>No Presumption</w:t>
      </w:r>
      <w:r>
        <w:rPr>
          <w:rFonts w:ascii="Arial" w:cs="Arial" w:eastAsia="Arial" w:hAnsi="Arial"/>
          <w:sz w:val="18"/>
          <w:szCs w:val="18"/>
          <w:color w:val="auto"/>
        </w:rPr>
        <w:t>. This Agreement has been reviewed and negotiated by sophisticated parties with access to legal counsel and shall not be construed against the drafter.</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b w:val="1"/>
          <w:bCs w:val="1"/>
          <w:u w:val="single" w:color="auto"/>
          <w:color w:val="auto"/>
        </w:rPr>
        <w:t>Obligations Limited to Parties to Agreement</w:t>
      </w:r>
      <w:r>
        <w:rPr>
          <w:rFonts w:ascii="Arial" w:cs="Arial" w:eastAsia="Arial" w:hAnsi="Arial"/>
          <w:sz w:val="17"/>
          <w:szCs w:val="17"/>
          <w:color w:val="auto"/>
        </w:rPr>
        <w:t>. Each of the parties hereto covenants, agrees and acknowledges that, other than as set forth herein, no Person other than the Initial Holders,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Initial Holder or a Selling Holder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Initial Holder, such action shall be in such Initial Holder’s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execute this Agreement, effective as of the date first above written.</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2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4"/>
                <w:szCs w:val="24"/>
                <w:color w:val="auto"/>
              </w:rPr>
            </w:pPr>
          </w:p>
        </w:tc>
      </w:tr>
    </w:tbl>
    <w:p>
      <w:pPr>
        <w:sectPr>
          <w:pgSz w:w="11900" w:h="16900" w:orient="portrait"/>
          <w:cols w:equalWidth="0" w:num="1">
            <w:col w:w="11420"/>
          </w:cols>
          <w:pgMar w:left="240" w:top="341" w:right="239" w:bottom="0" w:gutter="0" w:footer="0" w:header="0"/>
        </w:sectPr>
      </w:pPr>
    </w:p>
    <w:bookmarkStart w:id="195" w:name="page196"/>
    <w:bookmarkEnd w:id="195"/>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02"/>
        </w:trPr>
        <w:tc>
          <w:tcPr>
            <w:tcW w:w="7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Al Swanson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7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INITIAL HOLDERS: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INITIAL INVESTOR HOLDERS: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EMG INVESTMENT, LLC</w:t>
      </w:r>
    </w:p>
    <w:p>
      <w:pPr>
        <w:sectPr>
          <w:pgSz w:w="11900" w:h="16838" w:orient="portrait"/>
          <w:cols w:equalWidth="0" w:num="1">
            <w:col w:w="10220"/>
          </w:cols>
          <w:pgMar w:left="1440" w:top="120" w:right="239" w:bottom="18" w:gutter="0" w:footer="0" w:header="0"/>
        </w:sect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EMG Admin LP, its manager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EMG Admin, LLC, its general partner</w:t>
      </w:r>
    </w:p>
    <w:p>
      <w:pPr>
        <w:spacing w:after="0" w:line="211" w:lineRule="exact"/>
        <w:rPr>
          <w:sz w:val="20"/>
          <w:szCs w:val="20"/>
          <w:color w:val="auto"/>
        </w:rPr>
      </w:pPr>
    </w:p>
    <w:p>
      <w:pPr>
        <w:sectPr>
          <w:pgSz w:w="11900" w:h="16838" w:orient="portrait"/>
          <w:cols w:equalWidth="0" w:num="2">
            <w:col w:w="4780" w:space="480"/>
            <w:col w:w="4960"/>
          </w:cols>
          <w:pgMar w:left="1440" w:top="120" w:right="239" w:bottom="18" w:gutter="0" w:footer="0" w:header="0"/>
          <w:type w:val="continuous"/>
        </w:sect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KAFU HOLDINGS, L.P.</w:t>
      </w:r>
    </w:p>
    <w:p>
      <w:pPr>
        <w:sectPr>
          <w:pgSz w:w="11900" w:h="16838" w:orient="portrait"/>
          <w:cols w:equalWidth="0" w:num="1">
            <w:col w:w="10220"/>
          </w:cols>
          <w:pgMar w:left="1440" w:top="120" w:right="239" w:bottom="18" w:gutter="0" w:footer="0" w:header="0"/>
          <w:type w:val="continuous"/>
        </w:sect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KAFU Holdings,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4780" w:space="480"/>
            <w:col w:w="4960"/>
          </w:cols>
          <w:pgMar w:left="1440" w:top="120" w:right="239" w:bottom="18" w:gutter="0" w:footer="0" w:header="0"/>
          <w:type w:val="continuous"/>
        </w:sect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KAFU HOLDINGS (QP),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KAFU HOLDINGS II,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KAFU Holdings, LLC,</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6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MLP INVESTMENT COMPANY</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color w:val="auto"/>
        </w:rPr>
        <w:t>KAYNE ANDERSON ENERGY DEVELOPMENT COMPANY</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120" w:right="239" w:bottom="18" w:gutter="0" w:footer="0" w:header="0"/>
          <w:type w:val="continuous"/>
        </w:sectPr>
      </w:pPr>
    </w:p>
    <w:bookmarkStart w:id="196" w:name="page197"/>
    <w:bookmarkEnd w:id="196"/>
    <w:p>
      <w:pPr>
        <w:ind w:left="4520"/>
        <w:spacing w:after="0"/>
        <w:rPr>
          <w:sz w:val="20"/>
          <w:szCs w:val="20"/>
          <w:color w:val="auto"/>
        </w:rPr>
      </w:pPr>
      <w:r>
        <w:rPr>
          <w:rFonts w:ascii="Arial" w:cs="Arial" w:eastAsia="Arial" w:hAnsi="Arial"/>
          <w:sz w:val="18"/>
          <w:szCs w:val="18"/>
          <w:b w:val="1"/>
          <w:bCs w:val="1"/>
          <w:color w:val="auto"/>
        </w:rPr>
        <w:t>KAYNE ANDERSON MIDSTREAM/ ENERGY FUND,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PAA Management LLC,</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6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STROME PAA, L.P.</w:t>
      </w:r>
    </w:p>
    <w:p>
      <w:pPr>
        <w:spacing w:after="0" w:line="225" w:lineRule="exact"/>
        <w:rPr>
          <w:sz w:val="20"/>
          <w:szCs w:val="20"/>
          <w:color w:val="auto"/>
        </w:rPr>
      </w:pPr>
    </w:p>
    <w:p>
      <w:pPr>
        <w:jc w:val="both"/>
        <w:ind w:left="4520"/>
        <w:spacing w:after="0"/>
        <w:tabs>
          <w:tab w:leader="none" w:pos="5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Strome Investment Management, LP, its general partner</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E. STROME LIVING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WINDY,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LYNX HOLDINGS I,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20"/>
          </w:cols>
          <w:pgMar w:left="1440" w:top="121" w:right="239" w:bottom="198" w:gutter="0" w:footer="0" w:header="0"/>
        </w:sectPr>
      </w:pPr>
    </w:p>
    <w:bookmarkStart w:id="197" w:name="page198"/>
    <w:bookmarkEnd w:id="197"/>
    <w:p>
      <w:pPr>
        <w:ind w:left="4520"/>
        <w:spacing w:after="0"/>
        <w:rPr>
          <w:sz w:val="20"/>
          <w:szCs w:val="20"/>
          <w:color w:val="auto"/>
        </w:rPr>
      </w:pPr>
      <w:r>
        <w:rPr>
          <w:rFonts w:ascii="Arial" w:cs="Arial" w:eastAsia="Arial" w:hAnsi="Arial"/>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-130810</wp:posOffset>
            </wp:positionV>
            <wp:extent cx="316420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1399"/>
        <w:spacing w:after="0"/>
        <w:rPr>
          <w:sz w:val="20"/>
          <w:szCs w:val="20"/>
          <w:color w:val="auto"/>
        </w:rPr>
      </w:pPr>
      <w:r>
        <w:rPr>
          <w:rFonts w:ascii="Arial" w:cs="Arial" w:eastAsia="Arial" w:hAnsi="Arial"/>
          <w:sz w:val="18"/>
          <w:szCs w:val="18"/>
          <w:b w:val="1"/>
          <w:bCs w:val="1"/>
          <w:color w:val="auto"/>
        </w:rPr>
        <w:t>INITIAL MANAGEMENT HOLDERS:</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JIM FRYFOGLE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ectPr>
          <w:pgSz w:w="11900" w:h="16838" w:orient="portrait"/>
          <w:cols w:equalWidth="0" w:num="1">
            <w:col w:w="9019"/>
          </w:cols>
          <w:pgMar w:left="1440" w:top="121" w:right="1440" w:bottom="0" w:gutter="0" w:footer="0" w:header="0"/>
        </w:sectPr>
      </w:pPr>
    </w:p>
    <w:bookmarkStart w:id="198" w:name="page199"/>
    <w:bookmarkEnd w:id="19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908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9080" w:type="dxa"/>
            <w:vAlign w:val="bottom"/>
          </w:tcPr>
          <w:p>
            <w:pPr>
              <w:ind w:left="220"/>
              <w:spacing w:after="0"/>
              <w:rPr>
                <w:sz w:val="20"/>
                <w:szCs w:val="20"/>
                <w:color w:val="auto"/>
              </w:rPr>
            </w:pPr>
            <w:r>
              <w:rPr>
                <w:rFonts w:ascii="Arial" w:cs="Arial" w:eastAsia="Arial" w:hAnsi="Arial"/>
                <w:sz w:val="18"/>
                <w:szCs w:val="18"/>
                <w:color w:val="auto"/>
              </w:rPr>
              <w:t>Construction</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2</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5"/>
              </w:rPr>
              <w:t>EXPENSE REIMBURSEMENT</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2.1</w:t>
            </w:r>
          </w:p>
        </w:tc>
        <w:tc>
          <w:tcPr>
            <w:tcW w:w="9080" w:type="dxa"/>
            <w:vAlign w:val="bottom"/>
          </w:tcPr>
          <w:p>
            <w:pPr>
              <w:ind w:left="220"/>
              <w:spacing w:after="0"/>
              <w:rPr>
                <w:sz w:val="20"/>
                <w:szCs w:val="20"/>
                <w:color w:val="auto"/>
              </w:rPr>
            </w:pPr>
            <w:r>
              <w:rPr>
                <w:rFonts w:ascii="Arial" w:cs="Arial" w:eastAsia="Arial" w:hAnsi="Arial"/>
                <w:sz w:val="18"/>
                <w:szCs w:val="18"/>
                <w:color w:val="auto"/>
              </w:rPr>
              <w:t>Reimbursement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2.2</w:t>
            </w:r>
          </w:p>
        </w:tc>
        <w:tc>
          <w:tcPr>
            <w:tcW w:w="9080" w:type="dxa"/>
            <w:vAlign w:val="bottom"/>
          </w:tcPr>
          <w:p>
            <w:pPr>
              <w:ind w:left="220"/>
              <w:spacing w:after="0"/>
              <w:rPr>
                <w:sz w:val="20"/>
                <w:szCs w:val="20"/>
                <w:color w:val="auto"/>
              </w:rPr>
            </w:pPr>
            <w:r>
              <w:rPr>
                <w:rFonts w:ascii="Arial" w:cs="Arial" w:eastAsia="Arial" w:hAnsi="Arial"/>
                <w:sz w:val="18"/>
                <w:szCs w:val="18"/>
                <w:color w:val="auto"/>
              </w:rPr>
              <w:t>Invoices and Payment</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2.3</w:t>
            </w:r>
          </w:p>
        </w:tc>
        <w:tc>
          <w:tcPr>
            <w:tcW w:w="9080" w:type="dxa"/>
            <w:vAlign w:val="bottom"/>
          </w:tcPr>
          <w:p>
            <w:pPr>
              <w:ind w:left="220"/>
              <w:spacing w:after="0"/>
              <w:rPr>
                <w:sz w:val="20"/>
                <w:szCs w:val="20"/>
                <w:color w:val="auto"/>
              </w:rPr>
            </w:pPr>
            <w:r>
              <w:rPr>
                <w:rFonts w:ascii="Arial" w:cs="Arial" w:eastAsia="Arial" w:hAnsi="Arial"/>
                <w:sz w:val="18"/>
                <w:szCs w:val="18"/>
                <w:color w:val="auto"/>
              </w:rPr>
              <w:t>Dispute Regarding Calculation of Costs</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3</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5"/>
              </w:rPr>
              <w:t>AGREEMENTS RELATED TO GOVERNANCE</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9080" w:type="dxa"/>
            <w:vAlign w:val="bottom"/>
          </w:tcPr>
          <w:p>
            <w:pPr>
              <w:ind w:left="220"/>
              <w:spacing w:after="0"/>
              <w:rPr>
                <w:sz w:val="20"/>
                <w:szCs w:val="20"/>
                <w:color w:val="auto"/>
              </w:rPr>
            </w:pPr>
            <w:r>
              <w:rPr>
                <w:rFonts w:ascii="Arial" w:cs="Arial" w:eastAsia="Arial" w:hAnsi="Arial"/>
                <w:sz w:val="18"/>
                <w:szCs w:val="18"/>
                <w:color w:val="auto"/>
              </w:rPr>
              <w:t>Issuance of PAGP Class C Shares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90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4</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7"/>
              </w:rPr>
              <w:t>AGREEMENTS RELATED TO ECONOMIC ALIGNMENT</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9080" w:type="dxa"/>
            <w:vAlign w:val="bottom"/>
          </w:tcPr>
          <w:p>
            <w:pPr>
              <w:ind w:left="220"/>
              <w:spacing w:after="0"/>
              <w:rPr>
                <w:sz w:val="20"/>
                <w:szCs w:val="20"/>
                <w:color w:val="auto"/>
              </w:rPr>
            </w:pPr>
            <w:r>
              <w:rPr>
                <w:rFonts w:ascii="Arial" w:cs="Arial" w:eastAsia="Arial" w:hAnsi="Arial"/>
                <w:sz w:val="18"/>
                <w:szCs w:val="18"/>
                <w:color w:val="auto"/>
              </w:rPr>
              <w:t>Intention of the Parties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with Respect to Future Equity Issuances</w:t>
            </w: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with Respect to Future Debt Financing</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with Respect to Future Transfers of PAA Common Units by PAGP</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Related to Restrictions on AAP Redemptions</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5</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8"/>
              </w:rPr>
              <w:t>TERMINATION</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9080" w:type="dxa"/>
            <w:vAlign w:val="bottom"/>
          </w:tcPr>
          <w:p>
            <w:pPr>
              <w:ind w:left="220"/>
              <w:spacing w:after="0"/>
              <w:rPr>
                <w:sz w:val="20"/>
                <w:szCs w:val="20"/>
                <w:color w:val="auto"/>
              </w:rPr>
            </w:pPr>
            <w:r>
              <w:rPr>
                <w:rFonts w:ascii="Arial" w:cs="Arial" w:eastAsia="Arial" w:hAnsi="Arial"/>
                <w:sz w:val="18"/>
                <w:szCs w:val="18"/>
                <w:color w:val="auto"/>
              </w:rPr>
              <w:t>Mutual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5.2</w:t>
            </w:r>
          </w:p>
        </w:tc>
        <w:tc>
          <w:tcPr>
            <w:tcW w:w="9080" w:type="dxa"/>
            <w:vAlign w:val="bottom"/>
          </w:tcPr>
          <w:p>
            <w:pPr>
              <w:ind w:left="220"/>
              <w:spacing w:after="0"/>
              <w:rPr>
                <w:sz w:val="20"/>
                <w:szCs w:val="20"/>
                <w:color w:val="auto"/>
              </w:rPr>
            </w:pPr>
            <w:r>
              <w:rPr>
                <w:rFonts w:ascii="Arial" w:cs="Arial" w:eastAsia="Arial" w:hAnsi="Arial"/>
                <w:sz w:val="18"/>
                <w:szCs w:val="18"/>
                <w:color w:val="auto"/>
              </w:rPr>
              <w:t>Renegotiation Upon Trigger Event</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5.3</w:t>
            </w:r>
          </w:p>
        </w:tc>
        <w:tc>
          <w:tcPr>
            <w:tcW w:w="908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6</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7"/>
              </w:rPr>
              <w:t>MISCELLANEOUS</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6.1</w:t>
            </w:r>
          </w:p>
        </w:tc>
        <w:tc>
          <w:tcPr>
            <w:tcW w:w="9080" w:type="dxa"/>
            <w:vAlign w:val="bottom"/>
          </w:tcPr>
          <w:p>
            <w:pPr>
              <w:ind w:left="220"/>
              <w:spacing w:after="0"/>
              <w:rPr>
                <w:sz w:val="20"/>
                <w:szCs w:val="20"/>
                <w:color w:val="auto"/>
              </w:rPr>
            </w:pPr>
            <w:r>
              <w:rPr>
                <w:rFonts w:ascii="Arial" w:cs="Arial" w:eastAsia="Arial" w:hAnsi="Arial"/>
                <w:sz w:val="18"/>
                <w:szCs w:val="18"/>
                <w:color w:val="auto"/>
              </w:rPr>
              <w:t>Choice of Law; Submission to Jurisdiction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6.2</w:t>
            </w:r>
          </w:p>
        </w:tc>
        <w:tc>
          <w:tcPr>
            <w:tcW w:w="90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6.3</w:t>
            </w:r>
          </w:p>
        </w:tc>
        <w:tc>
          <w:tcPr>
            <w:tcW w:w="9080" w:type="dxa"/>
            <w:vAlign w:val="bottom"/>
          </w:tcPr>
          <w:p>
            <w:pPr>
              <w:ind w:left="220"/>
              <w:spacing w:after="0"/>
              <w:rPr>
                <w:sz w:val="20"/>
                <w:szCs w:val="20"/>
                <w:color w:val="auto"/>
              </w:rPr>
            </w:pPr>
            <w:r>
              <w:rPr>
                <w:rFonts w:ascii="Arial" w:cs="Arial" w:eastAsia="Arial" w:hAnsi="Arial"/>
                <w:sz w:val="18"/>
                <w:szCs w:val="18"/>
                <w:color w:val="auto"/>
              </w:rPr>
              <w:t>Entire Agreement; Supersedure</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6.4</w:t>
            </w:r>
          </w:p>
        </w:tc>
        <w:tc>
          <w:tcPr>
            <w:tcW w:w="9080" w:type="dxa"/>
            <w:vAlign w:val="bottom"/>
          </w:tcPr>
          <w:p>
            <w:pPr>
              <w:ind w:left="220"/>
              <w:spacing w:after="0"/>
              <w:rPr>
                <w:sz w:val="20"/>
                <w:szCs w:val="20"/>
                <w:color w:val="auto"/>
              </w:rPr>
            </w:pPr>
            <w:r>
              <w:rPr>
                <w:rFonts w:ascii="Arial" w:cs="Arial" w:eastAsia="Arial" w:hAnsi="Arial"/>
                <w:sz w:val="18"/>
                <w:szCs w:val="18"/>
                <w:color w:val="auto"/>
              </w:rPr>
              <w:t>Effect of Waiver of Consent</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6.5</w:t>
            </w:r>
          </w:p>
        </w:tc>
        <w:tc>
          <w:tcPr>
            <w:tcW w:w="9080" w:type="dxa"/>
            <w:vAlign w:val="bottom"/>
          </w:tcPr>
          <w:p>
            <w:pPr>
              <w:ind w:left="220"/>
              <w:spacing w:after="0"/>
              <w:rPr>
                <w:sz w:val="20"/>
                <w:szCs w:val="20"/>
                <w:color w:val="auto"/>
              </w:rPr>
            </w:pPr>
            <w:r>
              <w:rPr>
                <w:rFonts w:ascii="Arial" w:cs="Arial" w:eastAsia="Arial" w:hAnsi="Arial"/>
                <w:sz w:val="18"/>
                <w:szCs w:val="18"/>
                <w:color w:val="auto"/>
              </w:rPr>
              <w:t>Amendment or Modification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6.6</w:t>
            </w:r>
          </w:p>
        </w:tc>
        <w:tc>
          <w:tcPr>
            <w:tcW w:w="908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6.7</w:t>
            </w:r>
          </w:p>
        </w:tc>
        <w:tc>
          <w:tcPr>
            <w:tcW w:w="908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6.8</w:t>
            </w:r>
          </w:p>
        </w:tc>
        <w:tc>
          <w:tcPr>
            <w:tcW w:w="90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6.9</w:t>
            </w:r>
          </w:p>
        </w:tc>
        <w:tc>
          <w:tcPr>
            <w:tcW w:w="90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6.10</w:t>
            </w:r>
          </w:p>
        </w:tc>
        <w:tc>
          <w:tcPr>
            <w:tcW w:w="9080" w:type="dxa"/>
            <w:vAlign w:val="bottom"/>
          </w:tcPr>
          <w:p>
            <w:pPr>
              <w:ind w:left="220"/>
              <w:spacing w:after="0"/>
              <w:rPr>
                <w:sz w:val="20"/>
                <w:szCs w:val="20"/>
                <w:color w:val="auto"/>
              </w:rPr>
            </w:pPr>
            <w:r>
              <w:rPr>
                <w:rFonts w:ascii="Arial" w:cs="Arial" w:eastAsia="Arial" w:hAnsi="Arial"/>
                <w:sz w:val="18"/>
                <w:szCs w:val="18"/>
                <w:color w:val="auto"/>
              </w:rPr>
              <w:t>Withholding or Granting of Consent</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6.11</w:t>
            </w:r>
          </w:p>
        </w:tc>
        <w:tc>
          <w:tcPr>
            <w:tcW w:w="9080" w:type="dxa"/>
            <w:vAlign w:val="bottom"/>
          </w:tcPr>
          <w:p>
            <w:pPr>
              <w:ind w:left="220"/>
              <w:spacing w:after="0"/>
              <w:rPr>
                <w:sz w:val="20"/>
                <w:szCs w:val="20"/>
                <w:color w:val="auto"/>
              </w:rPr>
            </w:pPr>
            <w:r>
              <w:rPr>
                <w:rFonts w:ascii="Arial" w:cs="Arial" w:eastAsia="Arial" w:hAnsi="Arial"/>
                <w:sz w:val="18"/>
                <w:szCs w:val="18"/>
                <w:color w:val="auto"/>
              </w:rPr>
              <w:t>U.S. Currency</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560" w:type="dxa"/>
            <w:vAlign w:val="bottom"/>
          </w:tcPr>
          <w:p>
            <w:pPr>
              <w:spacing w:after="0"/>
              <w:rPr>
                <w:sz w:val="24"/>
                <w:szCs w:val="24"/>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rPr>
              <w:t>i</w:t>
            </w:r>
          </w:p>
        </w:tc>
        <w:tc>
          <w:tcPr>
            <w:tcW w:w="182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90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r>
      <w:tr>
        <w:trPr>
          <w:trHeight w:val="766"/>
        </w:trPr>
        <w:tc>
          <w:tcPr>
            <w:tcW w:w="560" w:type="dxa"/>
            <w:vAlign w:val="bottom"/>
          </w:tcPr>
          <w:p>
            <w:pPr>
              <w:spacing w:after="0"/>
              <w:rPr>
                <w:sz w:val="20"/>
                <w:szCs w:val="20"/>
                <w:color w:val="auto"/>
              </w:rPr>
            </w:pPr>
            <w:r>
              <w:rPr>
                <w:rFonts w:ascii="Arial" w:cs="Arial" w:eastAsia="Arial" w:hAnsi="Arial"/>
                <w:sz w:val="18"/>
                <w:szCs w:val="18"/>
                <w:color w:val="auto"/>
              </w:rPr>
              <w:t>6.12</w:t>
            </w:r>
          </w:p>
        </w:tc>
        <w:tc>
          <w:tcPr>
            <w:tcW w:w="9080" w:type="dxa"/>
            <w:vAlign w:val="bottom"/>
          </w:tcPr>
          <w:p>
            <w:pPr>
              <w:ind w:left="220"/>
              <w:spacing w:after="0"/>
              <w:rPr>
                <w:sz w:val="20"/>
                <w:szCs w:val="20"/>
                <w:color w:val="auto"/>
              </w:rPr>
            </w:pPr>
            <w:r>
              <w:rPr>
                <w:rFonts w:ascii="Arial" w:cs="Arial" w:eastAsia="Arial" w:hAnsi="Arial"/>
                <w:sz w:val="18"/>
                <w:szCs w:val="18"/>
                <w:color w:val="auto"/>
              </w:rPr>
              <w:t>Laws and Regulations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6.13</w:t>
            </w:r>
          </w:p>
        </w:tc>
        <w:tc>
          <w:tcPr>
            <w:tcW w:w="9080" w:type="dxa"/>
            <w:vAlign w:val="bottom"/>
          </w:tcPr>
          <w:p>
            <w:pPr>
              <w:ind w:left="220"/>
              <w:spacing w:after="0"/>
              <w:rPr>
                <w:sz w:val="20"/>
                <w:szCs w:val="20"/>
                <w:color w:val="auto"/>
              </w:rPr>
            </w:pPr>
            <w:r>
              <w:rPr>
                <w:rFonts w:ascii="Arial" w:cs="Arial" w:eastAsia="Arial" w:hAnsi="Arial"/>
                <w:sz w:val="18"/>
                <w:szCs w:val="18"/>
                <w:color w:val="auto"/>
              </w:rPr>
              <w:t>Negation of Rights of Third Parties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6.14</w:t>
            </w:r>
          </w:p>
        </w:tc>
        <w:tc>
          <w:tcPr>
            <w:tcW w:w="9080" w:type="dxa"/>
            <w:vAlign w:val="bottom"/>
          </w:tcPr>
          <w:p>
            <w:pPr>
              <w:ind w:left="220"/>
              <w:spacing w:after="0"/>
              <w:rPr>
                <w:sz w:val="20"/>
                <w:szCs w:val="20"/>
                <w:color w:val="auto"/>
              </w:rPr>
            </w:pPr>
            <w:r>
              <w:rPr>
                <w:rFonts w:ascii="Arial" w:cs="Arial" w:eastAsia="Arial" w:hAnsi="Arial"/>
                <w:sz w:val="18"/>
                <w:szCs w:val="18"/>
                <w:color w:val="auto"/>
              </w:rPr>
              <w:t>Successors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6.15</w:t>
            </w:r>
          </w:p>
        </w:tc>
        <w:tc>
          <w:tcPr>
            <w:tcW w:w="9080" w:type="dxa"/>
            <w:vAlign w:val="bottom"/>
          </w:tcPr>
          <w:p>
            <w:pPr>
              <w:ind w:left="220"/>
              <w:spacing w:after="0"/>
              <w:rPr>
                <w:sz w:val="20"/>
                <w:szCs w:val="20"/>
                <w:color w:val="auto"/>
              </w:rPr>
            </w:pPr>
            <w:r>
              <w:rPr>
                <w:rFonts w:ascii="Arial" w:cs="Arial" w:eastAsia="Arial" w:hAnsi="Arial"/>
                <w:sz w:val="18"/>
                <w:szCs w:val="18"/>
                <w:color w:val="auto"/>
              </w:rPr>
              <w:t>No Recourse Against Officers or Directors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6.16</w:t>
            </w:r>
          </w:p>
        </w:tc>
        <w:tc>
          <w:tcPr>
            <w:tcW w:w="9080" w:type="dxa"/>
            <w:vAlign w:val="bottom"/>
          </w:tcPr>
          <w:p>
            <w:pPr>
              <w:ind w:left="220"/>
              <w:spacing w:after="0"/>
              <w:rPr>
                <w:sz w:val="20"/>
                <w:szCs w:val="20"/>
                <w:color w:val="auto"/>
              </w:rPr>
            </w:pPr>
            <w:r>
              <w:rPr>
                <w:rFonts w:ascii="Arial" w:cs="Arial" w:eastAsia="Arial" w:hAnsi="Arial"/>
                <w:sz w:val="18"/>
                <w:szCs w:val="18"/>
                <w:color w:val="auto"/>
              </w:rPr>
              <w:t>Legal Compliance</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Defined Terms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OMNIBUS AGREEMENT</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This OMNIBUS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entered into this [ ] day of [ ], 2016 (the “</w:t>
      </w:r>
      <w:r>
        <w:rPr>
          <w:rFonts w:ascii="Arial" w:cs="Arial" w:eastAsia="Arial" w:hAnsi="Arial"/>
          <w:sz w:val="18"/>
          <w:szCs w:val="18"/>
          <w:i w:val="1"/>
          <w:iCs w:val="1"/>
          <w:color w:val="auto"/>
        </w:rPr>
        <w:t>Effective Date</w:t>
      </w:r>
      <w:r>
        <w:rPr>
          <w:rFonts w:ascii="Arial" w:cs="Arial" w:eastAsia="Arial" w:hAnsi="Arial"/>
          <w:sz w:val="18"/>
          <w:szCs w:val="18"/>
          <w:color w:val="auto"/>
        </w:rPr>
        <w:t>”), by and among Plains GP Holdings, L.P., a Delaware limited partnership (“</w:t>
      </w:r>
      <w:r>
        <w:rPr>
          <w:rFonts w:ascii="Arial" w:cs="Arial" w:eastAsia="Arial" w:hAnsi="Arial"/>
          <w:sz w:val="18"/>
          <w:szCs w:val="18"/>
          <w:i w:val="1"/>
          <w:iCs w:val="1"/>
          <w:color w:val="auto"/>
        </w:rPr>
        <w:t>PAGP</w:t>
      </w:r>
      <w:r>
        <w:rPr>
          <w:rFonts w:ascii="Arial" w:cs="Arial" w:eastAsia="Arial" w:hAnsi="Arial"/>
          <w:sz w:val="18"/>
          <w:szCs w:val="18"/>
          <w:color w:val="auto"/>
        </w:rPr>
        <w:t>”), PAA GP Holdings LLC, a Delaware limited liability company (“</w:t>
      </w:r>
      <w:r>
        <w:rPr>
          <w:rFonts w:ascii="Arial" w:cs="Arial" w:eastAsia="Arial" w:hAnsi="Arial"/>
          <w:sz w:val="18"/>
          <w:szCs w:val="18"/>
          <w:i w:val="1"/>
          <w:iCs w:val="1"/>
          <w:color w:val="auto"/>
        </w:rPr>
        <w:t>PAGP GP</w:t>
      </w:r>
      <w:r>
        <w:rPr>
          <w:rFonts w:ascii="Arial" w:cs="Arial" w:eastAsia="Arial" w:hAnsi="Arial"/>
          <w:sz w:val="18"/>
          <w:szCs w:val="18"/>
          <w:color w:val="auto"/>
        </w:rPr>
        <w:t>”), Plains All American Pipeline, L.P., a Delaware limited partnership (“</w:t>
      </w:r>
      <w:r>
        <w:rPr>
          <w:rFonts w:ascii="Arial" w:cs="Arial" w:eastAsia="Arial" w:hAnsi="Arial"/>
          <w:sz w:val="18"/>
          <w:szCs w:val="18"/>
          <w:i w:val="1"/>
          <w:iCs w:val="1"/>
          <w:color w:val="auto"/>
        </w:rPr>
        <w:t>PAA</w:t>
      </w:r>
      <w:r>
        <w:rPr>
          <w:rFonts w:ascii="Arial" w:cs="Arial" w:eastAsia="Arial" w:hAnsi="Arial"/>
          <w:sz w:val="18"/>
          <w:szCs w:val="18"/>
          <w:color w:val="auto"/>
        </w:rPr>
        <w:t>”), PAA GP LLC, a Delaware limited liability company (“</w:t>
      </w:r>
      <w:r>
        <w:rPr>
          <w:rFonts w:ascii="Arial" w:cs="Arial" w:eastAsia="Arial" w:hAnsi="Arial"/>
          <w:sz w:val="18"/>
          <w:szCs w:val="18"/>
          <w:i w:val="1"/>
          <w:iCs w:val="1"/>
          <w:color w:val="auto"/>
        </w:rPr>
        <w:t>PAA GP</w:t>
      </w:r>
      <w:r>
        <w:rPr>
          <w:rFonts w:ascii="Arial" w:cs="Arial" w:eastAsia="Arial" w:hAnsi="Arial"/>
          <w:sz w:val="18"/>
          <w:szCs w:val="18"/>
          <w:color w:val="auto"/>
        </w:rPr>
        <w:t>”), Plains AAP, L.P., a Delaware limited partnership (“</w:t>
      </w:r>
      <w:r>
        <w:rPr>
          <w:rFonts w:ascii="Arial" w:cs="Arial" w:eastAsia="Arial" w:hAnsi="Arial"/>
          <w:sz w:val="18"/>
          <w:szCs w:val="18"/>
          <w:i w:val="1"/>
          <w:iCs w:val="1"/>
          <w:color w:val="auto"/>
        </w:rPr>
        <w:t>AAP</w:t>
      </w:r>
      <w:r>
        <w:rPr>
          <w:rFonts w:ascii="Arial" w:cs="Arial" w:eastAsia="Arial" w:hAnsi="Arial"/>
          <w:sz w:val="18"/>
          <w:szCs w:val="18"/>
          <w:color w:val="auto"/>
        </w:rPr>
        <w:t xml:space="preserve">,” together with PAGP, PAGP GP and their direct and indirect subsidiaries (other than members of the GP LLC Group), the </w:t>
      </w:r>
      <w:r>
        <w:rPr>
          <w:rFonts w:ascii="Arial" w:cs="Arial" w:eastAsia="Arial" w:hAnsi="Arial"/>
          <w:sz w:val="18"/>
          <w:szCs w:val="18"/>
          <w:i w:val="1"/>
          <w:iCs w:val="1"/>
          <w:color w:val="auto"/>
        </w:rPr>
        <w:t>“PAGP</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 and Plains All American GP LLC, a Delaware limited liability company (“</w:t>
      </w:r>
      <w:r>
        <w:rPr>
          <w:rFonts w:ascii="Arial" w:cs="Arial" w:eastAsia="Arial" w:hAnsi="Arial"/>
          <w:sz w:val="18"/>
          <w:szCs w:val="18"/>
          <w:i w:val="1"/>
          <w:iCs w:val="1"/>
          <w:color w:val="auto"/>
        </w:rPr>
        <w:t>GP LLC</w:t>
      </w:r>
      <w:r>
        <w:rPr>
          <w:rFonts w:ascii="Arial" w:cs="Arial" w:eastAsia="Arial" w:hAnsi="Arial"/>
          <w:sz w:val="18"/>
          <w:szCs w:val="18"/>
          <w:color w:val="auto"/>
        </w:rPr>
        <w:t>,” together with PAA GP, PAA and their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(other than AAP), the </w:t>
      </w:r>
      <w:r>
        <w:rPr>
          <w:rFonts w:ascii="Arial" w:cs="Arial" w:eastAsia="Arial" w:hAnsi="Arial"/>
          <w:sz w:val="18"/>
          <w:szCs w:val="18"/>
          <w:i w:val="1"/>
          <w:iCs w:val="1"/>
          <w:color w:val="auto"/>
        </w:rPr>
        <w:t>“GP LLC Group”</w:t>
      </w:r>
      <w:r>
        <w:rPr>
          <w:rFonts w:ascii="Arial" w:cs="Arial" w:eastAsia="Arial" w:hAnsi="Arial"/>
          <w:sz w:val="18"/>
          <w:szCs w:val="18"/>
          <w:color w:val="auto"/>
        </w:rPr>
        <w:t>). The above-named entities are sometimes referred to in this Agreement each as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i w:val="1"/>
          <w:iCs w:val="1"/>
          <w:color w:val="auto"/>
        </w:rPr>
        <w:t>Parties</w:t>
      </w:r>
      <w:r>
        <w:rPr>
          <w:rFonts w:ascii="Arial" w:cs="Arial" w:eastAsia="Arial" w:hAnsi="Arial"/>
          <w:sz w:val="18"/>
          <w:szCs w:val="18"/>
          <w:color w:val="auto"/>
        </w:rPr>
        <w:t xml:space="preserve">.” Capitalized terms not otherwise defined below have the meanings ascribed to such terms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 E C I T A L S</w:t>
      </w:r>
    </w:p>
    <w:p>
      <w:pPr>
        <w:sectPr>
          <w:pgSz w:w="11900" w:h="16870" w:orient="portrait"/>
          <w:cols w:equalWidth="0" w:num="1">
            <w:col w:w="11460"/>
          </w:cols>
          <w:pgMar w:left="240" w:top="341" w:right="199" w:bottom="0" w:gutter="0" w:footer="0" w:header="0"/>
        </w:sectPr>
      </w:pPr>
    </w:p>
    <w:bookmarkStart w:id="199" w:name="page200"/>
    <w:bookmarkEnd w:id="199"/>
    <w:p>
      <w:pPr>
        <w:ind w:right="20" w:firstLine="648"/>
        <w:spacing w:after="0" w:line="302" w:lineRule="auto"/>
        <w:rPr>
          <w:sz w:val="20"/>
          <w:szCs w:val="20"/>
          <w:color w:val="auto"/>
        </w:rPr>
      </w:pPr>
      <w:r>
        <w:rPr>
          <w:rFonts w:ascii="Arial" w:cs="Arial" w:eastAsia="Arial" w:hAnsi="Arial"/>
          <w:sz w:val="16"/>
          <w:szCs w:val="16"/>
          <w:color w:val="auto"/>
        </w:rPr>
        <w:t>The Parties hereto desire, by their execution of this Agreement, to evidence the terms and conditions pursuant to which PAA will agree to reimburse certain expenses incurred by the other Parties hereto, the Parties shall cooperate with respect to certain actions with the goal of maintaining economic alignment between PAA, AAP and PAGP and the Parties shall cooperate with respect to certain actions with the goal of providing holders of PAA Common Units the right to vote, on a pro rata basis with holders of PAGP Class A Shares and PAGP Class B Shares, on the election of directors of PAGP GP.</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 R E E M E N T S</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NOW, THEREFORE, in consideration of the premises and the covenants, conditions, and agreements contained herein, and for other good and valuable consideration, the receipt and sufficiency of which are hereby acknowledged, the Parties hereto hereby agree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definitions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for all purposes, unless otherwise clearly indicated to the contrary, applied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used in this Agreement.</w:t>
      </w:r>
    </w:p>
    <w:p>
      <w:pPr>
        <w:spacing w:after="0" w:line="162"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b w:val="1"/>
          <w:bCs w:val="1"/>
          <w:color w:val="auto"/>
        </w:rPr>
        <w:t>1.2 Construction</w:t>
      </w:r>
      <w:r>
        <w:rPr>
          <w:rFonts w:ascii="Arial" w:cs="Arial" w:eastAsia="Arial" w:hAnsi="Arial"/>
          <w:sz w:val="18"/>
          <w:szCs w:val="18"/>
          <w:color w:val="auto"/>
        </w:rPr>
        <w:t>. Unless the context requires otherwise: (a) any pronoun used in this Agreement shall include the corresponding masculine,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 REIMBURSEMENT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Reimbursement Obligations</w:t>
      </w:r>
      <w:r>
        <w:rPr>
          <w:rFonts w:ascii="Arial" w:cs="Arial" w:eastAsia="Arial" w:hAnsi="Arial"/>
          <w:sz w:val="16"/>
          <w:szCs w:val="16"/>
          <w:color w:val="auto"/>
        </w:rPr>
        <w:t>.</w:t>
      </w:r>
    </w:p>
    <w:p>
      <w:pPr>
        <w:spacing w:after="0" w:line="229" w:lineRule="exact"/>
        <w:rPr>
          <w:sz w:val="20"/>
          <w:szCs w:val="20"/>
          <w:color w:val="auto"/>
        </w:rPr>
      </w:pPr>
    </w:p>
    <w:p>
      <w:pPr>
        <w:ind w:right="40" w:firstLine="1305"/>
        <w:spacing w:after="0" w:line="284" w:lineRule="auto"/>
        <w:tabs>
          <w:tab w:leader="none" w:pos="1942" w:val="left"/>
        </w:tabs>
        <w:numPr>
          <w:ilvl w:val="1"/>
          <w:numId w:val="476"/>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for Expenses. </w:t>
      </w:r>
      <w:r>
        <w:rPr>
          <w:rFonts w:ascii="Arial" w:cs="Arial" w:eastAsia="Arial" w:hAnsi="Arial"/>
          <w:sz w:val="16"/>
          <w:szCs w:val="16"/>
          <w:color w:val="auto"/>
        </w:rPr>
        <w:t>Subject to Section 4.3, it is contemplated that all direct and indirect expenses of the Parties hereto,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income taxes payable by PAGP or its subsidiaries (other than PAA and its subsidiaries), incurred from and after the date hereof will be paid by PAA, including, without limitation, obligations to withhold taxes. Except for income taxes of PAGP and its subsidiaries (other than PAA and its subsidiaries), which will be paid solely and exclusively by PAGP or such applicable subsidiary from the funds of PAGP or such subsidiary, subject to the first sentence of this Section 2.1(a), to the extent any Party hereto other than PAA incurs or pays any direct or indirect expenses or expenditures on behalf of any such Party, PAA hereby agrees to reimburse such Party for such expenses and expenditures. Without limiting the foregoing, PAA hereby agrees to reimburse the other Parties hereto for any expenses and expenditures incurred or paid as a result of PAGP being a publicly traded entity, including expenses associated with</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compensation for directors of PAGP GP, (ii) director and officer liability insurance, (iii) listing on the New York Stock Exchange, (iv) investor relations,</w:t>
      </w:r>
    </w:p>
    <w:p>
      <w:pPr>
        <w:spacing w:after="0" w:line="20" w:lineRule="exact"/>
        <w:rPr>
          <w:rFonts w:ascii="Arial" w:cs="Arial" w:eastAsia="Arial" w:hAnsi="Arial"/>
          <w:sz w:val="17"/>
          <w:szCs w:val="17"/>
          <w:color w:val="auto"/>
        </w:rPr>
      </w:pPr>
    </w:p>
    <w:p>
      <w:pPr>
        <w:ind w:right="20" w:firstLine="8"/>
        <w:spacing w:after="0" w:line="255" w:lineRule="auto"/>
        <w:tabs>
          <w:tab w:leader="none" w:pos="255" w:val="left"/>
        </w:tabs>
        <w:numPr>
          <w:ilvl w:val="0"/>
          <w:numId w:val="478"/>
        </w:numPr>
        <w:rPr>
          <w:rFonts w:ascii="Arial" w:cs="Arial" w:eastAsia="Arial" w:hAnsi="Arial"/>
          <w:sz w:val="18"/>
          <w:szCs w:val="18"/>
          <w:color w:val="auto"/>
        </w:rPr>
      </w:pPr>
      <w:r>
        <w:rPr>
          <w:rFonts w:ascii="Arial" w:cs="Arial" w:eastAsia="Arial" w:hAnsi="Arial"/>
          <w:sz w:val="18"/>
          <w:szCs w:val="18"/>
          <w:color w:val="auto"/>
        </w:rPr>
        <w:t>legal, (vi) tax, (vii) financial advisor services and (viii) accounting. The aggregate amount payable by PAA to the other Parties hereto pursuant to this Section 2.1(a) with respect to a given period of time shall be referred to herein as the “</w:t>
      </w:r>
      <w:r>
        <w:rPr>
          <w:rFonts w:ascii="Arial" w:cs="Arial" w:eastAsia="Arial" w:hAnsi="Arial"/>
          <w:sz w:val="18"/>
          <w:szCs w:val="18"/>
          <w:i w:val="1"/>
          <w:iCs w:val="1"/>
          <w:color w:val="auto"/>
        </w:rPr>
        <w:t>Expense Reimbursement Fee</w:t>
      </w:r>
      <w:r>
        <w:rPr>
          <w:rFonts w:ascii="Arial" w:cs="Arial" w:eastAsia="Arial" w:hAnsi="Arial"/>
          <w:sz w:val="18"/>
          <w:szCs w:val="18"/>
          <w:color w:val="auto"/>
        </w:rPr>
        <w:t>.” The obligation of PAA to reimburse the other Parties hereto pursuant to this Section 2.1(a) shall not be subject to any monetary limitation.</w:t>
      </w:r>
    </w:p>
    <w:p>
      <w:pPr>
        <w:spacing w:after="0" w:line="190" w:lineRule="exact"/>
        <w:rPr>
          <w:rFonts w:ascii="Arial" w:cs="Arial" w:eastAsia="Arial" w:hAnsi="Arial"/>
          <w:sz w:val="18"/>
          <w:szCs w:val="18"/>
          <w:color w:val="auto"/>
        </w:rPr>
      </w:pPr>
    </w:p>
    <w:p>
      <w:pPr>
        <w:ind w:right="240" w:firstLine="1305"/>
        <w:spacing w:after="0" w:line="312" w:lineRule="auto"/>
        <w:tabs>
          <w:tab w:leader="none" w:pos="1952" w:val="left"/>
        </w:tabs>
        <w:numPr>
          <w:ilvl w:val="1"/>
          <w:numId w:val="478"/>
        </w:numPr>
        <w:rPr>
          <w:rFonts w:ascii="Arial" w:cs="Arial" w:eastAsia="Arial" w:hAnsi="Arial"/>
          <w:sz w:val="16"/>
          <w:szCs w:val="16"/>
          <w:color w:val="auto"/>
        </w:rPr>
      </w:pPr>
      <w:r>
        <w:rPr>
          <w:rFonts w:ascii="Arial" w:cs="Arial" w:eastAsia="Arial" w:hAnsi="Arial"/>
          <w:sz w:val="16"/>
          <w:szCs w:val="16"/>
          <w:i w:val="1"/>
          <w:iCs w:val="1"/>
          <w:color w:val="auto"/>
        </w:rPr>
        <w:t xml:space="preserve">Parties’ Intent. </w:t>
      </w:r>
      <w:r>
        <w:rPr>
          <w:rFonts w:ascii="Arial" w:cs="Arial" w:eastAsia="Arial" w:hAnsi="Arial"/>
          <w:sz w:val="16"/>
          <w:szCs w:val="16"/>
          <w:color w:val="auto"/>
        </w:rPr>
        <w:t>The primary purposes of this Agreement are to maintain effective and efficient management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and procedures for the benefit of all Parties, and to maintain economic alignment between PAA, AAP and PAGP. It is not the intention of the Parties for any Party to receive double reimbursement of any expenses or to generate profit as a result of the reimbursement provisions of this Agreement.</w:t>
      </w:r>
    </w:p>
    <w:p>
      <w:pPr>
        <w:spacing w:after="0" w:line="14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2.2 Invoices and Payment</w:t>
      </w:r>
      <w:r>
        <w:rPr>
          <w:rFonts w:ascii="Arial" w:cs="Arial" w:eastAsia="Arial" w:hAnsi="Arial"/>
          <w:sz w:val="18"/>
          <w:szCs w:val="18"/>
          <w:color w:val="auto"/>
        </w:rPr>
        <w:t>. PAA shall reimburse a Party within five (5) days after receipt of an invoice and related support for any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Fee from such Party or on such Party’s behalf from any other Party hereto.</w:t>
      </w:r>
    </w:p>
    <w:p>
      <w:pPr>
        <w:spacing w:after="0" w:line="16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2.3 Dispute Regarding Calculation of Costs</w:t>
      </w:r>
      <w:r>
        <w:rPr>
          <w:rFonts w:ascii="Arial" w:cs="Arial" w:eastAsia="Arial" w:hAnsi="Arial"/>
          <w:sz w:val="16"/>
          <w:szCs w:val="16"/>
          <w:color w:val="auto"/>
        </w:rPr>
        <w:t>. Should there be a dispute over the calculation of any Expense Reimbursement Fee,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of any other fee, reimbursement or allocation hereunder, GP LLC, on behalf of PAA, and PAGP GP, on behalf of any other Party hereto, shall first attempt to resolve such dispute, acting diligently and in good faith, using the past practices of such Parties and documentary evidence of costs as guidelines for such resolution. If GP LLC, on behalf of PAA, and PAGP GP, on behalf of any other Party hereto, are unable to resolve any such dispute within thirty days of the dispute arising, or such additional time as may be reasonable under the circumstances in the sole discretion of GP LLC and PAGP GP, unless the Parties agree to an alternative dispute resolution process, the dispute shall be referred to the Conflicts Committee of PAA and the Conflicts Committee of PAGP for resolution. The Parties agree that the Conflicts Committee of PAA and the Conflicts Committee of PAGP, respectively, shall have the authority to settle any such dispute, in their sole discretion, recognizing that it is the intent of all Parties that the dispute be resolved on a fair and reasonable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RELATED TO GOVERNANCE</w:t>
      </w:r>
    </w:p>
    <w:p>
      <w:pPr>
        <w:spacing w:after="0" w:line="20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3.1 Issuance of PAGP Class C Shares</w:t>
      </w:r>
      <w:r>
        <w:rPr>
          <w:rFonts w:ascii="Arial" w:cs="Arial" w:eastAsia="Arial" w:hAnsi="Arial"/>
          <w:sz w:val="18"/>
          <w:szCs w:val="18"/>
          <w:color w:val="auto"/>
        </w:rPr>
        <w:t>. It is the intention of the Parties that the total number of PAGP Class C Shares that are issued by PAGP</w:t>
      </w:r>
      <w:r>
        <w:rPr>
          <w:rFonts w:ascii="Arial" w:cs="Arial" w:eastAsia="Arial" w:hAnsi="Arial"/>
          <w:sz w:val="18"/>
          <w:szCs w:val="18"/>
          <w:b w:val="1"/>
          <w:bCs w:val="1"/>
          <w:color w:val="auto"/>
        </w:rPr>
        <w:t xml:space="preserve"> </w:t>
      </w:r>
      <w:r>
        <w:rPr>
          <w:rFonts w:ascii="Arial" w:cs="Arial" w:eastAsia="Arial" w:hAnsi="Arial"/>
          <w:sz w:val="18"/>
          <w:szCs w:val="18"/>
          <w:color w:val="auto"/>
        </w:rPr>
        <w:t>and reflected as outstanding on the books and records of PAGP shall at all times equal the sum of (x) the number of PAA Common Units outstanding and held by Persons other than AAP and (y) the number of Other PAA Voting Units outstanding and held by Persons other than AAP. It is also the intention of the Parties that all such issued and outstanding PAGP Class C Shares shall be held by PAA. Accordingly:</w:t>
      </w:r>
    </w:p>
    <w:p>
      <w:pPr>
        <w:spacing w:after="0" w:line="184" w:lineRule="exact"/>
        <w:rPr>
          <w:sz w:val="20"/>
          <w:szCs w:val="20"/>
          <w:color w:val="auto"/>
        </w:rPr>
      </w:pPr>
    </w:p>
    <w:p>
      <w:pPr>
        <w:ind w:firstLine="1305"/>
        <w:spacing w:after="0" w:line="277" w:lineRule="auto"/>
        <w:tabs>
          <w:tab w:leader="none" w:pos="194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 the event of any issuance of PAA Common Units or Other PAA Voting Units by PAA to any Person other than AAP, PAGP shall promptly issue a corresponding number of PAGP Class C Shares to PAA for no additional consideration.</w:t>
      </w:r>
    </w:p>
    <w:p>
      <w:pPr>
        <w:sectPr>
          <w:pgSz w:w="11900" w:h="16838" w:orient="portrait"/>
          <w:cols w:equalWidth="0" w:num="1">
            <w:col w:w="11400"/>
          </w:cols>
          <w:pgMar w:left="240" w:top="341" w:right="259" w:bottom="0" w:gutter="0" w:footer="0" w:header="0"/>
        </w:sectPr>
      </w:pPr>
    </w:p>
    <w:bookmarkStart w:id="200" w:name="page201"/>
    <w:bookmarkEnd w:id="200"/>
    <w:p>
      <w:pPr>
        <w:spacing w:after="0" w:line="114" w:lineRule="exact"/>
        <w:rPr>
          <w:sz w:val="20"/>
          <w:szCs w:val="20"/>
          <w:color w:val="auto"/>
        </w:rPr>
      </w:pPr>
    </w:p>
    <w:p>
      <w:pPr>
        <w:ind w:right="120" w:firstLine="1305"/>
        <w:spacing w:after="0" w:line="276" w:lineRule="auto"/>
        <w:tabs>
          <w:tab w:leader="none" w:pos="1952" w:val="left"/>
        </w:tabs>
        <w:numPr>
          <w:ilvl w:val="0"/>
          <w:numId w:val="480"/>
        </w:numPr>
        <w:rPr>
          <w:rFonts w:ascii="Arial" w:cs="Arial" w:eastAsia="Arial" w:hAnsi="Arial"/>
          <w:sz w:val="17"/>
          <w:szCs w:val="17"/>
          <w:color w:val="auto"/>
        </w:rPr>
      </w:pPr>
      <w:r>
        <w:rPr>
          <w:rFonts w:ascii="Arial" w:cs="Arial" w:eastAsia="Arial" w:hAnsi="Arial"/>
          <w:sz w:val="17"/>
          <w:szCs w:val="17"/>
          <w:color w:val="auto"/>
        </w:rPr>
        <w:t>In the event of any redemption of AAP Class A Units for PAA Common Units in accordance with Section 7.11 of the AAP Partnership Agreement, PAGP shall promptly issue a number of PAGP Class C Shares to PAA equal to the number of PAA Common Units distributed by AAP in redemption of such AAP Class A Units for no additional consideration. In the event of any other transfer of PAA Common Units by AAP or PAGP, which results in PAGP or AAP not directly or indirectly owning such PAA Common Units, PAGP shall promptly issue a number of PAGP Class C Shares to PAA equal to the number of PAA Common Units so transferred for no additional consideration.</w:t>
      </w:r>
    </w:p>
    <w:p>
      <w:pPr>
        <w:spacing w:after="0" w:line="172" w:lineRule="exact"/>
        <w:rPr>
          <w:rFonts w:ascii="Arial" w:cs="Arial" w:eastAsia="Arial" w:hAnsi="Arial"/>
          <w:sz w:val="17"/>
          <w:szCs w:val="17"/>
          <w:color w:val="auto"/>
        </w:rPr>
      </w:pPr>
    </w:p>
    <w:p>
      <w:pPr>
        <w:ind w:right="280" w:firstLine="1305"/>
        <w:spacing w:after="0" w:line="264" w:lineRule="auto"/>
        <w:tabs>
          <w:tab w:leader="none" w:pos="195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the event of any repurchase, forfeiture or cancellation of any PAA Common Units or Other PAA Voting Unit (other than any PAA Common Units or Other PAA Voting Units held by AAP), then PAA shall promptly surrender to PAGP for cancellation a corresponding number of PAGP Class C Shares for no additional consideration.</w:t>
      </w:r>
    </w:p>
    <w:p>
      <w:pPr>
        <w:spacing w:after="0" w:line="181"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480"/>
        </w:numPr>
        <w:rPr>
          <w:rFonts w:ascii="Arial" w:cs="Arial" w:eastAsia="Arial" w:hAnsi="Arial"/>
          <w:sz w:val="18"/>
          <w:szCs w:val="18"/>
          <w:color w:val="auto"/>
        </w:rPr>
      </w:pPr>
      <w:r>
        <w:rPr>
          <w:rFonts w:ascii="Arial" w:cs="Arial" w:eastAsia="Arial" w:hAnsi="Arial"/>
          <w:sz w:val="18"/>
          <w:szCs w:val="18"/>
          <w:color w:val="auto"/>
        </w:rPr>
        <w:t>PAGP shall not, without the prior consent of PAA, issue to any Person other than PAA, any PAGP Class C Shares. PAA shall not, without the prior consent of PAGP, transfer to any Person any PAGP Class C Shares.</w:t>
      </w:r>
    </w:p>
    <w:p>
      <w:pPr>
        <w:spacing w:after="0" w:line="16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3.2 Further Assurances</w:t>
      </w:r>
      <w:r>
        <w:rPr>
          <w:rFonts w:ascii="Arial" w:cs="Arial" w:eastAsia="Arial" w:hAnsi="Arial"/>
          <w:sz w:val="18"/>
          <w:szCs w:val="18"/>
          <w:color w:val="auto"/>
        </w:rPr>
        <w:t>. To the extent that, notwithstanding the Parties’ compliance with the covenants in Section 3.1 and the covenants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4.7 of the Simplification Agreement the total number of PAGP Class C Shares that are issued by PAGP and reflected as outstanding on the books and records of PAGP do not equal the number of PAA Common Units outstanding and held by Persons other than AAP, the Parties shall cooperate and use reasonable best efforts to effectuate the intent of Section 3.1.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RELATED TO ECONOMIC ALIGNMENT</w:t>
      </w:r>
    </w:p>
    <w:p>
      <w:pPr>
        <w:spacing w:after="0" w:line="207" w:lineRule="exact"/>
        <w:rPr>
          <w:sz w:val="20"/>
          <w:szCs w:val="20"/>
          <w:color w:val="auto"/>
        </w:rPr>
      </w:pPr>
    </w:p>
    <w:p>
      <w:pPr>
        <w:jc w:val="both"/>
        <w:ind w:right="280" w:firstLine="648"/>
        <w:spacing w:after="0" w:line="258" w:lineRule="auto"/>
        <w:rPr>
          <w:sz w:val="20"/>
          <w:szCs w:val="20"/>
          <w:color w:val="auto"/>
        </w:rPr>
      </w:pPr>
      <w:r>
        <w:rPr>
          <w:rFonts w:ascii="Arial" w:cs="Arial" w:eastAsia="Arial" w:hAnsi="Arial"/>
          <w:sz w:val="18"/>
          <w:szCs w:val="18"/>
          <w:b w:val="1"/>
          <w:bCs w:val="1"/>
          <w:color w:val="auto"/>
        </w:rPr>
        <w:t>4.1 Intention of the Parties</w:t>
      </w:r>
      <w:r>
        <w:rPr>
          <w:rFonts w:ascii="Arial" w:cs="Arial" w:eastAsia="Arial" w:hAnsi="Arial"/>
          <w:sz w:val="18"/>
          <w:szCs w:val="18"/>
          <w:color w:val="auto"/>
        </w:rPr>
        <w:t>. It is the intention of the Parties that (a) the total number of PAGP Class A Shares that are issued by PAGP and</w:t>
      </w:r>
      <w:r>
        <w:rPr>
          <w:rFonts w:ascii="Arial" w:cs="Arial" w:eastAsia="Arial" w:hAnsi="Arial"/>
          <w:sz w:val="18"/>
          <w:szCs w:val="18"/>
          <w:b w:val="1"/>
          <w:bCs w:val="1"/>
          <w:color w:val="auto"/>
        </w:rPr>
        <w:t xml:space="preserve"> </w:t>
      </w:r>
      <w:r>
        <w:rPr>
          <w:rFonts w:ascii="Arial" w:cs="Arial" w:eastAsia="Arial" w:hAnsi="Arial"/>
          <w:sz w:val="18"/>
          <w:szCs w:val="18"/>
          <w:color w:val="auto"/>
        </w:rPr>
        <w:t>reflected as outstanding on the books and records of PAGP shall at all times equal the number of AAP Class A Units held by PAGP and its wholly owned subsidiaries and (b) the number of PAA Common Units held by AAP shall at all times equal the sum of (i) the total number of AAP Class A Units that are issued by AAP and reflected as outstanding on the books and records of AAP and (ii) the number of AAP Class A Units that are issuable to the holders of AAP Vested Units and AAP Earned Units (upon vesting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thereof) in connection with the conversion of such units pursuant to Section 7.10 of the AAP Partnership Agreement.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Agreements with Respect to Future Equity Issuances.</w:t>
      </w:r>
    </w:p>
    <w:p>
      <w:pPr>
        <w:spacing w:after="0" w:line="229" w:lineRule="exact"/>
        <w:rPr>
          <w:sz w:val="20"/>
          <w:szCs w:val="20"/>
          <w:color w:val="auto"/>
        </w:rPr>
      </w:pPr>
    </w:p>
    <w:p>
      <w:pPr>
        <w:ind w:right="20" w:firstLine="1305"/>
        <w:spacing w:after="0" w:line="277" w:lineRule="auto"/>
        <w:tabs>
          <w:tab w:leader="none" w:pos="1942"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Issuances of PAGP Class A Shares in Offerings</w:t>
      </w:r>
      <w:r>
        <w:rPr>
          <w:rFonts w:ascii="Arial" w:cs="Arial" w:eastAsia="Arial" w:hAnsi="Arial"/>
          <w:sz w:val="18"/>
          <w:szCs w:val="18"/>
          <w:color w:val="auto"/>
        </w:rPr>
        <w:t>. In connection with any future public or private offering and sale of PAGP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Shares (each offering, a “</w:t>
      </w:r>
      <w:r>
        <w:rPr>
          <w:rFonts w:ascii="Arial" w:cs="Arial" w:eastAsia="Arial" w:hAnsi="Arial"/>
          <w:sz w:val="18"/>
          <w:szCs w:val="18"/>
          <w:i w:val="1"/>
          <w:iCs w:val="1"/>
          <w:color w:val="auto"/>
        </w:rPr>
        <w:t>PAGP Offering</w:t>
      </w:r>
      <w:r>
        <w:rPr>
          <w:rFonts w:ascii="Arial" w:cs="Arial" w:eastAsia="Arial" w:hAnsi="Arial"/>
          <w:sz w:val="18"/>
          <w:szCs w:val="18"/>
          <w:color w:val="auto"/>
        </w:rPr>
        <w:t>”) by PAGP:</w:t>
      </w:r>
    </w:p>
    <w:p>
      <w:pPr>
        <w:spacing w:after="0" w:line="170" w:lineRule="exact"/>
        <w:rPr>
          <w:rFonts w:ascii="Arial" w:cs="Arial" w:eastAsia="Arial" w:hAnsi="Arial"/>
          <w:sz w:val="18"/>
          <w:szCs w:val="18"/>
          <w:color w:val="auto"/>
        </w:rPr>
      </w:pPr>
    </w:p>
    <w:p>
      <w:pPr>
        <w:jc w:val="both"/>
        <w:ind w:right="60" w:firstLine="1953"/>
        <w:spacing w:after="0" w:line="302" w:lineRule="auto"/>
        <w:tabs>
          <w:tab w:leader="none" w:pos="2614" w:val="left"/>
        </w:tabs>
        <w:numPr>
          <w:ilvl w:val="1"/>
          <w:numId w:val="481"/>
        </w:numPr>
        <w:rPr>
          <w:rFonts w:ascii="Arial" w:cs="Arial" w:eastAsia="Arial" w:hAnsi="Arial"/>
          <w:sz w:val="16"/>
          <w:szCs w:val="16"/>
          <w:color w:val="auto"/>
        </w:rPr>
      </w:pPr>
      <w:r>
        <w:rPr>
          <w:rFonts w:ascii="Arial" w:cs="Arial" w:eastAsia="Arial" w:hAnsi="Arial"/>
          <w:sz w:val="16"/>
          <w:szCs w:val="16"/>
          <w:color w:val="auto"/>
        </w:rPr>
        <w:t>AAP agrees to issue and sell to PAGP, and PAGP agrees to purchase from AAP, a number of AAP Class A Units equal to the number of PAGP Class A Shares sold in such PAGP Offering. The price to be paid by PAGP for the AAP Class A Units purchased in connection with the sale of PAGP Class A Shares in any PAGP Offering will be the net proceeds (after deducting underwriting or selling discounts or commissions and any structuring fee) received by PAGP for the sale of PAGP Class A Shares therein (such aggregate amount, the “</w:t>
      </w:r>
      <w:r>
        <w:rPr>
          <w:rFonts w:ascii="Arial" w:cs="Arial" w:eastAsia="Arial" w:hAnsi="Arial"/>
          <w:sz w:val="16"/>
          <w:szCs w:val="16"/>
          <w:i w:val="1"/>
          <w:iCs w:val="1"/>
          <w:color w:val="auto"/>
        </w:rPr>
        <w:t>Offering Proceeds</w:t>
      </w:r>
      <w:r>
        <w:rPr>
          <w:rFonts w:ascii="Arial" w:cs="Arial" w:eastAsia="Arial" w:hAnsi="Arial"/>
          <w:sz w:val="16"/>
          <w:szCs w:val="16"/>
          <w:color w:val="auto"/>
        </w:rPr>
        <w:t>”); and</w:t>
      </w:r>
    </w:p>
    <w:p>
      <w:pPr>
        <w:spacing w:after="0" w:line="154" w:lineRule="exact"/>
        <w:rPr>
          <w:rFonts w:ascii="Arial" w:cs="Arial" w:eastAsia="Arial" w:hAnsi="Arial"/>
          <w:sz w:val="16"/>
          <w:szCs w:val="16"/>
          <w:color w:val="auto"/>
        </w:rPr>
      </w:pPr>
    </w:p>
    <w:p>
      <w:pPr>
        <w:ind w:right="40" w:firstLine="1953"/>
        <w:spacing w:after="0" w:line="259" w:lineRule="auto"/>
        <w:tabs>
          <w:tab w:leader="none" w:pos="262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Immediately following the purchase and sale of the AAP Class A Units in accordance with Section 4.2(a)(i), PAA agrees to issue and sell to AAP, and AAP agrees to purchase from PAA, a number of PAA Common Units equal to the number of AAP Class A Units sold in the purchase and sale contemplated by Section 4.2(a)(i). The price to be paid by AAP for the PAA Common Units purchased in connection with the sale of AAP Class A Units in accordance with Section 4.2(a)(i) will be the Offering Proceeds.</w:t>
      </w:r>
    </w:p>
    <w:p>
      <w:pPr>
        <w:spacing w:after="0" w:line="186" w:lineRule="exact"/>
        <w:rPr>
          <w:rFonts w:ascii="Arial" w:cs="Arial" w:eastAsia="Arial" w:hAnsi="Arial"/>
          <w:sz w:val="18"/>
          <w:szCs w:val="18"/>
          <w:color w:val="auto"/>
        </w:rPr>
      </w:pPr>
    </w:p>
    <w:p>
      <w:pPr>
        <w:ind w:right="280" w:firstLine="1305"/>
        <w:spacing w:after="0" w:line="277" w:lineRule="auto"/>
        <w:tabs>
          <w:tab w:leader="none" w:pos="1952"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Issuances of PAGP Class A Shares pursuant to Employee Benefit Plans</w:t>
      </w:r>
      <w:r>
        <w:rPr>
          <w:rFonts w:ascii="Arial" w:cs="Arial" w:eastAsia="Arial" w:hAnsi="Arial"/>
          <w:sz w:val="18"/>
          <w:szCs w:val="18"/>
          <w:color w:val="auto"/>
        </w:rPr>
        <w:t>. If PAGP (or PAGP GP on behalf of PAGP) makes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of PAGP Class A Shares or Derivative Shares in connection with any Employee Benefit Plans:</w:t>
      </w:r>
    </w:p>
    <w:p>
      <w:pPr>
        <w:spacing w:after="0" w:line="170" w:lineRule="exact"/>
        <w:rPr>
          <w:rFonts w:ascii="Arial" w:cs="Arial" w:eastAsia="Arial" w:hAnsi="Arial"/>
          <w:sz w:val="18"/>
          <w:szCs w:val="18"/>
          <w:color w:val="auto"/>
        </w:rPr>
      </w:pPr>
    </w:p>
    <w:p>
      <w:pPr>
        <w:ind w:firstLine="1953"/>
        <w:spacing w:after="0" w:line="259" w:lineRule="auto"/>
        <w:tabs>
          <w:tab w:leader="none" w:pos="261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AAP agrees to issue and sell to PAGP, and PAGP agrees to purchase from AAP, upon the earlier of the issuance of any such PAGP Class A Shares or the exercise or vesting of such Derivative Shares, a number of AAP Class A Units equal to the number of PAGP Class A Shares issued pursuant to such award (after any applicable netting for tax withholding purposes), for such consideration, if any, received by PAGP from the recipient of any such award (the “</w:t>
      </w:r>
      <w:r>
        <w:rPr>
          <w:rFonts w:ascii="Arial" w:cs="Arial" w:eastAsia="Arial" w:hAnsi="Arial"/>
          <w:sz w:val="18"/>
          <w:szCs w:val="18"/>
          <w:i w:val="1"/>
          <w:iCs w:val="1"/>
          <w:color w:val="auto"/>
        </w:rPr>
        <w:t>Award Consideration</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firstLine="1953"/>
        <w:spacing w:after="0" w:line="264" w:lineRule="auto"/>
        <w:tabs>
          <w:tab w:leader="none" w:pos="262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Immediately following the issuance and sale of AAP Class A Units in accordance with Section 4.2(b)(i), PAA agrees to issue and sell to AAP, and AAP agrees to purchase from PAA, a number of PAA Common Units equal to the number of AAP Class A Units issued pursuant to Section 4.2(b)(i), for the applicable Award Consideration, if 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81"/>
        </w:numPr>
        <w:rPr>
          <w:rFonts w:ascii="Arial" w:cs="Arial" w:eastAsia="Arial" w:hAnsi="Arial"/>
          <w:sz w:val="17"/>
          <w:szCs w:val="17"/>
          <w:color w:val="auto"/>
        </w:rPr>
      </w:pPr>
      <w:r>
        <w:rPr>
          <w:rFonts w:ascii="Arial" w:cs="Arial" w:eastAsia="Arial" w:hAnsi="Arial"/>
          <w:sz w:val="17"/>
          <w:szCs w:val="17"/>
          <w:i w:val="1"/>
          <w:iCs w:val="1"/>
          <w:color w:val="auto"/>
        </w:rPr>
        <w:t>Issuances of AAP Class A Units upon AAP Class B Units becoming Earned; Forfeitures on Forfeiture of AAP Class B Units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right="60" w:firstLine="1953"/>
        <w:spacing w:after="0" w:line="264" w:lineRule="auto"/>
        <w:tabs>
          <w:tab w:leader="none" w:pos="261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If, after the date of this Agreement, any AAP Class B Unit issued and outstanding as of the date of this Agreement that is not an AAP Earned Unit as of the date of this Agreement becomes an AAP Earned Unit in accordance with the AAP Partnership Agreement, PAA shall issue to AAP a number of PAA Common Units equal to the product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20" w:firstLine="8"/>
        <w:spacing w:after="0" w:line="277" w:lineRule="auto"/>
        <w:tabs>
          <w:tab w:leader="none" w:pos="25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number of AAP Class B Units that have become AAP Earned Units multiplied by (y) the Stipulated Conversion Factor, for no additional consideration.</w:t>
      </w:r>
    </w:p>
    <w:p>
      <w:pPr>
        <w:spacing w:after="0" w:line="170" w:lineRule="exact"/>
        <w:rPr>
          <w:rFonts w:ascii="Arial" w:cs="Arial" w:eastAsia="Arial" w:hAnsi="Arial"/>
          <w:sz w:val="18"/>
          <w:szCs w:val="18"/>
          <w:color w:val="auto"/>
        </w:rPr>
      </w:pPr>
    </w:p>
    <w:p>
      <w:pPr>
        <w:ind w:right="140" w:firstLine="1953"/>
        <w:spacing w:after="0" w:line="312" w:lineRule="auto"/>
        <w:tabs>
          <w:tab w:leader="none" w:pos="2624" w:val="left"/>
        </w:tabs>
        <w:numPr>
          <w:ilvl w:val="1"/>
          <w:numId w:val="482"/>
        </w:numPr>
        <w:rPr>
          <w:rFonts w:ascii="Arial" w:cs="Arial" w:eastAsia="Arial" w:hAnsi="Arial"/>
          <w:sz w:val="16"/>
          <w:szCs w:val="16"/>
          <w:color w:val="auto"/>
        </w:rPr>
      </w:pPr>
      <w:r>
        <w:rPr>
          <w:rFonts w:ascii="Arial" w:cs="Arial" w:eastAsia="Arial" w:hAnsi="Arial"/>
          <w:sz w:val="16"/>
          <w:szCs w:val="16"/>
          <w:color w:val="auto"/>
        </w:rPr>
        <w:t>If, after the date of this Agreement, any AAP Class B Unit that is an AAP Earned Unit is forfeited pursuant to the terms of the applicable Class B Restricted Unit Agreement or otherwise cancelled by AAP (other than in connection with any conversion of such AAP Class B Units into AAP Class A Units in accordance with Section 7.10 of the AAP Partnership Agreement), then AAP shall promptly surrender to PAA for</w:t>
      </w:r>
    </w:p>
    <w:p>
      <w:pPr>
        <w:sectPr>
          <w:pgSz w:w="11900" w:h="16953" w:orient="portrait"/>
          <w:cols w:equalWidth="0" w:num="1">
            <w:col w:w="11400"/>
          </w:cols>
          <w:pgMar w:left="240" w:top="125" w:right="259" w:bottom="0" w:gutter="0" w:footer="0" w:header="0"/>
        </w:sectPr>
      </w:pPr>
    </w:p>
    <w:bookmarkStart w:id="201" w:name="page202"/>
    <w:bookmarkEnd w:id="201"/>
    <w:p>
      <w:pPr>
        <w:ind w:right="460"/>
        <w:spacing w:after="0" w:line="308" w:lineRule="auto"/>
        <w:rPr>
          <w:sz w:val="20"/>
          <w:szCs w:val="20"/>
          <w:color w:val="auto"/>
        </w:rPr>
      </w:pPr>
      <w:r>
        <w:rPr>
          <w:rFonts w:ascii="Arial" w:cs="Arial" w:eastAsia="Arial" w:hAnsi="Arial"/>
          <w:sz w:val="17"/>
          <w:szCs w:val="17"/>
          <w:color w:val="auto"/>
        </w:rPr>
        <w:t>cancellation, for no additional consideration and effective as of the date of such forfeiture or cancellation, a number of PAA Common Units equal to the product of (x) the number of AAP Class B Units so forfeited or cancelled multiplied by (y) the Stipulated Conversion Factor.</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Agreements with Respect to Future Debt Financing</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64" w:lineRule="auto"/>
        <w:tabs>
          <w:tab w:leader="none" w:pos="194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 connection with any future incurrence of indebtedness by PAGP, as permitted by Section 7.6 of the PAA Partnership Agreement, PAGP may lend the proceeds of such indebtedness to AAP, which shall then lend the proceeds to PAA, in each case on substantially the same terms (including with respect to interest expenses and fees) as the terms on which PAGP incurred the indebtedness.</w:t>
      </w:r>
    </w:p>
    <w:p>
      <w:pPr>
        <w:spacing w:after="0" w:line="181" w:lineRule="exact"/>
        <w:rPr>
          <w:rFonts w:ascii="Arial" w:cs="Arial" w:eastAsia="Arial" w:hAnsi="Arial"/>
          <w:sz w:val="18"/>
          <w:szCs w:val="18"/>
          <w:color w:val="auto"/>
        </w:rPr>
      </w:pPr>
    </w:p>
    <w:p>
      <w:pPr>
        <w:ind w:firstLine="1305"/>
        <w:spacing w:after="0" w:line="257" w:lineRule="auto"/>
        <w:tabs>
          <w:tab w:leader="none" w:pos="195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In the event that PAGP elects to lend the proceeds of indebtedness it incurs in accordance with Section 4.3(a), PAA shall reimburse any fees and expenses incurred by PAGP and AAP in connection with the incurrence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PAA’s reimbursement obligations to each of PAGP and AAP shall be net of amounts paid to PAGP by AAP, and to AAP by PAA, as fees and expenses (including interest expenses) of the borrowings in accordance with Section 4.3(a). PAA shall have no obligation pursuant to this Section 4.3(b) to reimburse (directly or through AAP) or otherwise bear any fees or expenses more than one time.</w:t>
      </w:r>
    </w:p>
    <w:p>
      <w:pPr>
        <w:spacing w:after="0" w:line="188" w:lineRule="exact"/>
        <w:rPr>
          <w:rFonts w:ascii="Arial" w:cs="Arial" w:eastAsia="Arial" w:hAnsi="Arial"/>
          <w:sz w:val="18"/>
          <w:szCs w:val="18"/>
          <w:color w:val="auto"/>
        </w:rPr>
      </w:pPr>
    </w:p>
    <w:p>
      <w:pPr>
        <w:ind w:right="80" w:firstLine="1305"/>
        <w:spacing w:after="0" w:line="264" w:lineRule="auto"/>
        <w:tabs>
          <w:tab w:leader="none" w:pos="1955"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PAA shall have no obligation pursuant to this Agreement (including Section 2.1) to reimburse the fees and expenses, including interest expenses, incurred by PAGP in connection with any indebtedness incurred by PAGP other than indebtedness incurred to fund loans to AAP and PAA in accordance with Section 4.3(a).</w:t>
      </w:r>
    </w:p>
    <w:p>
      <w:pPr>
        <w:spacing w:after="0" w:line="177" w:lineRule="exact"/>
        <w:rPr>
          <w:sz w:val="20"/>
          <w:szCs w:val="20"/>
          <w:color w:val="auto"/>
        </w:rPr>
      </w:pPr>
    </w:p>
    <w:p>
      <w:pPr>
        <w:ind w:right="200" w:firstLine="648"/>
        <w:spacing w:after="0" w:line="295" w:lineRule="auto"/>
        <w:rPr>
          <w:sz w:val="20"/>
          <w:szCs w:val="20"/>
          <w:color w:val="auto"/>
        </w:rPr>
      </w:pPr>
      <w:r>
        <w:rPr>
          <w:rFonts w:ascii="Arial" w:cs="Arial" w:eastAsia="Arial" w:hAnsi="Arial"/>
          <w:sz w:val="16"/>
          <w:szCs w:val="16"/>
          <w:b w:val="1"/>
          <w:bCs w:val="1"/>
          <w:color w:val="auto"/>
        </w:rPr>
        <w:t>4.4 Agreements with Respect to Future Transfers of PAA Common Units by PAGP</w:t>
      </w:r>
      <w:r>
        <w:rPr>
          <w:rFonts w:ascii="Arial" w:cs="Arial" w:eastAsia="Arial" w:hAnsi="Arial"/>
          <w:sz w:val="16"/>
          <w:szCs w:val="16"/>
          <w:color w:val="auto"/>
        </w:rPr>
        <w:t>. PAGP shall not, and shall not permit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(including AAP) to, directly or indirectly transfer to any Person, any PAA Common Units if the effect of such transfer would be to decrease PAGP’s direct or indirect economic interest in such PAA Common Units unless, in connection with such transfer, PAGP promptly redeems a corresponding number of PAGP Class A Shares for the same consideration received by PAGP upon the transfer of such PAA Common Units. For the avoidance of doubt, any redemption of AAP Class A Units in exchange for PAA Common Units in accordance with Section 7.11 of the AAP Partnership Agreement shall not result in a decrease in PAGP’s direct or indirect economic interest in PAA Common Units and shall be permitted by this Section 4.4.</w:t>
      </w:r>
    </w:p>
    <w:p>
      <w:pPr>
        <w:spacing w:after="0" w:line="15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4.5 Agreements Related to Restrictions on AAP Redemptions. </w:t>
      </w:r>
      <w:r>
        <w:rPr>
          <w:rFonts w:ascii="Arial" w:cs="Arial" w:eastAsia="Arial" w:hAnsi="Arial"/>
          <w:sz w:val="18"/>
          <w:szCs w:val="18"/>
          <w:color w:val="auto"/>
        </w:rPr>
        <w:t>Until the first anniversary of the date of this Agreement,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PAA, AAP shall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 and GP LLC shall not and shall not permit AAP to, waive or amend any of the restrictions set forth in Section 7.11(g) of the AAP Partnership Agreement.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5.1 Mutual Termination. </w:t>
      </w:r>
      <w:r>
        <w:rPr>
          <w:rFonts w:ascii="Arial" w:cs="Arial" w:eastAsia="Arial" w:hAnsi="Arial"/>
          <w:sz w:val="18"/>
          <w:szCs w:val="18"/>
          <w:color w:val="auto"/>
        </w:rPr>
        <w:t>Except as set forth in Section 5.2, this Agreement shall remain in full force and effect until terminated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all Parties hereto.</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5.2 Renegotiation Upon Trigger Event</w:t>
      </w:r>
      <w:r>
        <w:rPr>
          <w:rFonts w:ascii="Arial" w:cs="Arial" w:eastAsia="Arial" w:hAnsi="Arial"/>
          <w:sz w:val="18"/>
          <w:szCs w:val="18"/>
          <w:color w:val="auto"/>
        </w:rPr>
        <w:t>. Upon the occurrence of any Trigger Event, each of the Parties hereto shall negotiate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necessity and appropriateness of any amendments to this Agreement necessary to preserve, to the extent possible, the original intention of the Parties to maintain economic and governance alignment between PAA, PAGP and AAP. If, following 60 days of such good faith negotiations (or any shorter period of time agreed by the Parties), the Parties are unable to agree on the necessary amendments to this Agreement or that no such amendments are necessary, then either PAA (on behalf of the GP LLC Parties) or PAGP (on behalf of the PAGP Entities) may, subject to Section 5.3, terminate this Agreement by written notice to the other Parties.</w:t>
      </w:r>
    </w:p>
    <w:p>
      <w:pPr>
        <w:spacing w:after="0" w:line="18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5.3 Effect of Termination</w:t>
      </w:r>
      <w:r>
        <w:rPr>
          <w:rFonts w:ascii="Arial" w:cs="Arial" w:eastAsia="Arial" w:hAnsi="Arial"/>
          <w:sz w:val="17"/>
          <w:szCs w:val="17"/>
          <w:color w:val="auto"/>
        </w:rPr>
        <w:t>. Section 4.2(c), this Section 5.3 and any accrued but unpaid reimbursement obligations under Article 2 shall survive</w:t>
      </w:r>
      <w:r>
        <w:rPr>
          <w:rFonts w:ascii="Arial" w:cs="Arial" w:eastAsia="Arial" w:hAnsi="Arial"/>
          <w:sz w:val="17"/>
          <w:szCs w:val="17"/>
          <w:b w:val="1"/>
          <w:bCs w:val="1"/>
          <w:color w:val="auto"/>
        </w:rPr>
        <w:t xml:space="preserve"> </w:t>
      </w:r>
      <w:r>
        <w:rPr>
          <w:rFonts w:ascii="Arial" w:cs="Arial" w:eastAsia="Arial" w:hAnsi="Arial"/>
          <w:sz w:val="17"/>
          <w:szCs w:val="17"/>
          <w:color w:val="auto"/>
        </w:rPr>
        <w:t>any termination in accordance with this Article 5 until all obligations thereunder are satisfied or unless the Parties mutually agree otherwise. Notwithstanding the foregoing, in the event that this Agreement is terminated pursuant to Section 5.2, each Party (other than PAA) shall within five (5) days after termination of this Agreement refund to PAA (or reimburse PAA for) (a) any Expense Reimbursement Fee paid by PAA on or after the occurrence of any Trigger Event, and (b) any interest expense incurred by PAA attributable to the Expense Reimbursement Fee described in Section 4.3(b). Article 6 shall survive any termination of this Agreement unless the Parties mutually agree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6.1 Choice of Law; Submission to Jurisdiction</w:t>
      </w:r>
      <w:r>
        <w:rPr>
          <w:rFonts w:ascii="Arial" w:cs="Arial" w:eastAsia="Arial" w:hAnsi="Arial"/>
          <w:sz w:val="18"/>
          <w:szCs w:val="18"/>
          <w:color w:val="auto"/>
        </w:rPr>
        <w:t>. This Agreement shall be subject to and governed by the laws of the State of Texas.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hereby submits to the exclusive jurisdiction of the state and federal courts in the State of Texas and to exclusive venue in Houston, Harris County, Texas.</w:t>
      </w:r>
    </w:p>
    <w:p>
      <w:pPr>
        <w:spacing w:after="0" w:line="176"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b w:val="1"/>
          <w:bCs w:val="1"/>
          <w:color w:val="auto"/>
        </w:rPr>
        <w:t>6.2 Notices</w:t>
      </w:r>
      <w:r>
        <w:rPr>
          <w:rFonts w:ascii="Arial" w:cs="Arial" w:eastAsia="Arial" w:hAnsi="Arial"/>
          <w:sz w:val="17"/>
          <w:szCs w:val="17"/>
          <w:color w:val="auto"/>
        </w:rPr>
        <w:t>. All notices or requests or consents provided for or permitted to be given pursuant to this Agreement must be in writing and must</w:t>
      </w:r>
      <w:r>
        <w:rPr>
          <w:rFonts w:ascii="Arial" w:cs="Arial" w:eastAsia="Arial" w:hAnsi="Arial"/>
          <w:sz w:val="17"/>
          <w:szCs w:val="17"/>
          <w:b w:val="1"/>
          <w:bCs w:val="1"/>
          <w:color w:val="auto"/>
        </w:rPr>
        <w:t xml:space="preserve"> </w:t>
      </w:r>
      <w:r>
        <w:rPr>
          <w:rFonts w:ascii="Arial" w:cs="Arial" w:eastAsia="Arial" w:hAnsi="Arial"/>
          <w:sz w:val="17"/>
          <w:szCs w:val="17"/>
          <w:color w:val="auto"/>
        </w:rPr>
        <w:t>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Agreement, or at such other address as such Party may stipulate to the other Parties by notice given in the manner provided in this Section 6.2.</w:t>
      </w:r>
    </w:p>
    <w:p>
      <w:pPr>
        <w:sectPr>
          <w:pgSz w:w="11900" w:h="16838" w:orient="portrait"/>
          <w:cols w:equalWidth="0" w:num="1">
            <w:col w:w="11400"/>
          </w:cols>
          <w:pgMar w:left="240" w:top="125" w:right="259" w:bottom="44" w:gutter="0" w:footer="0" w:header="0"/>
        </w:sectPr>
      </w:pPr>
    </w:p>
    <w:bookmarkStart w:id="202" w:name="page203"/>
    <w:bookmarkEnd w:id="202"/>
    <w:p>
      <w:pPr>
        <w:ind w:right="140" w:firstLine="648"/>
        <w:spacing w:after="0" w:line="313" w:lineRule="auto"/>
        <w:rPr>
          <w:sz w:val="20"/>
          <w:szCs w:val="20"/>
          <w:color w:val="auto"/>
        </w:rPr>
      </w:pPr>
      <w:r>
        <w:rPr>
          <w:rFonts w:ascii="Arial" w:cs="Arial" w:eastAsia="Arial" w:hAnsi="Arial"/>
          <w:sz w:val="17"/>
          <w:szCs w:val="17"/>
          <w:b w:val="1"/>
          <w:bCs w:val="1"/>
          <w:color w:val="auto"/>
        </w:rPr>
        <w:t>6.3 Entire Agreement; Supersedure</w:t>
      </w:r>
      <w:r>
        <w:rPr>
          <w:rFonts w:ascii="Arial" w:cs="Arial" w:eastAsia="Arial" w:hAnsi="Arial"/>
          <w:sz w:val="17"/>
          <w:szCs w:val="17"/>
          <w:color w:val="auto"/>
        </w:rPr>
        <w:t>. This Agreement constitutes the entire agreement of the Parties relating to the matters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superseding all prior contracts or agreements among the Parties, whether oral or written, relating to the matters contained herein.</w:t>
      </w:r>
    </w:p>
    <w:p>
      <w:pPr>
        <w:spacing w:after="0" w:line="138"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6.4 Effect of Waiver of Consent</w:t>
      </w:r>
      <w:r>
        <w:rPr>
          <w:rFonts w:ascii="Arial" w:cs="Arial" w:eastAsia="Arial" w:hAnsi="Arial"/>
          <w:sz w:val="18"/>
          <w:szCs w:val="18"/>
          <w:color w:val="auto"/>
        </w:rPr>
        <w:t>. No Party’s express or implied waiver of, or consent to, any breach or default by any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 Party in default, irrespective of how long such failure continues, shall not constitute a waiver by such Party of its rights hereunder until the applicable statute of limitations period has run.</w:t>
      </w:r>
    </w:p>
    <w:p>
      <w:pPr>
        <w:spacing w:after="0" w:line="184"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6.5 Amendment or Modification</w:t>
      </w:r>
      <w:r>
        <w:rPr>
          <w:rFonts w:ascii="Arial" w:cs="Arial" w:eastAsia="Arial" w:hAnsi="Arial"/>
          <w:sz w:val="17"/>
          <w:szCs w:val="17"/>
          <w:color w:val="auto"/>
        </w:rPr>
        <w:t>. This Agreement may be amended or modified from time to time only by the agreement of all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affected by any such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PAGP and PAA may not, without the prior approval of the Conflicts Committee of PAGP or the Conflicts Committee of PAA, as applicable, agree to any amendment or modification of this Agreement that, in the reasonable discretion of PAGP GP or PAA GP, as applicable, will materially and adversely affect the holders of equity interests of PAGP or PAA, as applicable.</w:t>
      </w:r>
    </w:p>
    <w:p>
      <w:pPr>
        <w:spacing w:after="0" w:line="16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6.6 Assignment</w:t>
      </w:r>
      <w:r>
        <w:rPr>
          <w:rFonts w:ascii="Arial" w:cs="Arial" w:eastAsia="Arial" w:hAnsi="Arial"/>
          <w:sz w:val="18"/>
          <w:szCs w:val="18"/>
          <w:color w:val="auto"/>
        </w:rPr>
        <w:t>. No Party shall have the right to assign or delegate its rights or obligations under this Agreement without the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6.7 Counterparts</w:t>
      </w:r>
      <w:r>
        <w:rPr>
          <w:rFonts w:ascii="Arial" w:cs="Arial" w:eastAsia="Arial" w:hAnsi="Arial"/>
          <w:sz w:val="18"/>
          <w:szCs w:val="18"/>
          <w:color w:val="auto"/>
        </w:rPr>
        <w:t>. This Agreement may be executed in any number of counterparts with the same effect as if all Parties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shall constitute one and the same instrument.</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6.8 Severability</w:t>
      </w:r>
      <w:r>
        <w:rPr>
          <w:rFonts w:ascii="Arial" w:cs="Arial" w:eastAsia="Arial" w:hAnsi="Arial"/>
          <w:sz w:val="18"/>
          <w:szCs w:val="18"/>
          <w:color w:val="auto"/>
        </w:rPr>
        <w:t>. If any provision of this Agreement or the application thereof to any Party or circumstance shall be held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pacing w:after="0" w:line="17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6.9 Further Assurances</w:t>
      </w:r>
      <w:r>
        <w:rPr>
          <w:rFonts w:ascii="Arial" w:cs="Arial" w:eastAsia="Arial" w:hAnsi="Arial"/>
          <w:sz w:val="18"/>
          <w:szCs w:val="18"/>
          <w:color w:val="auto"/>
        </w:rPr>
        <w:t>. In connection with this Agreement and all transactions contemplated by this Agreement, and prior to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in accordance with its terms, each Party hereto agrees to execute and deliver such additional documents and instruments and to perform such additional acts as may be necessary or appropriate to effectuate, carry out and perform all of the terms, provisions and conditions of this Agreement and all such transactions. The Parties further agree that, prior to the termination of this Agreement in accordance with its terms, no Party shall amend or consent to any amendment of the organizational documents of any Party that would be inconsistent with the agreements in this Agreement, without the prior written consent of the Parties.</w:t>
      </w:r>
    </w:p>
    <w:p>
      <w:pPr>
        <w:spacing w:after="0" w:line="18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6.10 Withholding or Granting of Consent</w:t>
      </w:r>
      <w:r>
        <w:rPr>
          <w:rFonts w:ascii="Arial" w:cs="Arial" w:eastAsia="Arial" w:hAnsi="Arial"/>
          <w:sz w:val="18"/>
          <w:szCs w:val="18"/>
          <w:color w:val="auto"/>
        </w:rPr>
        <w:t>. Unless the consent or approval of a Party is expressly required not to be unreasonably withheld (or</w:t>
      </w:r>
      <w:r>
        <w:rPr>
          <w:rFonts w:ascii="Arial" w:cs="Arial" w:eastAsia="Arial" w:hAnsi="Arial"/>
          <w:sz w:val="18"/>
          <w:szCs w:val="18"/>
          <w:b w:val="1"/>
          <w:bCs w:val="1"/>
          <w:color w:val="auto"/>
        </w:rPr>
        <w:t xml:space="preserve"> </w:t>
      </w:r>
      <w:r>
        <w:rPr>
          <w:rFonts w:ascii="Arial" w:cs="Arial" w:eastAsia="Arial" w:hAnsi="Arial"/>
          <w:sz w:val="18"/>
          <w:szCs w:val="18"/>
          <w:color w:val="auto"/>
        </w:rPr>
        <w:t>words to similar effect), each Party may, with respect to any consent or approval that it is entitled to grant pursuant to this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Agreement, grant or withhold such consent or approval in its sole and uncontrolled discretion, with or without cause, and subject to such conditions as it shall deem appropriate.</w:t>
      </w:r>
    </w:p>
    <w:p>
      <w:pPr>
        <w:spacing w:after="0" w:line="16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6.11 U.S. Currency</w:t>
      </w:r>
      <w:r>
        <w:rPr>
          <w:rFonts w:ascii="Arial" w:cs="Arial" w:eastAsia="Arial" w:hAnsi="Arial"/>
          <w:sz w:val="18"/>
          <w:szCs w:val="18"/>
          <w:color w:val="auto"/>
        </w:rPr>
        <w:t>. All sums and amounts payable or to be payable pursuant to the provisions of this Agreement shall be payable in coin or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of the United States of America that, at the time of payment, is legal tender for the payment of public and private debts in the United States of America.</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6.12 Laws and Regulations</w:t>
      </w:r>
      <w:r>
        <w:rPr>
          <w:rFonts w:ascii="Arial" w:cs="Arial" w:eastAsia="Arial" w:hAnsi="Arial"/>
          <w:sz w:val="18"/>
          <w:szCs w:val="18"/>
          <w:color w:val="auto"/>
        </w:rPr>
        <w:t>. Notwithstanding any provision of this Agreement to the contrary, no Party hereto shall be required to take 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or fail to take any act, under this Agreement if the effect thereof would be to cause such Party to be in violation of any applicable law, statute, rule or regulation.</w:t>
      </w:r>
    </w:p>
    <w:p>
      <w:pPr>
        <w:spacing w:after="0" w:line="17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6.13 Negation of Rights of Third Parties</w:t>
      </w:r>
      <w:r>
        <w:rPr>
          <w:rFonts w:ascii="Arial" w:cs="Arial" w:eastAsia="Arial" w:hAnsi="Arial"/>
          <w:sz w:val="18"/>
          <w:szCs w:val="18"/>
          <w:color w:val="auto"/>
        </w:rPr>
        <w:t>. The provisions of this Agreement are enforceable solely by the Parties, and no limited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PAGP or PAA or other Person shall have the right to enforce any provision of this Agreement or to compel any Party to comply with the terms of this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b w:val="1"/>
          <w:bCs w:val="1"/>
          <w:color w:val="auto"/>
        </w:rPr>
        <w:t xml:space="preserve">Successors. </w:t>
      </w:r>
      <w:r>
        <w:rPr>
          <w:rFonts w:ascii="Arial" w:cs="Arial" w:eastAsia="Arial" w:hAnsi="Arial"/>
          <w:sz w:val="16"/>
          <w:szCs w:val="16"/>
          <w:color w:val="auto"/>
        </w:rPr>
        <w:t>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6.15 No Recourse Against Officers or Directors</w:t>
      </w:r>
      <w:r>
        <w:rPr>
          <w:rFonts w:ascii="Arial" w:cs="Arial" w:eastAsia="Arial" w:hAnsi="Arial"/>
          <w:sz w:val="18"/>
          <w:szCs w:val="18"/>
          <w:color w:val="auto"/>
        </w:rPr>
        <w:t>. For the avoidance of doubt, the provisions of this Agreement shall not give rise to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recourse against any officer or director of PAGP, PAGP GP, PAA, AAP, PAA GP or GP LLC.</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6.16 Legal Compliance</w:t>
      </w:r>
      <w:r>
        <w:rPr>
          <w:rFonts w:ascii="Arial" w:cs="Arial" w:eastAsia="Arial" w:hAnsi="Arial"/>
          <w:sz w:val="18"/>
          <w:szCs w:val="18"/>
          <w:color w:val="auto"/>
        </w:rPr>
        <w:t>. The Parties acknowledge and agree that this Agreement, and all services provided under this Agreement, are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80" w:lineRule="exact"/>
        <w:rPr>
          <w:sz w:val="20"/>
          <w:szCs w:val="20"/>
          <w:color w:val="auto"/>
        </w:rPr>
      </w:pPr>
    </w:p>
    <w:p>
      <w:pPr>
        <w:jc w:val="both"/>
        <w:ind w:right="20" w:firstLine="1305"/>
        <w:spacing w:after="0" w:line="264" w:lineRule="auto"/>
        <w:tabs>
          <w:tab w:leader="none" w:pos="194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w:t>
      </w:r>
    </w:p>
    <w:p>
      <w:pPr>
        <w:spacing w:after="0" w:line="181" w:lineRule="exact"/>
        <w:rPr>
          <w:rFonts w:ascii="Arial" w:cs="Arial" w:eastAsia="Arial" w:hAnsi="Arial"/>
          <w:sz w:val="18"/>
          <w:szCs w:val="18"/>
          <w:color w:val="auto"/>
        </w:rPr>
      </w:pPr>
    </w:p>
    <w:p>
      <w:pPr>
        <w:ind w:firstLine="1305"/>
        <w:spacing w:after="0" w:line="277" w:lineRule="auto"/>
        <w:tabs>
          <w:tab w:leader="none" w:pos="195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Parties agree that they will adhere to the Fair Labor Standards Act of 1938, as amended, any comparable state law and any law regulating the payment of wages or compensation.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531" w:gutter="0" w:footer="0" w:header="0"/>
        </w:sectPr>
      </w:pPr>
    </w:p>
    <w:bookmarkStart w:id="203" w:name="page204"/>
    <w:bookmarkEnd w:id="203"/>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PAA GP Holdings LLC, its general partner</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Plains All American GP LLC, its general partner</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GP LLC, its general partner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AAP, L.P., its sole member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 for all Parties</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040"/>
          </w:cols>
          <w:pgMar w:left="240" w:top="125" w:right="619" w:bottom="0" w:gutter="0" w:footer="0" w:header="0"/>
        </w:sectPr>
      </w:pPr>
    </w:p>
    <w:bookmarkStart w:id="204" w:name="page205"/>
    <w:bookmarkEnd w:id="204"/>
    <w:p>
      <w:pPr>
        <w:jc w:val="center"/>
        <w:ind w:right="-59"/>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AAP Class A Units</w:t>
      </w:r>
      <w:r>
        <w:rPr>
          <w:rFonts w:ascii="Arial" w:cs="Arial" w:eastAsia="Arial" w:hAnsi="Arial"/>
          <w:sz w:val="17"/>
          <w:szCs w:val="17"/>
          <w:color w:val="auto"/>
        </w:rPr>
        <w:t>” means Class A Units (as defined in the AAP Partnership Agreement) representing limited partner interests in AAP.</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AAP Class B Units</w:t>
      </w:r>
      <w:r>
        <w:rPr>
          <w:rFonts w:ascii="Arial" w:cs="Arial" w:eastAsia="Arial" w:hAnsi="Arial"/>
          <w:sz w:val="17"/>
          <w:szCs w:val="17"/>
          <w:color w:val="auto"/>
        </w:rPr>
        <w:t>” means Class B Units (as defined in the AAP Partnership Agreement) representing limited partner interests in AAP.</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Earned Unit</w:t>
      </w:r>
      <w:r>
        <w:rPr>
          <w:rFonts w:ascii="Arial" w:cs="Arial" w:eastAsia="Arial" w:hAnsi="Arial"/>
          <w:sz w:val="18"/>
          <w:szCs w:val="18"/>
          <w:color w:val="auto"/>
        </w:rPr>
        <w:t>” means an “Earned Unit” as defined in the AAP Partnership Agreement.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Partnership Agreement</w:t>
      </w:r>
      <w:r>
        <w:rPr>
          <w:rFonts w:ascii="Arial" w:cs="Arial" w:eastAsia="Arial" w:hAnsi="Arial"/>
          <w:sz w:val="18"/>
          <w:szCs w:val="18"/>
          <w:color w:val="auto"/>
        </w:rPr>
        <w:t>” means the Eighth Amended and Restated Limited Partnership Agreement of AAP, dated as of the date hereof, as it may be amended, modified,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Vested Unit</w:t>
      </w:r>
      <w:r>
        <w:rPr>
          <w:rFonts w:ascii="Arial" w:cs="Arial" w:eastAsia="Arial" w:hAnsi="Arial"/>
          <w:sz w:val="18"/>
          <w:szCs w:val="18"/>
          <w:color w:val="auto"/>
        </w:rPr>
        <w:t>” means a “Vested Unit” as defined in the AAP Partnership Agreement.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mean,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mean this Omnibus Agreement, as it may be amended, modified,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Consideration</w:t>
      </w:r>
      <w:r>
        <w:rPr>
          <w:rFonts w:ascii="Arial" w:cs="Arial" w:eastAsia="Arial" w:hAnsi="Arial"/>
          <w:sz w:val="18"/>
          <w:szCs w:val="18"/>
          <w:color w:val="auto"/>
        </w:rPr>
        <w:t>” shall have the meaning set forth in Section 4.2(b)(i).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Restricted Unit Agreement</w:t>
      </w:r>
      <w:r>
        <w:rPr>
          <w:rFonts w:ascii="Arial" w:cs="Arial" w:eastAsia="Arial" w:hAnsi="Arial"/>
          <w:sz w:val="18"/>
          <w:szCs w:val="18"/>
          <w:color w:val="auto"/>
        </w:rPr>
        <w:t>” has the meaning given to such term in the AAP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has the definition of such committee in the partnership agreements of PAA and PAGP, as applicable.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Derivative Shares</w:t>
      </w:r>
      <w:r>
        <w:rPr>
          <w:rFonts w:ascii="Arial" w:cs="Arial" w:eastAsia="Arial" w:hAnsi="Arial"/>
          <w:sz w:val="18"/>
          <w:szCs w:val="18"/>
          <w:color w:val="auto"/>
        </w:rPr>
        <w:t>” means any options, rights, warrants, appreciation rights, tracking, profit or phantom interests or other derivative securities relating to, convertible into or exchangeable for PAGP Class A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Benefit Plan</w:t>
      </w:r>
      <w:r>
        <w:rPr>
          <w:rFonts w:ascii="Arial" w:cs="Arial" w:eastAsia="Arial" w:hAnsi="Arial"/>
          <w:sz w:val="16"/>
          <w:szCs w:val="16"/>
          <w:color w:val="auto"/>
        </w:rPr>
        <w:t>” means a plan, contract or arrangement providing for the issuance of partnership interests in PAGP or any options, rights, warrants and appreciation rights relating to partnership interests in PAGP to or for the benefit of employees or directors of PAGP or any of its Affiliates.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 Reimbursement Fee”</w:t>
      </w:r>
      <w:r>
        <w:rPr>
          <w:rFonts w:ascii="Arial" w:cs="Arial" w:eastAsia="Arial" w:hAnsi="Arial"/>
          <w:sz w:val="18"/>
          <w:szCs w:val="18"/>
          <w:color w:val="auto"/>
        </w:rPr>
        <w:t xml:space="preserve"> shall have the meaning set forth in Section 2.1(a).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Group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Proceeds</w:t>
      </w:r>
      <w:r>
        <w:rPr>
          <w:rFonts w:ascii="Arial" w:cs="Arial" w:eastAsia="Arial" w:hAnsi="Arial"/>
          <w:sz w:val="18"/>
          <w:szCs w:val="18"/>
          <w:color w:val="auto"/>
        </w:rPr>
        <w:t>” shall have the meaning set forth in Section 4.2(a).</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PAA Voting Units</w:t>
      </w:r>
      <w:r>
        <w:rPr>
          <w:rFonts w:ascii="Arial" w:cs="Arial" w:eastAsia="Arial" w:hAnsi="Arial"/>
          <w:sz w:val="18"/>
          <w:szCs w:val="18"/>
          <w:color w:val="auto"/>
        </w:rPr>
        <w:t>” means any limited partner interest in PAA that is generally entitled to vote together with the PAA Common Units as a class pursuant to the PAA Partnership Agreement (as amended from time to time), including the PAA Series A Preferred Units. The number of Other PAA Voting Units considered outstanding from time to time for purposes of this Agreement shall, (a) with respect to the PAA Series A Preferred Units, equal the number of PAA Common Units issuable as of such time assuming the conversion of all outstanding PAA Series A Preferred Units at the then applicable Series A Conversion Rate (as such term is defined in the PAA Partnership Agreement) and (b) with respect to any other class of limited partner interest, equal the number of PAA Common Units as would have the same voting power, in the aggregate, as all of the then outstanding limited partner interests in such other class of limited partner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Common Units</w:t>
      </w:r>
      <w:r>
        <w:rPr>
          <w:rFonts w:ascii="Arial" w:cs="Arial" w:eastAsia="Arial" w:hAnsi="Arial"/>
          <w:sz w:val="18"/>
          <w:szCs w:val="18"/>
          <w:color w:val="auto"/>
        </w:rPr>
        <w:t>” means common units representing limited partner interests in PAA and having the rights and obligations specified in the PAA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Partnership Agreement</w:t>
      </w:r>
      <w:r>
        <w:rPr>
          <w:rFonts w:ascii="Arial" w:cs="Arial" w:eastAsia="Arial" w:hAnsi="Arial"/>
          <w:sz w:val="18"/>
          <w:szCs w:val="18"/>
          <w:color w:val="auto"/>
        </w:rPr>
        <w:t>” means the Sixth Amended and Restated Agreement of Limited Partnership of PAA, dated as of the date hereof, as it may be amended, modified or supplemented from time to time.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PAA Series A Preferred Unit</w:t>
      </w:r>
      <w:r>
        <w:rPr>
          <w:rFonts w:ascii="Arial" w:cs="Arial" w:eastAsia="Arial" w:hAnsi="Arial"/>
          <w:sz w:val="18"/>
          <w:szCs w:val="18"/>
          <w:color w:val="auto"/>
        </w:rPr>
        <w:t>” means a Series A Preferred Unit representing a limited partner interest in PAA and having the rights and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the PAA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A Shares</w:t>
      </w:r>
      <w:r>
        <w:rPr>
          <w:rFonts w:ascii="Arial" w:cs="Arial" w:eastAsia="Arial" w:hAnsi="Arial"/>
          <w:sz w:val="18"/>
          <w:szCs w:val="18"/>
          <w:color w:val="auto"/>
        </w:rPr>
        <w:t>” means Class A Shares representing limited partner interests in PAGP, having the rights and preferences of “Class A Shares” as contemplated by the PAGP Partnership Agreement.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B Shares</w:t>
      </w:r>
      <w:r>
        <w:rPr>
          <w:rFonts w:ascii="Arial" w:cs="Arial" w:eastAsia="Arial" w:hAnsi="Arial"/>
          <w:sz w:val="18"/>
          <w:szCs w:val="18"/>
          <w:color w:val="auto"/>
        </w:rPr>
        <w:t>” means Class B Shares representing limited partner interests in PAGP, having the rights and preferences of “Class B Shares” as contemplated by the PAGP Partnership Agreement.</w:t>
      </w:r>
    </w:p>
    <w:p>
      <w:pPr>
        <w:sectPr>
          <w:pgSz w:w="11900" w:h="16838" w:orient="portrait"/>
          <w:cols w:equalWidth="0" w:num="1">
            <w:col w:w="11360"/>
          </w:cols>
          <w:pgMar w:left="240" w:top="121" w:right="299" w:bottom="0" w:gutter="0" w:footer="0" w:header="0"/>
        </w:sectPr>
      </w:pPr>
    </w:p>
    <w:bookmarkStart w:id="205" w:name="page206"/>
    <w:bookmarkEnd w:id="205"/>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C Shares</w:t>
      </w:r>
      <w:r>
        <w:rPr>
          <w:rFonts w:ascii="Arial" w:cs="Arial" w:eastAsia="Arial" w:hAnsi="Arial"/>
          <w:sz w:val="18"/>
          <w:szCs w:val="18"/>
          <w:color w:val="auto"/>
        </w:rPr>
        <w:t>” means Class C shares representing limited partner interests in PAGP, having the rights and preferences of “Class C Shares” as contemplated by the PAGP Partnership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Entities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Offering</w:t>
      </w:r>
      <w:r>
        <w:rPr>
          <w:rFonts w:ascii="Arial" w:cs="Arial" w:eastAsia="Arial" w:hAnsi="Arial"/>
          <w:sz w:val="18"/>
          <w:szCs w:val="18"/>
          <w:color w:val="auto"/>
        </w:rPr>
        <w:t>” shall have the meaning set forth in Section 4.2(a).</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Partnership Agreement</w:t>
      </w:r>
      <w:r>
        <w:rPr>
          <w:rFonts w:ascii="Arial" w:cs="Arial" w:eastAsia="Arial" w:hAnsi="Arial"/>
          <w:sz w:val="18"/>
          <w:szCs w:val="18"/>
          <w:color w:val="auto"/>
        </w:rPr>
        <w:t>” means the Second Amended and Restated Agreement of Limited Partnership of PAGP, dated as of the date hereof, as it may be amended, modified,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shall mean any one of the Persons that executes this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Simplification Agreement</w:t>
      </w:r>
      <w:r>
        <w:rPr>
          <w:rFonts w:ascii="Arial" w:cs="Arial" w:eastAsia="Arial" w:hAnsi="Arial"/>
          <w:sz w:val="18"/>
          <w:szCs w:val="18"/>
          <w:color w:val="auto"/>
        </w:rPr>
        <w:t>” means that certain Simplification Agreement, by and among the Parties hereto, dated as of July 11, 2016, as it may be amended, modified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Stipulated Conversion Factor”</w:t>
      </w:r>
      <w:r>
        <w:rPr>
          <w:rFonts w:ascii="Arial" w:cs="Arial" w:eastAsia="Arial" w:hAnsi="Arial"/>
          <w:sz w:val="18"/>
          <w:szCs w:val="18"/>
          <w:color w:val="auto"/>
        </w:rPr>
        <w:t xml:space="preserve"> means 0.9413316.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has the meaning given such term in the Simplification 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Trigger Event</w:t>
      </w:r>
      <w:r>
        <w:rPr>
          <w:rFonts w:ascii="Arial" w:cs="Arial" w:eastAsia="Arial" w:hAnsi="Arial"/>
          <w:sz w:val="16"/>
          <w:szCs w:val="16"/>
          <w:color w:val="auto"/>
        </w:rPr>
        <w:t>” means any of the following (i) PAGP GP ceasing to own, directly or indirectly, all of the outstanding general partner interests in, and ceasing to act as the general partner of PAGP, (ii) PAGP or an Affiliate ceasing to own, directly or indirectly, all of the outstanding equity interests in and ceasing to act as the sole member or manager of, GP LLC, (iii) GP LLC or an Affiliate ceasing to own, directly or indirectly, all of the outstanding general partner interests in, and ceasing to act as the general partner of AAP, (iv) AAP or an Affiliate ceasing to own, directly or indirectly, all of the outstanding equity interests in, and ceasing to act as the sole member or manager of, PAA GP, (v) PAA GP or an Affiliate ceasing to own, directly or indirectly, all of the outstanding general partner interests in, and ceasing to act as as the general partner of PAA, (vi) PAGP or any of its subsidiaries (including AAP) other than PAA and its subsidiaries (A) engaging in any business or operations other than the direct and indirect investment in and management of PAA and its subsidiaries, (B) making any investment in any Person other than any direct or indirect investment in PAA and its subsidiaries or (C) incurring any liabilities other than those resulting from its investment in and management of PAA and permitted by this Agreement (including any borrowings the proceeds of which are then loaned to PAA pursuant to Section 4.3), other than, in the case of any of clauses (A) through (C), any business, operations, investment or liability that is immaterial in its nature or amount or (vii) any other event that materially frustrates the intention of the Parties set forth in Section 3.1 or Section 4.1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ADMINISTRATIVE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20" w:type="dxa"/>
            <w:vAlign w:val="bottom"/>
          </w:tcPr>
          <w:p>
            <w:pPr>
              <w:jc w:val="center"/>
              <w:ind w:right="3090"/>
              <w:spacing w:after="0"/>
              <w:rPr>
                <w:sz w:val="20"/>
                <w:szCs w:val="20"/>
                <w:color w:val="auto"/>
              </w:rPr>
            </w:pPr>
            <w:r>
              <w:rPr>
                <w:rFonts w:ascii="Arial" w:cs="Arial" w:eastAsia="Arial" w:hAnsi="Arial"/>
                <w:sz w:val="18"/>
                <w:szCs w:val="18"/>
                <w:b w:val="1"/>
                <w:bCs w:val="1"/>
                <w:color w:val="auto"/>
                <w:w w:val="98"/>
              </w:rPr>
              <w:t>TABLE OF CONTENTS</w:t>
            </w:r>
          </w:p>
        </w:tc>
      </w:tr>
      <w:tr>
        <w:trPr>
          <w:trHeight w:val="418"/>
        </w:trPr>
        <w:tc>
          <w:tcPr>
            <w:tcW w:w="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20" w:type="dxa"/>
            <w:vAlign w:val="bottom"/>
          </w:tcPr>
          <w:p>
            <w:pPr>
              <w:jc w:val="center"/>
              <w:ind w:right="3090"/>
              <w:spacing w:after="0"/>
              <w:rPr>
                <w:sz w:val="20"/>
                <w:szCs w:val="20"/>
                <w:color w:val="auto"/>
              </w:rPr>
            </w:pPr>
            <w:r>
              <w:rPr>
                <w:rFonts w:ascii="Arial" w:cs="Arial" w:eastAsia="Arial" w:hAnsi="Arial"/>
                <w:sz w:val="18"/>
                <w:szCs w:val="18"/>
                <w:color w:val="auto"/>
                <w:w w:val="96"/>
              </w:rPr>
              <w:t>ARTICLE 1</w:t>
            </w:r>
          </w:p>
        </w:tc>
      </w:tr>
      <w:tr>
        <w:trPr>
          <w:trHeight w:val="230"/>
        </w:trPr>
        <w:tc>
          <w:tcPr>
            <w:tcW w:w="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20" w:type="dxa"/>
            <w:vAlign w:val="bottom"/>
          </w:tcPr>
          <w:p>
            <w:pPr>
              <w:jc w:val="center"/>
              <w:ind w:right="3090"/>
              <w:spacing w:after="0"/>
              <w:rPr>
                <w:sz w:val="20"/>
                <w:szCs w:val="20"/>
                <w:color w:val="auto"/>
              </w:rPr>
            </w:pPr>
            <w:r>
              <w:rPr>
                <w:rFonts w:ascii="Arial" w:cs="Arial" w:eastAsia="Arial" w:hAnsi="Arial"/>
                <w:sz w:val="18"/>
                <w:szCs w:val="18"/>
                <w:color w:val="auto"/>
                <w:w w:val="98"/>
              </w:rPr>
              <w:t>DEFINITIONS</w:t>
            </w:r>
          </w:p>
        </w:tc>
      </w:tr>
      <w:tr>
        <w:trPr>
          <w:trHeight w:val="418"/>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1.1</w:t>
            </w:r>
          </w:p>
        </w:tc>
        <w:tc>
          <w:tcPr>
            <w:tcW w:w="272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8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1.2</w:t>
            </w:r>
          </w:p>
        </w:tc>
        <w:tc>
          <w:tcPr>
            <w:tcW w:w="2720" w:type="dxa"/>
            <w:vAlign w:val="bottom"/>
          </w:tcPr>
          <w:p>
            <w:pPr>
              <w:ind w:left="240"/>
              <w:spacing w:after="0"/>
              <w:rPr>
                <w:sz w:val="20"/>
                <w:szCs w:val="20"/>
                <w:color w:val="auto"/>
              </w:rPr>
            </w:pPr>
            <w:r>
              <w:rPr>
                <w:rFonts w:ascii="Arial" w:cs="Arial" w:eastAsia="Arial" w:hAnsi="Arial"/>
                <w:sz w:val="18"/>
                <w:szCs w:val="18"/>
                <w:color w:val="auto"/>
              </w:rPr>
              <w:t>Construction</w:t>
            </w:r>
          </w:p>
        </w:tc>
        <w:tc>
          <w:tcPr>
            <w:tcW w:w="822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5" w:right="239" w:bottom="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2</w:t>
            </w:r>
          </w:p>
        </w:tc>
        <w:tc>
          <w:tcPr>
            <w:tcW w:w="23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2"/>
              </w:rPr>
              <w:t>SERVICES</w:t>
            </w:r>
          </w:p>
        </w:tc>
        <w:tc>
          <w:tcPr>
            <w:tcW w:w="23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8580" w:type="dxa"/>
            <w:vAlign w:val="bottom"/>
          </w:tcPr>
          <w:p>
            <w:pPr>
              <w:ind w:left="200"/>
              <w:spacing w:after="0"/>
              <w:rPr>
                <w:sz w:val="20"/>
                <w:szCs w:val="20"/>
                <w:color w:val="auto"/>
              </w:rPr>
            </w:pPr>
            <w:r>
              <w:rPr>
                <w:rFonts w:ascii="Arial" w:cs="Arial" w:eastAsia="Arial" w:hAnsi="Arial"/>
                <w:sz w:val="18"/>
                <w:szCs w:val="18"/>
                <w:color w:val="auto"/>
              </w:rPr>
              <w:t>GP LLC Services; Term</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8580" w:type="dxa"/>
            <w:vAlign w:val="bottom"/>
          </w:tcPr>
          <w:p>
            <w:pPr>
              <w:ind w:left="200"/>
              <w:spacing w:after="0"/>
              <w:rPr>
                <w:sz w:val="20"/>
                <w:szCs w:val="20"/>
                <w:color w:val="auto"/>
              </w:rPr>
            </w:pPr>
            <w:r>
              <w:rPr>
                <w:rFonts w:ascii="Arial" w:cs="Arial" w:eastAsia="Arial" w:hAnsi="Arial"/>
                <w:sz w:val="18"/>
                <w:szCs w:val="18"/>
                <w:color w:val="auto"/>
              </w:rPr>
              <w:t>Dispute Regarding Services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8580" w:type="dxa"/>
            <w:vAlign w:val="bottom"/>
          </w:tcPr>
          <w:p>
            <w:pPr>
              <w:ind w:left="200"/>
              <w:spacing w:after="0"/>
              <w:rPr>
                <w:sz w:val="20"/>
                <w:szCs w:val="20"/>
                <w:color w:val="auto"/>
              </w:rPr>
            </w:pPr>
            <w:r>
              <w:rPr>
                <w:rFonts w:ascii="Arial" w:cs="Arial" w:eastAsia="Arial" w:hAnsi="Arial"/>
                <w:sz w:val="18"/>
                <w:szCs w:val="18"/>
                <w:color w:val="auto"/>
              </w:rPr>
              <w:t>Representations Regarding Use of Services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8580" w:type="dxa"/>
            <w:vAlign w:val="bottom"/>
          </w:tcPr>
          <w:p>
            <w:pPr>
              <w:ind w:left="200"/>
              <w:spacing w:after="0"/>
              <w:rPr>
                <w:sz w:val="20"/>
                <w:szCs w:val="20"/>
                <w:color w:val="auto"/>
              </w:rPr>
            </w:pPr>
            <w:r>
              <w:rPr>
                <w:rFonts w:ascii="Arial" w:cs="Arial" w:eastAsia="Arial" w:hAnsi="Arial"/>
                <w:sz w:val="18"/>
                <w:szCs w:val="18"/>
                <w:color w:val="auto"/>
              </w:rPr>
              <w:t>Warranties; Indemnification and Limitation of Liability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2.5</w:t>
            </w:r>
          </w:p>
        </w:tc>
        <w:tc>
          <w:tcPr>
            <w:tcW w:w="8580" w:type="dxa"/>
            <w:vAlign w:val="bottom"/>
          </w:tcPr>
          <w:p>
            <w:pPr>
              <w:ind w:left="200"/>
              <w:spacing w:after="0"/>
              <w:rPr>
                <w:sz w:val="20"/>
                <w:szCs w:val="20"/>
                <w:color w:val="auto"/>
              </w:rPr>
            </w:pPr>
            <w:r>
              <w:rPr>
                <w:rFonts w:ascii="Arial" w:cs="Arial" w:eastAsia="Arial" w:hAnsi="Arial"/>
                <w:sz w:val="18"/>
                <w:szCs w:val="18"/>
                <w:color w:val="auto"/>
              </w:rPr>
              <w:t>Force Majeure</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2.6</w:t>
            </w:r>
          </w:p>
        </w:tc>
        <w:tc>
          <w:tcPr>
            <w:tcW w:w="8580" w:type="dxa"/>
            <w:vAlign w:val="bottom"/>
          </w:tcPr>
          <w:p>
            <w:pPr>
              <w:ind w:left="200"/>
              <w:spacing w:after="0"/>
              <w:rPr>
                <w:sz w:val="20"/>
                <w:szCs w:val="20"/>
                <w:color w:val="auto"/>
              </w:rPr>
            </w:pPr>
            <w:r>
              <w:rPr>
                <w:rFonts w:ascii="Arial" w:cs="Arial" w:eastAsia="Arial" w:hAnsi="Arial"/>
                <w:sz w:val="18"/>
                <w:szCs w:val="18"/>
                <w:color w:val="auto"/>
              </w:rPr>
              <w:t>Affiliates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20" w:type="dxa"/>
            <w:vAlign w:val="bottom"/>
          </w:tcPr>
          <w:p>
            <w:pPr>
              <w:spacing w:after="0"/>
              <w:rPr>
                <w:sz w:val="24"/>
                <w:szCs w:val="24"/>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3</w:t>
            </w:r>
          </w:p>
        </w:tc>
        <w:tc>
          <w:tcPr>
            <w:tcW w:w="23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3"/>
              </w:rPr>
              <w:t>BUSINESS OPPORTUNITIES</w:t>
            </w:r>
          </w:p>
        </w:tc>
        <w:tc>
          <w:tcPr>
            <w:tcW w:w="232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8580" w:type="dxa"/>
            <w:vAlign w:val="bottom"/>
          </w:tcPr>
          <w:p>
            <w:pPr>
              <w:ind w:left="200"/>
              <w:spacing w:after="0"/>
              <w:rPr>
                <w:sz w:val="20"/>
                <w:szCs w:val="20"/>
                <w:color w:val="auto"/>
              </w:rPr>
            </w:pPr>
            <w:r>
              <w:rPr>
                <w:rFonts w:ascii="Arial" w:cs="Arial" w:eastAsia="Arial" w:hAnsi="Arial"/>
                <w:sz w:val="18"/>
                <w:szCs w:val="18"/>
                <w:color w:val="auto"/>
              </w:rPr>
              <w:t>Business Opportunities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20" w:type="dxa"/>
            <w:vAlign w:val="bottom"/>
          </w:tcPr>
          <w:p>
            <w:pPr>
              <w:spacing w:after="0"/>
              <w:rPr>
                <w:sz w:val="24"/>
                <w:szCs w:val="24"/>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4</w:t>
            </w:r>
          </w:p>
        </w:tc>
        <w:tc>
          <w:tcPr>
            <w:tcW w:w="23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10"/>
              <w:spacing w:after="0"/>
              <w:rPr>
                <w:sz w:val="20"/>
                <w:szCs w:val="20"/>
                <w:color w:val="auto"/>
              </w:rPr>
            </w:pPr>
            <w:r>
              <w:rPr>
                <w:rFonts w:ascii="Arial" w:cs="Arial" w:eastAsia="Arial" w:hAnsi="Arial"/>
                <w:sz w:val="18"/>
                <w:szCs w:val="18"/>
                <w:color w:val="auto"/>
                <w:w w:val="95"/>
              </w:rPr>
              <w:t>OTHER AGREEMENTS</w:t>
            </w:r>
          </w:p>
        </w:tc>
        <w:tc>
          <w:tcPr>
            <w:tcW w:w="23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8580" w:type="dxa"/>
            <w:vAlign w:val="bottom"/>
          </w:tcPr>
          <w:p>
            <w:pPr>
              <w:ind w:left="200"/>
              <w:spacing w:after="0"/>
              <w:rPr>
                <w:sz w:val="20"/>
                <w:szCs w:val="20"/>
                <w:color w:val="auto"/>
              </w:rPr>
            </w:pPr>
            <w:r>
              <w:rPr>
                <w:rFonts w:ascii="Arial" w:cs="Arial" w:eastAsia="Arial" w:hAnsi="Arial"/>
                <w:sz w:val="18"/>
                <w:szCs w:val="18"/>
                <w:color w:val="auto"/>
              </w:rPr>
              <w:t>Joint Litigation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8580" w:type="dxa"/>
            <w:vAlign w:val="bottom"/>
          </w:tcPr>
          <w:p>
            <w:pPr>
              <w:ind w:left="200"/>
              <w:spacing w:after="0"/>
              <w:rPr>
                <w:sz w:val="20"/>
                <w:szCs w:val="20"/>
                <w:color w:val="auto"/>
              </w:rPr>
            </w:pPr>
            <w:r>
              <w:rPr>
                <w:rFonts w:ascii="Arial" w:cs="Arial" w:eastAsia="Arial" w:hAnsi="Arial"/>
                <w:sz w:val="18"/>
                <w:szCs w:val="18"/>
                <w:color w:val="auto"/>
              </w:rPr>
              <w:t>Grant of License</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20" w:type="dxa"/>
            <w:vAlign w:val="bottom"/>
          </w:tcPr>
          <w:p>
            <w:pPr>
              <w:spacing w:after="0"/>
              <w:rPr>
                <w:sz w:val="24"/>
                <w:szCs w:val="24"/>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5</w:t>
            </w:r>
          </w:p>
        </w:tc>
        <w:tc>
          <w:tcPr>
            <w:tcW w:w="23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10"/>
              <w:spacing w:after="0"/>
              <w:rPr>
                <w:sz w:val="20"/>
                <w:szCs w:val="20"/>
                <w:color w:val="auto"/>
              </w:rPr>
            </w:pPr>
            <w:r>
              <w:rPr>
                <w:rFonts w:ascii="Arial" w:cs="Arial" w:eastAsia="Arial" w:hAnsi="Arial"/>
                <w:sz w:val="18"/>
                <w:szCs w:val="18"/>
                <w:color w:val="auto"/>
                <w:w w:val="97"/>
              </w:rPr>
              <w:t>MISCELLANEOUS</w:t>
            </w:r>
          </w:p>
        </w:tc>
        <w:tc>
          <w:tcPr>
            <w:tcW w:w="23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8580" w:type="dxa"/>
            <w:vAlign w:val="bottom"/>
          </w:tcPr>
          <w:p>
            <w:pPr>
              <w:ind w:left="200"/>
              <w:spacing w:after="0"/>
              <w:rPr>
                <w:sz w:val="20"/>
                <w:szCs w:val="20"/>
                <w:color w:val="auto"/>
              </w:rPr>
            </w:pPr>
            <w:r>
              <w:rPr>
                <w:rFonts w:ascii="Arial" w:cs="Arial" w:eastAsia="Arial" w:hAnsi="Arial"/>
                <w:sz w:val="18"/>
                <w:szCs w:val="18"/>
                <w:color w:val="auto"/>
              </w:rPr>
              <w:t>Choice of Law; Submission to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5.2</w:t>
            </w:r>
          </w:p>
        </w:tc>
        <w:tc>
          <w:tcPr>
            <w:tcW w:w="8580" w:type="dxa"/>
            <w:vAlign w:val="bottom"/>
          </w:tcPr>
          <w:p>
            <w:pPr>
              <w:ind w:left="20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5.3</w:t>
            </w:r>
          </w:p>
        </w:tc>
        <w:tc>
          <w:tcPr>
            <w:tcW w:w="8580" w:type="dxa"/>
            <w:vAlign w:val="bottom"/>
          </w:tcPr>
          <w:p>
            <w:pPr>
              <w:ind w:left="200"/>
              <w:spacing w:after="0"/>
              <w:rPr>
                <w:sz w:val="20"/>
                <w:szCs w:val="20"/>
                <w:color w:val="auto"/>
              </w:rPr>
            </w:pPr>
            <w:r>
              <w:rPr>
                <w:rFonts w:ascii="Arial" w:cs="Arial" w:eastAsia="Arial" w:hAnsi="Arial"/>
                <w:sz w:val="18"/>
                <w:szCs w:val="18"/>
                <w:color w:val="auto"/>
              </w:rPr>
              <w:t>Entire Agreement; Supersedure</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5.4</w:t>
            </w:r>
          </w:p>
        </w:tc>
        <w:tc>
          <w:tcPr>
            <w:tcW w:w="8580" w:type="dxa"/>
            <w:vAlign w:val="bottom"/>
          </w:tcPr>
          <w:p>
            <w:pPr>
              <w:ind w:left="200"/>
              <w:spacing w:after="0"/>
              <w:rPr>
                <w:sz w:val="20"/>
                <w:szCs w:val="20"/>
                <w:color w:val="auto"/>
              </w:rPr>
            </w:pPr>
            <w:r>
              <w:rPr>
                <w:rFonts w:ascii="Arial" w:cs="Arial" w:eastAsia="Arial" w:hAnsi="Arial"/>
                <w:sz w:val="18"/>
                <w:szCs w:val="18"/>
                <w:color w:val="auto"/>
              </w:rPr>
              <w:t>Effect of Waiver of Consent</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5.5</w:t>
            </w:r>
          </w:p>
        </w:tc>
        <w:tc>
          <w:tcPr>
            <w:tcW w:w="8580" w:type="dxa"/>
            <w:vAlign w:val="bottom"/>
          </w:tcPr>
          <w:p>
            <w:pPr>
              <w:ind w:left="200"/>
              <w:spacing w:after="0"/>
              <w:rPr>
                <w:sz w:val="20"/>
                <w:szCs w:val="20"/>
                <w:color w:val="auto"/>
              </w:rPr>
            </w:pPr>
            <w:r>
              <w:rPr>
                <w:rFonts w:ascii="Arial" w:cs="Arial" w:eastAsia="Arial" w:hAnsi="Arial"/>
                <w:sz w:val="18"/>
                <w:szCs w:val="18"/>
                <w:color w:val="auto"/>
              </w:rPr>
              <w:t>Amendment or Modification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5.6</w:t>
            </w:r>
          </w:p>
        </w:tc>
        <w:tc>
          <w:tcPr>
            <w:tcW w:w="85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5.7</w:t>
            </w:r>
          </w:p>
        </w:tc>
        <w:tc>
          <w:tcPr>
            <w:tcW w:w="85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5.8</w:t>
            </w:r>
          </w:p>
        </w:tc>
        <w:tc>
          <w:tcPr>
            <w:tcW w:w="85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5.9</w:t>
            </w:r>
          </w:p>
        </w:tc>
        <w:tc>
          <w:tcPr>
            <w:tcW w:w="858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5.10</w:t>
            </w:r>
          </w:p>
        </w:tc>
        <w:tc>
          <w:tcPr>
            <w:tcW w:w="8580" w:type="dxa"/>
            <w:vAlign w:val="bottom"/>
          </w:tcPr>
          <w:p>
            <w:pPr>
              <w:ind w:left="200"/>
              <w:spacing w:after="0"/>
              <w:rPr>
                <w:sz w:val="20"/>
                <w:szCs w:val="20"/>
                <w:color w:val="auto"/>
              </w:rPr>
            </w:pPr>
            <w:r>
              <w:rPr>
                <w:rFonts w:ascii="Arial" w:cs="Arial" w:eastAsia="Arial" w:hAnsi="Arial"/>
                <w:sz w:val="18"/>
                <w:szCs w:val="18"/>
                <w:color w:val="auto"/>
              </w:rPr>
              <w:t>Withholding or Granting of Consent</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5.11</w:t>
            </w:r>
          </w:p>
        </w:tc>
        <w:tc>
          <w:tcPr>
            <w:tcW w:w="8580" w:type="dxa"/>
            <w:vAlign w:val="bottom"/>
          </w:tcPr>
          <w:p>
            <w:pPr>
              <w:ind w:left="200"/>
              <w:spacing w:after="0"/>
              <w:rPr>
                <w:sz w:val="20"/>
                <w:szCs w:val="20"/>
                <w:color w:val="auto"/>
              </w:rPr>
            </w:pPr>
            <w:r>
              <w:rPr>
                <w:rFonts w:ascii="Arial" w:cs="Arial" w:eastAsia="Arial" w:hAnsi="Arial"/>
                <w:sz w:val="18"/>
                <w:szCs w:val="18"/>
                <w:color w:val="auto"/>
              </w:rPr>
              <w:t>U.S. Currency</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5.12</w:t>
            </w:r>
          </w:p>
        </w:tc>
        <w:tc>
          <w:tcPr>
            <w:tcW w:w="8580" w:type="dxa"/>
            <w:vAlign w:val="bottom"/>
          </w:tcPr>
          <w:p>
            <w:pPr>
              <w:ind w:left="200"/>
              <w:spacing w:after="0"/>
              <w:rPr>
                <w:sz w:val="20"/>
                <w:szCs w:val="20"/>
                <w:color w:val="auto"/>
              </w:rPr>
            </w:pPr>
            <w:r>
              <w:rPr>
                <w:rFonts w:ascii="Arial" w:cs="Arial" w:eastAsia="Arial" w:hAnsi="Arial"/>
                <w:sz w:val="18"/>
                <w:szCs w:val="18"/>
                <w:color w:val="auto"/>
              </w:rPr>
              <w:t>Laws and Regulations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5.13</w:t>
            </w:r>
          </w:p>
        </w:tc>
        <w:tc>
          <w:tcPr>
            <w:tcW w:w="8580" w:type="dxa"/>
            <w:vAlign w:val="bottom"/>
          </w:tcPr>
          <w:p>
            <w:pPr>
              <w:ind w:left="200"/>
              <w:spacing w:after="0"/>
              <w:rPr>
                <w:sz w:val="20"/>
                <w:szCs w:val="20"/>
                <w:color w:val="auto"/>
              </w:rPr>
            </w:pPr>
            <w:r>
              <w:rPr>
                <w:rFonts w:ascii="Arial" w:cs="Arial" w:eastAsia="Arial" w:hAnsi="Arial"/>
                <w:sz w:val="18"/>
                <w:szCs w:val="18"/>
                <w:color w:val="auto"/>
              </w:rPr>
              <w:t>Negation of Rights of Third Parties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5.14</w:t>
            </w:r>
          </w:p>
        </w:tc>
        <w:tc>
          <w:tcPr>
            <w:tcW w:w="858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5.15</w:t>
            </w:r>
          </w:p>
        </w:tc>
        <w:tc>
          <w:tcPr>
            <w:tcW w:w="858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5.16</w:t>
            </w:r>
          </w:p>
        </w:tc>
        <w:tc>
          <w:tcPr>
            <w:tcW w:w="8580" w:type="dxa"/>
            <w:vAlign w:val="bottom"/>
          </w:tcPr>
          <w:p>
            <w:pPr>
              <w:ind w:left="200"/>
              <w:spacing w:after="0"/>
              <w:rPr>
                <w:sz w:val="20"/>
                <w:szCs w:val="20"/>
                <w:color w:val="auto"/>
              </w:rPr>
            </w:pPr>
            <w:r>
              <w:rPr>
                <w:rFonts w:ascii="Arial" w:cs="Arial" w:eastAsia="Arial" w:hAnsi="Arial"/>
                <w:sz w:val="18"/>
                <w:szCs w:val="18"/>
                <w:color w:val="auto"/>
              </w:rPr>
              <w:t>No Recourse Against Officers or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5.17</w:t>
            </w:r>
          </w:p>
        </w:tc>
        <w:tc>
          <w:tcPr>
            <w:tcW w:w="8580" w:type="dxa"/>
            <w:vAlign w:val="bottom"/>
          </w:tcPr>
          <w:p>
            <w:pPr>
              <w:ind w:left="200"/>
              <w:spacing w:after="0"/>
              <w:rPr>
                <w:sz w:val="20"/>
                <w:szCs w:val="20"/>
                <w:color w:val="auto"/>
              </w:rPr>
            </w:pPr>
            <w:r>
              <w:rPr>
                <w:rFonts w:ascii="Arial" w:cs="Arial" w:eastAsia="Arial" w:hAnsi="Arial"/>
                <w:sz w:val="18"/>
                <w:szCs w:val="18"/>
                <w:color w:val="auto"/>
              </w:rPr>
              <w:t>Legal Compliance</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Defined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ADMINISTRATIVE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AMENDED AND RESTATED ADMINISTRATIVE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is entered into this [·] of [·], 2016 (the “</w:t>
      </w:r>
      <w:r>
        <w:rPr>
          <w:rFonts w:ascii="Arial" w:cs="Arial" w:eastAsia="Arial" w:hAnsi="Arial"/>
          <w:sz w:val="17"/>
          <w:szCs w:val="17"/>
          <w:i w:val="1"/>
          <w:iCs w:val="1"/>
          <w:color w:val="auto"/>
        </w:rPr>
        <w:t>Effective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Date</w:t>
      </w:r>
      <w:r>
        <w:rPr>
          <w:rFonts w:ascii="Arial" w:cs="Arial" w:eastAsia="Arial" w:hAnsi="Arial"/>
          <w:sz w:val="17"/>
          <w:szCs w:val="17"/>
          <w:color w:val="auto"/>
        </w:rPr>
        <w:t>”), by and among Plains GP Holdings, L.P., a Delaware limited partnership (“</w:t>
      </w:r>
      <w:r>
        <w:rPr>
          <w:rFonts w:ascii="Arial" w:cs="Arial" w:eastAsia="Arial" w:hAnsi="Arial"/>
          <w:sz w:val="17"/>
          <w:szCs w:val="17"/>
          <w:i w:val="1"/>
          <w:iCs w:val="1"/>
          <w:color w:val="auto"/>
        </w:rPr>
        <w:t>PAGP</w:t>
      </w:r>
      <w:r>
        <w:rPr>
          <w:rFonts w:ascii="Arial" w:cs="Arial" w:eastAsia="Arial" w:hAnsi="Arial"/>
          <w:sz w:val="17"/>
          <w:szCs w:val="17"/>
          <w:color w:val="auto"/>
        </w:rPr>
        <w:t>”), PAA GP Holdings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PAGP GP</w:t>
      </w:r>
      <w:r>
        <w:rPr>
          <w:rFonts w:ascii="Arial" w:cs="Arial" w:eastAsia="Arial" w:hAnsi="Arial"/>
          <w:sz w:val="16"/>
          <w:szCs w:val="16"/>
          <w:color w:val="auto"/>
        </w:rPr>
        <w:t>”), Plains All American Pipeline, L.P., a Delaware limited partnership (“</w:t>
      </w:r>
      <w:r>
        <w:rPr>
          <w:rFonts w:ascii="Arial" w:cs="Arial" w:eastAsia="Arial" w:hAnsi="Arial"/>
          <w:sz w:val="16"/>
          <w:szCs w:val="16"/>
          <w:i w:val="1"/>
          <w:iCs w:val="1"/>
          <w:color w:val="auto"/>
        </w:rPr>
        <w:t>PAA</w:t>
      </w:r>
      <w:r>
        <w:rPr>
          <w:rFonts w:ascii="Arial" w:cs="Arial" w:eastAsia="Arial" w:hAnsi="Arial"/>
          <w:sz w:val="16"/>
          <w:szCs w:val="16"/>
          <w:color w:val="auto"/>
        </w:rPr>
        <w:t>”), PAA GP LLC, a Delaware limited liability company (“</w:t>
      </w:r>
      <w:r>
        <w:rPr>
          <w:rFonts w:ascii="Arial" w:cs="Arial" w:eastAsia="Arial" w:hAnsi="Arial"/>
          <w:sz w:val="16"/>
          <w:szCs w:val="16"/>
          <w:i w:val="1"/>
          <w:iCs w:val="1"/>
          <w:color w:val="auto"/>
        </w:rPr>
        <w:t>PAA GP</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Plains AAP, L.P., a Delaware limited partnership (“</w:t>
      </w:r>
      <w:r>
        <w:rPr>
          <w:rFonts w:ascii="Arial" w:cs="Arial" w:eastAsia="Arial" w:hAnsi="Arial"/>
          <w:sz w:val="16"/>
          <w:szCs w:val="16"/>
          <w:i w:val="1"/>
          <w:iCs w:val="1"/>
          <w:color w:val="auto"/>
        </w:rPr>
        <w:t>AAP</w:t>
      </w:r>
      <w:r>
        <w:rPr>
          <w:rFonts w:ascii="Arial" w:cs="Arial" w:eastAsia="Arial" w:hAnsi="Arial"/>
          <w:sz w:val="16"/>
          <w:szCs w:val="16"/>
          <w:color w:val="auto"/>
        </w:rPr>
        <w:t>,” together with PAGP, PAGP GP and their direct and indirect subsidiaries (other than members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GP LLC Group), the “</w:t>
      </w:r>
      <w:r>
        <w:rPr>
          <w:rFonts w:ascii="Arial" w:cs="Arial" w:eastAsia="Arial" w:hAnsi="Arial"/>
          <w:sz w:val="16"/>
          <w:szCs w:val="16"/>
          <w:i w:val="1"/>
          <w:iCs w:val="1"/>
          <w:color w:val="auto"/>
        </w:rPr>
        <w:t>PAGP Entities</w:t>
      </w:r>
      <w:r>
        <w:rPr>
          <w:rFonts w:ascii="Arial" w:cs="Arial" w:eastAsia="Arial" w:hAnsi="Arial"/>
          <w:sz w:val="16"/>
          <w:szCs w:val="16"/>
          <w:color w:val="auto"/>
        </w:rPr>
        <w:t>”) and Plains All American GP LLC, a Delaware limited liability company (“</w:t>
      </w:r>
      <w:r>
        <w:rPr>
          <w:rFonts w:ascii="Arial" w:cs="Arial" w:eastAsia="Arial" w:hAnsi="Arial"/>
          <w:sz w:val="16"/>
          <w:szCs w:val="16"/>
          <w:i w:val="1"/>
          <w:iCs w:val="1"/>
          <w:color w:val="auto"/>
        </w:rPr>
        <w:t>GP LLC</w:t>
      </w:r>
      <w:r>
        <w:rPr>
          <w:rFonts w:ascii="Arial" w:cs="Arial" w:eastAsia="Arial" w:hAnsi="Arial"/>
          <w:sz w:val="16"/>
          <w:szCs w:val="16"/>
          <w:color w:val="auto"/>
        </w:rPr>
        <w:t>,” together with PAA GP, PAA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direct and indirect subsidiaries (other than AAP), the “</w:t>
      </w:r>
      <w:r>
        <w:rPr>
          <w:rFonts w:ascii="Arial" w:cs="Arial" w:eastAsia="Arial" w:hAnsi="Arial"/>
          <w:sz w:val="16"/>
          <w:szCs w:val="16"/>
          <w:i w:val="1"/>
          <w:iCs w:val="1"/>
          <w:color w:val="auto"/>
        </w:rPr>
        <w:t>GP LLC Group</w:t>
      </w:r>
      <w:r>
        <w:rPr>
          <w:rFonts w:ascii="Arial" w:cs="Arial" w:eastAsia="Arial" w:hAnsi="Arial"/>
          <w:sz w:val="16"/>
          <w:szCs w:val="16"/>
          <w:color w:val="auto"/>
        </w:rPr>
        <w:t>”). The above-named entities are sometimes referred to in this Agreement each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Party</w:t>
      </w:r>
      <w:r>
        <w:rPr>
          <w:rFonts w:ascii="Arial" w:cs="Arial" w:eastAsia="Arial" w:hAnsi="Arial"/>
          <w:sz w:val="16"/>
          <w:szCs w:val="16"/>
          <w:color w:val="auto"/>
        </w:rPr>
        <w:t>” and collectively as the “</w:t>
      </w:r>
      <w:r>
        <w:rPr>
          <w:rFonts w:ascii="Arial" w:cs="Arial" w:eastAsia="Arial" w:hAnsi="Arial"/>
          <w:sz w:val="16"/>
          <w:szCs w:val="16"/>
          <w:i w:val="1"/>
          <w:iCs w:val="1"/>
          <w:color w:val="auto"/>
        </w:rPr>
        <w:t>Parties</w:t>
      </w:r>
      <w:r>
        <w:rPr>
          <w:rFonts w:ascii="Arial" w:cs="Arial" w:eastAsia="Arial" w:hAnsi="Arial"/>
          <w:sz w:val="16"/>
          <w:szCs w:val="16"/>
          <w:color w:val="auto"/>
        </w:rPr>
        <w:t xml:space="preserve">.” Capitalized terms not otherwise defined below have the meanings ascribed to such terms as set forth on </w:t>
      </w:r>
      <w:r>
        <w:rPr>
          <w:rFonts w:ascii="Arial" w:cs="Arial" w:eastAsia="Arial" w:hAnsi="Arial"/>
          <w:sz w:val="16"/>
          <w:szCs w:val="16"/>
          <w:u w:val="single" w:color="auto"/>
          <w:color w:val="auto"/>
        </w:rPr>
        <w:t>Exhibit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this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Parties entered into that certain Administrative Agreement, dated as of October 21, 2013 (the “</w:t>
      </w:r>
      <w:r>
        <w:rPr>
          <w:rFonts w:ascii="Arial" w:cs="Arial" w:eastAsia="Arial" w:hAnsi="Arial"/>
          <w:sz w:val="17"/>
          <w:szCs w:val="17"/>
          <w:i w:val="1"/>
          <w:iCs w:val="1"/>
          <w:color w:val="auto"/>
        </w:rPr>
        <w:t>Original Agreement</w:t>
      </w:r>
      <w:r>
        <w:rPr>
          <w:rFonts w:ascii="Arial" w:cs="Arial" w:eastAsia="Arial" w:hAnsi="Arial"/>
          <w:sz w:val="17"/>
          <w:szCs w:val="17"/>
          <w:color w:val="auto"/>
        </w:rPr>
        <w:t>”). The Parties hereby desire to enter into this Agreement, which amends and restates the Original Agreement and evidences the terms and conditions pursuant to which (i) GP LLC will provide certain services to the PAGP Entities and (ii) certain business opportunities will be allocated among the Parties.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 R E E M E N T S</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NOW, THEREFORE, in consideration of the premises and the covenants, conditions, and agreements contained herein, and for other good and valuable consideration, the receipt and sufficiency of which are hereby acknowledged, the Parties hereto hereby agree to amend and restate the Original Agreement to provide, in its entirety, as follows:</w:t>
      </w:r>
    </w:p>
    <w:p>
      <w:pPr>
        <w:sectPr>
          <w:pgSz w:w="11900" w:h="16838" w:orient="portrait"/>
          <w:cols w:equalWidth="0" w:num="1">
            <w:col w:w="11420"/>
          </w:cols>
          <w:pgMar w:left="240" w:top="125" w:right="239" w:bottom="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definitions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for all purposes, unless otherwise clearly indicated to the contrary, applied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used in this Agreement.</w:t>
      </w:r>
    </w:p>
    <w:p>
      <w:pPr>
        <w:spacing w:after="0" w:line="162"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b w:val="1"/>
          <w:bCs w:val="1"/>
          <w:color w:val="auto"/>
        </w:rPr>
        <w:t>1.2 Construction</w:t>
      </w:r>
      <w:r>
        <w:rPr>
          <w:rFonts w:ascii="Arial" w:cs="Arial" w:eastAsia="Arial" w:hAnsi="Arial"/>
          <w:sz w:val="18"/>
          <w:szCs w:val="18"/>
          <w:color w:val="auto"/>
        </w:rPr>
        <w:t>. Unless the context requires otherwise: (a) any pronoun used in this Agreement shall include the corresponding masculine,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SERVICES</w:t>
      </w:r>
    </w:p>
    <w:p>
      <w:pPr>
        <w:spacing w:after="0" w:line="20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2.1 GP LLC Services; Term</w:t>
      </w:r>
      <w:r>
        <w:rPr>
          <w:rFonts w:ascii="Arial" w:cs="Arial" w:eastAsia="Arial" w:hAnsi="Arial"/>
          <w:sz w:val="18"/>
          <w:szCs w:val="18"/>
          <w:color w:val="auto"/>
        </w:rPr>
        <w:t>. Beginning on the Effective Date and continuing until such time as this Agreement has been terminated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5.14</w:t>
      </w:r>
      <w:r>
        <w:rPr>
          <w:rFonts w:ascii="Arial" w:cs="Arial" w:eastAsia="Arial" w:hAnsi="Arial"/>
          <w:sz w:val="18"/>
          <w:szCs w:val="18"/>
          <w:color w:val="auto"/>
        </w:rPr>
        <w:t>, subject to the terms of this Article 2, GP LLC hereby agrees to provide, or to cause the GP LLC Group to provide, the PAGP Entities with such general and administrative services as may be necessary to manage and operate the business, properties and assets of the PAGP Entities; it being understood and agreed by the Parties that in connection with the provision of such services, GP LLC shall employ or otherwise retain the services of such personnel as may be necessary to cause the business, properties and assets of the PAGP Entities to be so managed and operated (individually, a “</w:t>
      </w:r>
      <w:r>
        <w:rPr>
          <w:rFonts w:ascii="Arial" w:cs="Arial" w:eastAsia="Arial" w:hAnsi="Arial"/>
          <w:sz w:val="18"/>
          <w:szCs w:val="18"/>
          <w:i w:val="1"/>
          <w:iCs w:val="1"/>
          <w:color w:val="auto"/>
        </w:rPr>
        <w:t>GP LLC</w:t>
      </w:r>
      <w:r>
        <w:rPr>
          <w:rFonts w:ascii="Arial" w:cs="Arial" w:eastAsia="Arial" w:hAnsi="Arial"/>
          <w:sz w:val="18"/>
          <w:szCs w:val="18"/>
          <w:color w:val="auto"/>
        </w:rPr>
        <w:t xml:space="preserve"> </w:t>
      </w:r>
      <w:r>
        <w:rPr>
          <w:rFonts w:ascii="Arial" w:cs="Arial" w:eastAsia="Arial" w:hAnsi="Arial"/>
          <w:sz w:val="18"/>
          <w:szCs w:val="18"/>
          <w:i w:val="1"/>
          <w:iCs w:val="1"/>
          <w:color w:val="auto"/>
        </w:rPr>
        <w:t>Service</w:t>
      </w:r>
      <w:r>
        <w:rPr>
          <w:rFonts w:ascii="Arial" w:cs="Arial" w:eastAsia="Arial" w:hAnsi="Arial"/>
          <w:sz w:val="18"/>
          <w:szCs w:val="18"/>
          <w:color w:val="auto"/>
        </w:rPr>
        <w:t>” and, collectively, the “</w:t>
      </w:r>
      <w:r>
        <w:rPr>
          <w:rFonts w:ascii="Arial" w:cs="Arial" w:eastAsia="Arial" w:hAnsi="Arial"/>
          <w:sz w:val="18"/>
          <w:szCs w:val="18"/>
          <w:i w:val="1"/>
          <w:iCs w:val="1"/>
          <w:color w:val="auto"/>
        </w:rPr>
        <w:t>GP LLC Services</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2.2 Dispute Regarding Services</w:t>
      </w:r>
      <w:r>
        <w:rPr>
          <w:rFonts w:ascii="Arial" w:cs="Arial" w:eastAsia="Arial" w:hAnsi="Arial"/>
          <w:sz w:val="18"/>
          <w:szCs w:val="18"/>
          <w:color w:val="auto"/>
        </w:rPr>
        <w:t>. Should there be a dispute over the nature or quality of the GP LLC Services, GP LLC and AAP,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PAGP Entity or Entities, shall first attempt to resolve such dispute, acting diligently and in good faith, using the past practices of such Parties as guidelines for such resolution. If GP LLC and AAP, on behalf of the applicable PAGP Entity or Entities, are unable to resolve any such dispute within thirty days, or such additional time as may be reasonable under the circumstances, unless the Parties agree to an alternative dispute resolution process, the dispute shall be referred to the applicable Conflicts Committees of PAA and PAGP for resolution. The Parties agree that the applicable Conflicts Committee shall have the authority to settle any such dispute, in its sole discretion, recognizing that it is the intent of all Parties that the dispute be resolved on a fair and reasonable basis.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2.3 Representations Regarding Use of Services</w:t>
      </w:r>
      <w:r>
        <w:rPr>
          <w:rFonts w:ascii="Arial" w:cs="Arial" w:eastAsia="Arial" w:hAnsi="Arial"/>
          <w:sz w:val="17"/>
          <w:szCs w:val="17"/>
          <w:color w:val="auto"/>
        </w:rPr>
        <w:t>. The PAGP Entities represent and agree that they will use the GP LLC Services only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all applicable federal, state and local laws and regulations, and in accordance with the reasonable conditions, rules, regulations, and specifications that may be set forth in any manuals, materials, documents, or instructions furnished from time to time by GP LLC to such PAGP Entities. GP LLC reserves the right to take all actions, including, without limitation, termination of any portion of the GP LLC Services for any PAGP Entity that it reasonably believes is required to be terminated in order to assure compliance with applicable laws and regulations.</w:t>
      </w:r>
    </w:p>
    <w:p>
      <w:pPr>
        <w:spacing w:after="0" w:line="16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b w:val="1"/>
          <w:bCs w:val="1"/>
          <w:color w:val="auto"/>
        </w:rPr>
        <w:t>2.4 Warranties; Indemnification and Limitation of Liability</w:t>
      </w:r>
      <w:r>
        <w:rPr>
          <w:rFonts w:ascii="Arial" w:cs="Arial" w:eastAsia="Arial" w:hAnsi="Arial"/>
          <w:sz w:val="17"/>
          <w:szCs w:val="17"/>
          <w:color w:val="auto"/>
        </w:rPr>
        <w:t>. GP LLC MAKES NO (AND HEREBY DISCLAIMS AND NEGATES ANY</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WARRANTIES OR REPRESENTATIONS WHATSOEVER, EXPRESS OR IMPLIED, WITH RESPECT TO THE GP LLC SERVICES. The PAGP Entities shall indemnify, defend and hold harmless the GP LLC Group and their respective directors, officers, partners, affiliates, agents or employees (the “</w:t>
      </w:r>
      <w:r>
        <w:rPr>
          <w:rFonts w:ascii="Arial" w:cs="Arial" w:eastAsia="Arial" w:hAnsi="Arial"/>
          <w:sz w:val="17"/>
          <w:szCs w:val="17"/>
          <w:i w:val="1"/>
          <w:iCs w:val="1"/>
          <w:color w:val="auto"/>
        </w:rPr>
        <w:t>Indemnified Persons</w:t>
      </w:r>
      <w:r>
        <w:rPr>
          <w:rFonts w:ascii="Arial" w:cs="Arial" w:eastAsia="Arial" w:hAnsi="Arial"/>
          <w:sz w:val="17"/>
          <w:szCs w:val="17"/>
          <w:color w:val="auto"/>
        </w:rPr>
        <w:t>”) from and against, and the PAGP Entities agree that no Indemnified Person shall have any liability to the PAGP Entities or its owners, parents, affiliates, security holders or creditors for, any losses, claims, damages or liabilities (including actions or proceedings in respect thereof) (collectively, “</w:t>
      </w:r>
      <w:r>
        <w:rPr>
          <w:rFonts w:ascii="Arial" w:cs="Arial" w:eastAsia="Arial" w:hAnsi="Arial"/>
          <w:sz w:val="17"/>
          <w:szCs w:val="17"/>
          <w:i w:val="1"/>
          <w:iCs w:val="1"/>
          <w:color w:val="auto"/>
        </w:rPr>
        <w:t>Losses</w:t>
      </w:r>
      <w:r>
        <w:rPr>
          <w:rFonts w:ascii="Arial" w:cs="Arial" w:eastAsia="Arial" w:hAnsi="Arial"/>
          <w:sz w:val="17"/>
          <w:szCs w:val="17"/>
          <w:color w:val="auto"/>
        </w:rPr>
        <w:t>”) related to or arising out of otherwise related to the GP LLC Services, except that the foregoing indemnity shall not apply to any Losses that are finally determined by a court or arbitral tribunal to have resulted primarily from the gross negligence, bad faith or willful misconduct of such Indemnified Person. IN NO EVENT SHALL THE GP LLC GROUP OR THE INDEMNIFIED PERSONS BE LIABLE TO THE PAGP ENTITIES OR TO ANY OTHER PERSON FOR ANY EXEMPLARY,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PUNITIVE, INDIRECT, INCIDENTAL, CONSEQUENTIAL, OR SPECIAL DAMAGES RESULTING FROM THE PERFORMANCE OF THE GP LLC SERVICES.</w:t>
      </w:r>
    </w:p>
    <w:p>
      <w:pPr>
        <w:spacing w:after="0" w:line="166"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b w:val="1"/>
          <w:bCs w:val="1"/>
          <w:color w:val="auto"/>
        </w:rPr>
        <w:t>2.5 Force Majeure</w:t>
      </w:r>
      <w:r>
        <w:rPr>
          <w:rFonts w:ascii="Arial" w:cs="Arial" w:eastAsia="Arial" w:hAnsi="Arial"/>
          <w:sz w:val="18"/>
          <w:szCs w:val="18"/>
          <w:color w:val="auto"/>
        </w:rPr>
        <w:t>. GP LLC shall have no obligation to perform the GP LLC Services if its failure to do so is caused by or results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God, governmental action, natural disaster, strike, failure of essential equipment, or any other cause or circumstance, whether similar or dissimilar to the foregoing causes or circumstances, beyond the reasonable control of GP LLC.</w:t>
      </w:r>
    </w:p>
    <w:p>
      <w:pPr>
        <w:spacing w:after="0" w:line="17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2.6 Affiliates</w:t>
      </w:r>
      <w:r>
        <w:rPr>
          <w:rFonts w:ascii="Arial" w:cs="Arial" w:eastAsia="Arial" w:hAnsi="Arial"/>
          <w:sz w:val="18"/>
          <w:szCs w:val="18"/>
          <w:color w:val="auto"/>
        </w:rPr>
        <w:t>. At its election, GP LLC may cause one or more of its Affiliates or third party contractors, reasonably acceptable to the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receiving any GP LLC Services, to provide such GP LLC Services;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GP LLC shall remain responsible for the provision of such GP LLC Service in accordance with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OPPORTUNITIES</w:t>
      </w:r>
    </w:p>
    <w:p>
      <w:pPr>
        <w:spacing w:after="0" w:line="207" w:lineRule="exact"/>
        <w:rPr>
          <w:sz w:val="20"/>
          <w:szCs w:val="20"/>
          <w:color w:val="auto"/>
        </w:rPr>
      </w:pPr>
    </w:p>
    <w:p>
      <w:pPr>
        <w:ind w:right="320" w:firstLine="648"/>
        <w:spacing w:after="0" w:line="258" w:lineRule="auto"/>
        <w:rPr>
          <w:sz w:val="20"/>
          <w:szCs w:val="20"/>
          <w:color w:val="auto"/>
        </w:rPr>
      </w:pPr>
      <w:r>
        <w:rPr>
          <w:rFonts w:ascii="Arial" w:cs="Arial" w:eastAsia="Arial" w:hAnsi="Arial"/>
          <w:sz w:val="18"/>
          <w:szCs w:val="18"/>
          <w:b w:val="1"/>
          <w:bCs w:val="1"/>
          <w:color w:val="auto"/>
        </w:rPr>
        <w:t>3.1 Business Opportunities</w:t>
      </w:r>
      <w:r>
        <w:rPr>
          <w:rFonts w:ascii="Arial" w:cs="Arial" w:eastAsia="Arial" w:hAnsi="Arial"/>
          <w:sz w:val="18"/>
          <w:szCs w:val="18"/>
          <w:color w:val="auto"/>
        </w:rPr>
        <w:t>. If any of the PAGP Entities or any member of the GP LLC Group is offered a business opportunity by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or discovers a business opportunity, the PAGP Entity or member of the GP LLC Group that is offered or discovers such business opportunity shall promptly advise GP LLC and present such business opportunity to PAA. PAA will have the right to pursue such business opportunity. PAGP will have the right to pursue and/or participate in such business opportunity if invited to do so by PAA, or if PAA abandons the business opportunity and GP LLC so notifies PAGP GP.</w:t>
      </w:r>
    </w:p>
    <w:p>
      <w:pPr>
        <w:sectPr>
          <w:pgSz w:w="11900" w:h="16838" w:orient="portrait"/>
          <w:cols w:equalWidth="0" w:num="1">
            <w:col w:w="11420"/>
          </w:cols>
          <w:pgMar w:left="240" w:top="122" w:right="239" w:bottom="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AGREEMENTS</w:t>
      </w:r>
    </w:p>
    <w:p>
      <w:pPr>
        <w:spacing w:after="0" w:line="20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4.1 Joint Litigation</w:t>
      </w:r>
      <w:r>
        <w:rPr>
          <w:rFonts w:ascii="Arial" w:cs="Arial" w:eastAsia="Arial" w:hAnsi="Arial"/>
          <w:sz w:val="16"/>
          <w:szCs w:val="16"/>
          <w:color w:val="auto"/>
        </w:rPr>
        <w:t>. In any litigation or proceeding involving one or more members of the PAGP Entities and one or more members of the GP</w:t>
      </w:r>
      <w:r>
        <w:rPr>
          <w:rFonts w:ascii="Arial" w:cs="Arial" w:eastAsia="Arial" w:hAnsi="Arial"/>
          <w:sz w:val="16"/>
          <w:szCs w:val="16"/>
          <w:b w:val="1"/>
          <w:bCs w:val="1"/>
          <w:color w:val="auto"/>
        </w:rPr>
        <w:t xml:space="preserve"> </w:t>
      </w:r>
      <w:r>
        <w:rPr>
          <w:rFonts w:ascii="Arial" w:cs="Arial" w:eastAsia="Arial" w:hAnsi="Arial"/>
          <w:sz w:val="16"/>
          <w:szCs w:val="16"/>
          <w:color w:val="auto"/>
        </w:rPr>
        <w:t>LLC Group, GP LLC shall have primary responsibility for assuming the defense of the related claim(s) and may employ counsel to represent jointly the PAGP Entity or PAGP Entities and the member or members of the GP LLC Group, unless PAGP GP has reasonably concluded, based on the advice of counsel, that (a) there may be a legal defense available to any PAGP Entity that is different from or in addition to those available to the GP LLC Group or</w:t>
      </w:r>
    </w:p>
    <w:p>
      <w:pPr>
        <w:spacing w:after="0" w:line="3" w:lineRule="exact"/>
        <w:rPr>
          <w:sz w:val="20"/>
          <w:szCs w:val="20"/>
          <w:color w:val="auto"/>
        </w:rPr>
      </w:pPr>
    </w:p>
    <w:p>
      <w:pPr>
        <w:ind w:right="40" w:firstLine="8"/>
        <w:spacing w:after="0" w:line="253" w:lineRule="auto"/>
        <w:tabs>
          <w:tab w:leader="none" w:pos="25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joint representation of the PAGP Entity or PAGP Entities and the member or members of the GP LLC Group by the same counsel would present a conflict due to actual or potential differing interests between them. In the event that GP LLC assumes the defense of any claim(s)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GP LLC may not settle or compromise any such claim(s) on behalf of any PAGP Entity without the prior written consent of the applicable PAGP Entity. If GP LLC assumes the defense of any claim(s)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GP LLC shall allocate the cost of such defense between the PAGP Entities and the GP LLC Group on a fair and reasonable basis.</w:t>
      </w:r>
    </w:p>
    <w:p>
      <w:pPr>
        <w:spacing w:after="0" w:line="18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4.2 Grant of License</w:t>
      </w:r>
      <w:r>
        <w:rPr>
          <w:rFonts w:ascii="Arial" w:cs="Arial" w:eastAsia="Arial" w:hAnsi="Arial"/>
          <w:sz w:val="18"/>
          <w:szCs w:val="18"/>
          <w:color w:val="auto"/>
        </w:rPr>
        <w:t>. Upon the terms and conditions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PAA hereby grants and conveys to each of the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or hereafter comprising a part of the PAGP Entities, a nontransferable, nonexclusive, royalty free right and license (the “</w:t>
      </w:r>
      <w:r>
        <w:rPr>
          <w:rFonts w:ascii="Arial" w:cs="Arial" w:eastAsia="Arial" w:hAnsi="Arial"/>
          <w:sz w:val="18"/>
          <w:szCs w:val="18"/>
          <w:i w:val="1"/>
          <w:iCs w:val="1"/>
          <w:color w:val="auto"/>
        </w:rPr>
        <w:t>License</w:t>
      </w:r>
      <w:r>
        <w:rPr>
          <w:rFonts w:ascii="Arial" w:cs="Arial" w:eastAsia="Arial" w:hAnsi="Arial"/>
          <w:sz w:val="18"/>
          <w:szCs w:val="18"/>
          <w:color w:val="auto"/>
        </w:rPr>
        <w:t>”) to use the names “PAA” and “Plains” (the “</w:t>
      </w:r>
      <w:r>
        <w:rPr>
          <w:rFonts w:ascii="Arial" w:cs="Arial" w:eastAsia="Arial" w:hAnsi="Arial"/>
          <w:sz w:val="18"/>
          <w:szCs w:val="18"/>
          <w:i w:val="1"/>
          <w:iCs w:val="1"/>
          <w:color w:val="auto"/>
        </w:rPr>
        <w:t>Names</w:t>
      </w:r>
      <w:r>
        <w:rPr>
          <w:rFonts w:ascii="Arial" w:cs="Arial" w:eastAsia="Arial" w:hAnsi="Arial"/>
          <w:sz w:val="18"/>
          <w:szCs w:val="18"/>
          <w:color w:val="auto"/>
        </w:rPr>
        <w:t>”) and any associated or related marks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Marks</w:t>
      </w:r>
      <w:r>
        <w:rPr>
          <w:rFonts w:ascii="Arial" w:cs="Arial" w:eastAsia="Arial" w:hAnsi="Arial"/>
          <w:sz w:val="16"/>
          <w:szCs w:val="16"/>
          <w:color w:val="auto"/>
        </w:rPr>
        <w:t xml:space="preserve">”). PAGP agrees that ownership of the Names and the Marks and the goodwill relating thereto shall remain vested in PAA both during the term of the License and thereafter, and PAGP further agrees, and agrees to cause the other PAGP Entities, never to challenge, contest or question the validity of PAA’s ownership of the Names and the Marks or any registration thereto by PAA. In connection with the use of the Names and the Marks, PAGP and any other PAGP Entity shall not in any manner represent that they have any ownership in the Names and the Marks or registration thereof except as set forth herein, and PAGP, on behalf of itself and the other PAGP Entities, acknowledges that the use of the Names and the Marks shall not create any right, title or interest in or to the Names and the Marks, and all use of the Names and the Marks by PAGP or any other PAGP Entity, shall inure to the benefit of PAA. PAGP agrees, and agrees to cause the other PAGP Entities, to use the Names and the Marks in accordance with such quality standards established by PAA and communicated to PAGP from time to time, it being understood that the products and services offered by the PAGP Entities immediately before the date of this Agreement are of a quality that is acceptable to PAA and justify the License. The License shall terminate upon a termination of this Agreement pursuant to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5.1 Choice of Law; Submission to Jurisdiction</w:t>
      </w:r>
      <w:r>
        <w:rPr>
          <w:rFonts w:ascii="Arial" w:cs="Arial" w:eastAsia="Arial" w:hAnsi="Arial"/>
          <w:sz w:val="18"/>
          <w:szCs w:val="18"/>
          <w:color w:val="auto"/>
        </w:rPr>
        <w:t>. This Agreement shall be subject to and governed by the laws of the State of Texas.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hereby submits to the exclusive jurisdiction of the state and federal courts in the State of Texas and to exclusive venue in Houston, Harris County, Texas.</w:t>
      </w:r>
    </w:p>
    <w:p>
      <w:pPr>
        <w:spacing w:after="0" w:line="176"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b w:val="1"/>
          <w:bCs w:val="1"/>
          <w:color w:val="auto"/>
        </w:rPr>
        <w:t>5.2 Notices</w:t>
      </w:r>
      <w:r>
        <w:rPr>
          <w:rFonts w:ascii="Arial" w:cs="Arial" w:eastAsia="Arial" w:hAnsi="Arial"/>
          <w:sz w:val="17"/>
          <w:szCs w:val="17"/>
          <w:color w:val="auto"/>
        </w:rPr>
        <w:t>. All notices or requests or consents provided for or permitted to be given pursuant to this Agreement must be in writing and must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by notice given in the manner provided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2"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5.3 Entire Agreement; Supersedure</w:t>
      </w:r>
      <w:r>
        <w:rPr>
          <w:rFonts w:ascii="Arial" w:cs="Arial" w:eastAsia="Arial" w:hAnsi="Arial"/>
          <w:sz w:val="17"/>
          <w:szCs w:val="17"/>
          <w:color w:val="auto"/>
        </w:rPr>
        <w:t>. This Agreement constitutes the entire agreement of the Parties relating to the matters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superseding all prior contracts or agreements among the Parties, whether oral or written, relating to the matters contained herein.</w:t>
      </w:r>
    </w:p>
    <w:p>
      <w:pPr>
        <w:spacing w:after="0" w:line="13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5.4 Effect of Waiver of Consent</w:t>
      </w:r>
      <w:r>
        <w:rPr>
          <w:rFonts w:ascii="Arial" w:cs="Arial" w:eastAsia="Arial" w:hAnsi="Arial"/>
          <w:sz w:val="18"/>
          <w:szCs w:val="18"/>
          <w:color w:val="auto"/>
        </w:rPr>
        <w:t>. No Party’s express or implied waiver of, or consent to, any breach or default by any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Party in default, irrespective of how long such failure continues, shall not constitute a waiver by such Party of its rights hereunder until the applicable statute of limitations period has run.</w:t>
      </w:r>
    </w:p>
    <w:p>
      <w:pPr>
        <w:spacing w:after="0" w:line="166"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b w:val="1"/>
          <w:bCs w:val="1"/>
          <w:color w:val="auto"/>
        </w:rPr>
        <w:t>5.5 Amendment or Modification</w:t>
      </w:r>
      <w:r>
        <w:rPr>
          <w:rFonts w:ascii="Arial" w:cs="Arial" w:eastAsia="Arial" w:hAnsi="Arial"/>
          <w:sz w:val="18"/>
          <w:szCs w:val="18"/>
          <w:color w:val="auto"/>
        </w:rPr>
        <w:t>. This Agreement may be amended or modified from time to time only by the agreement of all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affected by any such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PAGP and PAA may not, without the prior approval of its Conflicts Committee, agree to any amendment or modification of this Agreement that, in the reasonable discretion of PAGP GP or PAA GP, as applicable, will materially and adversely affect the holders of equity interests of PAGP or PAA, as applicable.</w:t>
      </w:r>
    </w:p>
    <w:p>
      <w:pPr>
        <w:spacing w:after="0" w:line="18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5.6 Assignment</w:t>
      </w:r>
      <w:r>
        <w:rPr>
          <w:rFonts w:ascii="Arial" w:cs="Arial" w:eastAsia="Arial" w:hAnsi="Arial"/>
          <w:sz w:val="18"/>
          <w:szCs w:val="18"/>
          <w:color w:val="auto"/>
        </w:rPr>
        <w:t>. No Party shall have the right to assign or delegate its rights or obligations under this Agreement without the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5.7 Counterparts</w:t>
      </w:r>
      <w:r>
        <w:rPr>
          <w:rFonts w:ascii="Arial" w:cs="Arial" w:eastAsia="Arial" w:hAnsi="Arial"/>
          <w:sz w:val="18"/>
          <w:szCs w:val="18"/>
          <w:color w:val="auto"/>
        </w:rPr>
        <w:t>. This Agreement may be executed in any number of counterparts with the same effect as if all Parties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shall constitute one and the same instrument.</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5.8 Severability</w:t>
      </w:r>
      <w:r>
        <w:rPr>
          <w:rFonts w:ascii="Arial" w:cs="Arial" w:eastAsia="Arial" w:hAnsi="Arial"/>
          <w:sz w:val="18"/>
          <w:szCs w:val="18"/>
          <w:color w:val="auto"/>
        </w:rPr>
        <w:t>. If any provision of this Agreement or the application thereof to any Party or circumstance shall be held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ectPr>
          <w:pgSz w:w="11900" w:h="16838" w:orient="portrait"/>
          <w:cols w:equalWidth="0" w:num="1">
            <w:col w:w="11420"/>
          </w:cols>
          <w:pgMar w:left="240" w:top="121" w:right="239" w:bottom="0" w:gutter="0" w:footer="0" w:header="0"/>
        </w:sectPr>
      </w:pPr>
    </w:p>
    <w:bookmarkStart w:id="209" w:name="page210"/>
    <w:bookmarkEnd w:id="209"/>
    <w:p>
      <w:pPr>
        <w:spacing w:after="0" w:line="38"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5.9 Further Assurances</w:t>
      </w:r>
      <w:r>
        <w:rPr>
          <w:rFonts w:ascii="Arial" w:cs="Arial" w:eastAsia="Arial" w:hAnsi="Arial"/>
          <w:sz w:val="18"/>
          <w:szCs w:val="18"/>
          <w:color w:val="auto"/>
        </w:rPr>
        <w:t>. In connection with this Agreement and all transactions contemplated by this Agreement, each Party hereto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76"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16"/>
          <w:szCs w:val="16"/>
          <w:b w:val="1"/>
          <w:bCs w:val="1"/>
          <w:color w:val="auto"/>
        </w:rPr>
        <w:t>5.10 Withholding or Granting of Consent</w:t>
      </w:r>
      <w:r>
        <w:rPr>
          <w:rFonts w:ascii="Arial" w:cs="Arial" w:eastAsia="Arial" w:hAnsi="Arial"/>
          <w:sz w:val="16"/>
          <w:szCs w:val="16"/>
          <w:color w:val="auto"/>
        </w:rPr>
        <w:t>. Unless the consent or approval of a Party is expressly required not to be unreasonably withheld (or</w:t>
      </w:r>
      <w:r>
        <w:rPr>
          <w:rFonts w:ascii="Arial" w:cs="Arial" w:eastAsia="Arial" w:hAnsi="Arial"/>
          <w:sz w:val="16"/>
          <w:szCs w:val="16"/>
          <w:b w:val="1"/>
          <w:bCs w:val="1"/>
          <w:color w:val="auto"/>
        </w:rPr>
        <w:t xml:space="preserve"> </w:t>
      </w:r>
      <w:r>
        <w:rPr>
          <w:rFonts w:ascii="Arial" w:cs="Arial" w:eastAsia="Arial" w:hAnsi="Arial"/>
          <w:sz w:val="16"/>
          <w:szCs w:val="16"/>
          <w:color w:val="auto"/>
        </w:rPr>
        <w:t>words to similar effect),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4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5.11 U.S. Currency</w:t>
      </w:r>
      <w:r>
        <w:rPr>
          <w:rFonts w:ascii="Arial" w:cs="Arial" w:eastAsia="Arial" w:hAnsi="Arial"/>
          <w:sz w:val="18"/>
          <w:szCs w:val="18"/>
          <w:color w:val="auto"/>
        </w:rPr>
        <w:t>. All sums and amounts payable or to be payable pursuant to the provisions of this Agreement shall be payable in coin or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of the United States of America that, at the time of payment, is legal tender for the payment of public and private debts in the United States of America.</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5.12 Laws and Regulations</w:t>
      </w:r>
      <w:r>
        <w:rPr>
          <w:rFonts w:ascii="Arial" w:cs="Arial" w:eastAsia="Arial" w:hAnsi="Arial"/>
          <w:sz w:val="18"/>
          <w:szCs w:val="18"/>
          <w:color w:val="auto"/>
        </w:rPr>
        <w:t>. Notwithstanding any provision of this Agreement to the contrary, no Party hereto shall be required to take 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or fail to take any act, under this Agreement if the effect thereof would be to cause such Party to be in violation of any applicable law, statute, rule or regulation.</w:t>
      </w:r>
    </w:p>
    <w:p>
      <w:pPr>
        <w:spacing w:after="0" w:line="17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5.13 Negation of Rights of Third Parties</w:t>
      </w:r>
      <w:r>
        <w:rPr>
          <w:rFonts w:ascii="Arial" w:cs="Arial" w:eastAsia="Arial" w:hAnsi="Arial"/>
          <w:sz w:val="18"/>
          <w:szCs w:val="18"/>
          <w:color w:val="auto"/>
        </w:rPr>
        <w:t>. The provisions of this Agreement are enforceable solely by the Parties, and no limited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PAGP or PAA or other Person shall have the right to enforce any provision of this Agreement or to compel any Party to comply with the terms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648"/>
        <w:spacing w:after="0" w:line="289" w:lineRule="auto"/>
        <w:rPr>
          <w:sz w:val="20"/>
          <w:szCs w:val="20"/>
          <w:color w:val="auto"/>
        </w:rPr>
      </w:pPr>
      <w:r>
        <w:rPr>
          <w:rFonts w:ascii="Arial" w:cs="Arial" w:eastAsia="Arial" w:hAnsi="Arial"/>
          <w:sz w:val="17"/>
          <w:szCs w:val="17"/>
          <w:b w:val="1"/>
          <w:bCs w:val="1"/>
          <w:color w:val="auto"/>
        </w:rPr>
        <w:t>5.14 Termination</w:t>
      </w:r>
      <w:r>
        <w:rPr>
          <w:rFonts w:ascii="Arial" w:cs="Arial" w:eastAsia="Arial" w:hAnsi="Arial"/>
          <w:sz w:val="17"/>
          <w:szCs w:val="17"/>
          <w:color w:val="auto"/>
        </w:rPr>
        <w:t>. Upon the termination of the Omnibus Agreement, by and among the Parties, dated as of the date hereof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its terms, Article 2 hereof may be terminated by either PAA or PAGP upon written notice to the other Parties. Except as provided in the immediately preceding sentence, this Agreement shall remain in full force and effect until terminated by mutual agreement of all Parties hereto.</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Successors</w:t>
      </w:r>
      <w:r>
        <w:rPr>
          <w:rFonts w:ascii="Arial" w:cs="Arial" w:eastAsia="Arial" w:hAnsi="Arial"/>
          <w:sz w:val="16"/>
          <w:szCs w:val="16"/>
          <w:color w:val="auto"/>
        </w:rPr>
        <w:t>. 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5.16 No Recourse Against Officers or Directors</w:t>
      </w:r>
      <w:r>
        <w:rPr>
          <w:rFonts w:ascii="Arial" w:cs="Arial" w:eastAsia="Arial" w:hAnsi="Arial"/>
          <w:sz w:val="18"/>
          <w:szCs w:val="18"/>
          <w:color w:val="auto"/>
        </w:rPr>
        <w:t>. For the avoidance of doubt, the provisions of this Agreement shall not give rise to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recourse against any officer or director of PAGP, PAGP GP, PAA, AAP, PAA GP or GP LLC.</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5.17 Legal Compliance</w:t>
      </w:r>
      <w:r>
        <w:rPr>
          <w:rFonts w:ascii="Arial" w:cs="Arial" w:eastAsia="Arial" w:hAnsi="Arial"/>
          <w:sz w:val="18"/>
          <w:szCs w:val="18"/>
          <w:color w:val="auto"/>
        </w:rPr>
        <w:t>. The Parties acknowledge and agree that this Agreement, and all services provided under this Agreement, are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80" w:lineRule="exact"/>
        <w:rPr>
          <w:sz w:val="20"/>
          <w:szCs w:val="20"/>
          <w:color w:val="auto"/>
        </w:rPr>
      </w:pPr>
    </w:p>
    <w:p>
      <w:pPr>
        <w:jc w:val="both"/>
        <w:ind w:right="20" w:firstLine="1305"/>
        <w:spacing w:after="0" w:line="264" w:lineRule="auto"/>
        <w:tabs>
          <w:tab w:leader="none" w:pos="194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 and</w:t>
      </w:r>
    </w:p>
    <w:p>
      <w:pPr>
        <w:spacing w:after="0" w:line="181" w:lineRule="exact"/>
        <w:rPr>
          <w:rFonts w:ascii="Arial" w:cs="Arial" w:eastAsia="Arial" w:hAnsi="Arial"/>
          <w:sz w:val="18"/>
          <w:szCs w:val="18"/>
          <w:color w:val="auto"/>
        </w:rPr>
      </w:pPr>
    </w:p>
    <w:p>
      <w:pPr>
        <w:ind w:firstLine="1305"/>
        <w:spacing w:after="0" w:line="277" w:lineRule="auto"/>
        <w:tabs>
          <w:tab w:leader="none" w:pos="195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Parties agree that they will adhere to the Fair Labor Standards Act of 1938, as amended, any comparable state law and any law regulating the payment of wages or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PAA GP HOLDINGS LLC</w:t>
            </w:r>
          </w:p>
        </w:tc>
      </w:tr>
      <w:tr>
        <w:trPr>
          <w:trHeight w:val="216"/>
        </w:trPr>
        <w:tc>
          <w:tcPr>
            <w:tcW w:w="620" w:type="dxa"/>
            <w:vAlign w:val="bottom"/>
          </w:tcPr>
          <w:p>
            <w:pPr>
              <w:spacing w:after="0"/>
              <w:rPr>
                <w:sz w:val="18"/>
                <w:szCs w:val="18"/>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Individually and as General Partner of</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Plains GP Holdings, L.P.</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PLAINS ALL AMERICAN GP LLC, Individually and as General</w:t>
      </w:r>
    </w:p>
    <w:p>
      <w:pPr>
        <w:sectPr>
          <w:pgSz w:w="11900" w:h="16876" w:orient="portrait"/>
          <w:cols w:equalWidth="0" w:num="1">
            <w:col w:w="11420"/>
          </w:cols>
          <w:pgMar w:left="240" w:top="121" w:right="239" w:bottom="0" w:gutter="0" w:footer="0" w:header="0"/>
        </w:sectPr>
      </w:pPr>
    </w:p>
    <w:bookmarkStart w:id="210" w:name="page211"/>
    <w:bookmarkEnd w:id="210"/>
    <w:tbl>
      <w:tblPr>
        <w:tblLayout w:type="fixed"/>
        <w:tblInd w:w="57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w w:val="93"/>
              </w:rPr>
              <w:t>Partner of Plains AAP, L.P., the Sole Member of PAA GP LLC, the</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Partner of Plains All American Pipeline, L.P.</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Administrative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mean,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Agreement</w:t>
      </w:r>
      <w:r>
        <w:rPr>
          <w:rFonts w:ascii="Arial" w:cs="Arial" w:eastAsia="Arial" w:hAnsi="Arial"/>
          <w:sz w:val="16"/>
          <w:szCs w:val="16"/>
          <w:color w:val="auto"/>
        </w:rPr>
        <w:t>” shall mean this Amended and Restated Administrative Agreement, as it may be amended, modified, or supplemented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has the definition of such committee in the partnership agreements of PAA and PAGP,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Group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Services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Entities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shall mean any one of the Persons that executes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51"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TAX OPINION CERTIFICATE</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delivery of the Tax Opinion pursuant to Section 2.10(b) of the Simplification Agreement dated as of July 11, 2016 by and among Plains All American Pipeline, L.P., PAA GP LLC, Plains GP Holdings L.P., PAA GP Holdings LLC. Plains AAP, L.P., and Plains All American GP LLC (the “Simplification Agreement”), the undersigned, after due inquiry and investigation, makes the following representations on behalf of PAA, AAP and PAGP. Capitalized terms not defined herein shall have the meanings ascribed to them in the Simplification Agreement.</w:t>
      </w:r>
    </w:p>
    <w:p>
      <w:pPr>
        <w:spacing w:after="0" w:line="171" w:lineRule="exact"/>
        <w:rPr>
          <w:sz w:val="20"/>
          <w:szCs w:val="20"/>
          <w:color w:val="auto"/>
        </w:rPr>
      </w:pPr>
    </w:p>
    <w:p>
      <w:pPr>
        <w:jc w:val="both"/>
        <w:ind w:left="660" w:right="240" w:hanging="328"/>
        <w:spacing w:after="0" w:line="342" w:lineRule="auto"/>
        <w:tabs>
          <w:tab w:leader="none" w:pos="66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 am familiar with the transactions contemplated by, and the terms and provisions of, the Transaction Documents, have knowledge of the matters covered by the following representations, and am authorized to make the following representations on behalf of PAA GP, GP LLC and PAGP GP.</w:t>
      </w:r>
    </w:p>
    <w:p>
      <w:pPr>
        <w:spacing w:after="0" w:line="123"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There are no other documents, obligations, agreements, or understandings (whether oral or written) that bear on Transactions other than those described in the Transaction Documents.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All Transaction Documents have been or will be duly executed and validly executed in substantially the same form as those attached as Exhibits to the Simplification Agreement.</w:t>
      </w:r>
    </w:p>
    <w:p>
      <w:pPr>
        <w:spacing w:after="0" w:line="170"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Each of PAA, PAA GP, PAGP, PAA GP, AAP, and GP LLC (collectively, the “Plains Entities”) has been duly organized under the laws of their state or country of organization, is validly existing under such laws, and is duly qualified and in good standing in each jurisdiction in which it is required to be qualified to engage in the Transactions. Each Plains Entity has the power, authority, capacity, and legal right to enter into, and to perform its obligations under, any Transaction Document to which it is a party.</w:t>
      </w:r>
    </w:p>
    <w:p>
      <w:pPr>
        <w:spacing w:after="0" w:line="18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No election under Treasury Regulation Section 301.7701-3(c)(1)(i) has been or will be made to treat AAP, PAA, PAGP GP, or PAA GP as an association taxable as a corporation for federal income tax purposes.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Since November 18, 1998 and for each taxable year thereafter (including the current taxable year), 90 percent or more of PAA’s gross income has been and will be qualifying income within the meaning of Section 7704(d) of the Code.</w:t>
      </w:r>
    </w:p>
    <w:p>
      <w:pPr>
        <w:spacing w:after="0" w:line="170" w:lineRule="exact"/>
        <w:rPr>
          <w:rFonts w:ascii="Arial" w:cs="Arial" w:eastAsia="Arial" w:hAnsi="Arial"/>
          <w:sz w:val="18"/>
          <w:szCs w:val="18"/>
          <w:color w:val="auto"/>
        </w:rPr>
      </w:pPr>
    </w:p>
    <w:p>
      <w:pPr>
        <w:ind w:left="660" w:right="140" w:hanging="328"/>
        <w:spacing w:after="0" w:line="291" w:lineRule="auto"/>
        <w:tabs>
          <w:tab w:leader="none" w:pos="66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entire AAP Term Loan is attributable under Temporary Treasury Regulations Section 1.163-8T to amounts (i) incurred by AAP more than two years prior to July11, 2016 to fund distributions to its members and such distributions were not made in contemplation of the Transactions, or</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(ii) incurred to refinance borrowings attributable under Temporary Treasury Regulations Section 1.163-8T to capital contributions to satisfy the PAA GP’s contribution obligations under the PAA Partnership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9" w:lineRule="exact"/>
        <w:rPr>
          <w:rFonts w:ascii="Arial" w:cs="Arial" w:eastAsia="Arial" w:hAnsi="Arial"/>
          <w:sz w:val="16"/>
          <w:szCs w:val="16"/>
          <w:color w:val="auto"/>
        </w:rPr>
      </w:pPr>
    </w:p>
    <w:p>
      <w:pPr>
        <w:jc w:val="both"/>
        <w:ind w:left="660" w:right="100" w:hanging="328"/>
        <w:spacing w:after="0" w:line="264"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With the exception of the Non-Contribution Revolver Borrowings, the amount that will be outstanding under the AAP Revolving Credit Facility at Closing will be attributable under the Temporary Treasury Regulations Section 1.163-8T solely to capital contributions to PAA to satisfy PAA GP’s contribution obligations under the PAA Partnership Agreement.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On the Closing Date, the AAP Assumed Debt shall have encumbered the PAA General Partner Interest throughout the two-year period ending on the Closing 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With the exception of the AAP Assumed Debt, no liabilities will be assumed in the Transaction by PAA as part of the Transactions.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49" w:val="left"/>
        </w:tabs>
        <w:numPr>
          <w:ilvl w:val="0"/>
          <w:numId w:val="487"/>
        </w:numPr>
        <w:rPr>
          <w:rFonts w:ascii="Arial" w:cs="Arial" w:eastAsia="Arial" w:hAnsi="Arial"/>
          <w:sz w:val="18"/>
          <w:szCs w:val="18"/>
          <w:color w:val="auto"/>
        </w:rPr>
      </w:pPr>
      <w:r>
        <w:rPr>
          <w:rFonts w:ascii="Arial" w:cs="Arial" w:eastAsia="Arial" w:hAnsi="Arial"/>
          <w:sz w:val="18"/>
          <w:szCs w:val="18"/>
          <w:color w:val="auto"/>
        </w:rPr>
        <w:t>Promptly, following PAA’s assumption of the AAP Assumed Debt, the AAP Assumed Debt will be refinanced into PAA debt for which AAP bears no liability.</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5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adjustments to the value of PAA’s property required to be made pursuant to Section 5.5(d)(i) of the A&amp;R PAA Partnership Agreement are being made principally for a substantial business purpose of causing the Capital Accounts of the PAA partners to properly reflect the intended rights on liquidation of the partners.</w:t>
      </w:r>
    </w:p>
    <w:p>
      <w:pPr>
        <w:spacing w:after="0" w:line="181" w:lineRule="exact"/>
        <w:rPr>
          <w:rFonts w:ascii="Arial" w:cs="Arial" w:eastAsia="Arial" w:hAnsi="Arial"/>
          <w:sz w:val="18"/>
          <w:szCs w:val="18"/>
          <w:color w:val="auto"/>
        </w:rPr>
      </w:pPr>
    </w:p>
    <w:p>
      <w:pPr>
        <w:ind w:left="660" w:right="60" w:hanging="328"/>
        <w:spacing w:after="0" w:line="293" w:lineRule="auto"/>
        <w:tabs>
          <w:tab w:leader="none" w:pos="655" w:val="left"/>
        </w:tabs>
        <w:numPr>
          <w:ilvl w:val="0"/>
          <w:numId w:val="487"/>
        </w:numPr>
        <w:rPr>
          <w:rFonts w:ascii="Arial" w:cs="Arial" w:eastAsia="Arial" w:hAnsi="Arial"/>
          <w:sz w:val="16"/>
          <w:szCs w:val="16"/>
          <w:color w:val="auto"/>
        </w:rPr>
      </w:pPr>
      <w:r>
        <w:rPr>
          <w:rFonts w:ascii="Arial" w:cs="Arial" w:eastAsia="Arial" w:hAnsi="Arial"/>
          <w:sz w:val="16"/>
          <w:szCs w:val="16"/>
          <w:color w:val="auto"/>
        </w:rPr>
        <w:t>Following the Transactions, less than 80 percent of the value of PAA’s assets will consist of money, stocks and other equity interest in any corporation, indebtedness, options, forward or futures contracts, notional principal contracts and derivatives, foreign currency, interests in precious metals (unless used in the active conduct of a trade or business), any interests in a regulated investment company, real estate investment trust, common trust fund or publicly traded partnership, any interest an entity (other than a corporation) that is convertible into or exchangeable for any of the assets described above, any interest in an entity if substantially all of the assets of such entity consist (directly or indirectly) of any assets described above or any interest in any other entity, to the extent the value of such interest is attributable to assets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-3429635</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00" w:lineRule="exact"/>
        <w:rPr>
          <w:sz w:val="20"/>
          <w:szCs w:val="20"/>
          <w:color w:val="auto"/>
        </w:rPr>
      </w:pPr>
    </w:p>
    <w:p>
      <w:pPr>
        <w:spacing w:after="0" w:line="245"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By:</w:t>
        <w:tab/>
        <w:t>/s/ Richard K. McGee</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General Counsel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GP LLC</w:t>
      </w:r>
    </w:p>
    <w:p>
      <w:pPr>
        <w:sectPr>
          <w:pgSz w:w="11900" w:h="16838" w:orient="portrait"/>
          <w:cols w:equalWidth="0" w:num="1">
            <w:col w:w="11380"/>
          </w:cols>
          <w:pgMar w:left="240" w:top="121" w:right="279" w:bottom="23" w:gutter="0" w:footer="0" w:header="0"/>
        </w:sectPr>
      </w:pPr>
    </w:p>
    <w:bookmarkStart w:id="212" w:name="page213"/>
    <w:bookmarkEnd w:id="212"/>
    <w:p>
      <w:pPr>
        <w:ind w:left="4780"/>
        <w:spacing w:after="0"/>
        <w:tabs>
          <w:tab w:leader="none" w:pos="5280" w:val="left"/>
        </w:tabs>
        <w:rPr>
          <w:sz w:val="20"/>
          <w:szCs w:val="20"/>
          <w:color w:val="auto"/>
        </w:rPr>
      </w:pPr>
      <w:r>
        <w:rPr>
          <w:rFonts w:ascii="Arial" w:cs="Arial" w:eastAsia="Arial" w:hAnsi="Arial"/>
          <w:sz w:val="18"/>
          <w:szCs w:val="18"/>
          <w:color w:val="auto"/>
        </w:rPr>
        <w:t>By:</w:t>
        <w:tab/>
        <w:t>/s/ Richard K. McGee</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-130810</wp:posOffset>
            </wp:positionV>
            <wp:extent cx="31216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Executive Vice President, General Counsel</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GP HOLDINGS LLC</w:t>
      </w:r>
    </w:p>
    <w:p>
      <w:pPr>
        <w:spacing w:after="0" w:line="229" w:lineRule="exact"/>
        <w:rPr>
          <w:sz w:val="20"/>
          <w:szCs w:val="20"/>
          <w:color w:val="auto"/>
        </w:rPr>
      </w:pPr>
    </w:p>
    <w:p>
      <w:pPr>
        <w:ind w:left="4780"/>
        <w:spacing w:after="0"/>
        <w:tabs>
          <w:tab w:leader="none" w:pos="5280" w:val="left"/>
        </w:tabs>
        <w:rPr>
          <w:sz w:val="20"/>
          <w:szCs w:val="20"/>
          <w:color w:val="auto"/>
        </w:rPr>
      </w:pPr>
      <w:r>
        <w:rPr>
          <w:rFonts w:ascii="Arial" w:cs="Arial" w:eastAsia="Arial" w:hAnsi="Arial"/>
          <w:sz w:val="18"/>
          <w:szCs w:val="18"/>
          <w:color w:val="auto"/>
        </w:rPr>
        <w:t>By:</w:t>
        <w:tab/>
        <w:t>/s/ Richard K. McGee</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-130810</wp:posOffset>
            </wp:positionV>
            <wp:extent cx="31216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Executive Vice President,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3" w:name="page214"/>
    <w:bookmarkEnd w:id="213"/>
    <w:p>
      <w:pPr>
        <w:jc w:val="right"/>
        <w:ind w:right="40"/>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AMENDMENT NO. 1 TO THE FIFTH AMENDED AND RESTATED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Amendment No. 1 (this “Amendment”) to the Fifth Amended and Restated Agreement of Limited Partnership of Plains All American Pipeline, L.P., a Delaware limited partnership (the “Partnership”), dated as of January 28, 2016 (the “Partnership Agreement”), is hereby adopted effective as of July 10, 2016, by PAA GP LLC, a Delaware limited liability company (the “General Partner”), as general partner of the Partnership. Capitalized terms used but not defined herein are used as defined in the Partnership Agreement.</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WHEREAS, the General Partner has determined, in its discretion, that this Amendment does not adversely affect the Limited Partners in any material respect;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NOW, THEREFORE, the General Partner does hereby amend the Partnership Agreement as follows:</w:t>
      </w:r>
    </w:p>
    <w:p>
      <w:pPr>
        <w:spacing w:after="0" w:line="22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1.1 of the Partnership Agreement is hereby amended to replace the definition of Conflicts Committee as follows: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means a committee of the Board of Directors (or the applicable governing body of any successor to Plains All American GP LLC) composed entirely of two or more directors who are neither security holders, officers nor employees of the General Partner nor officers, directors or employees of any Affiliate of the General Partner (other than service as a director on the Board of Directors).</w:t>
      </w:r>
    </w:p>
    <w:p>
      <w:pPr>
        <w:spacing w:after="0" w:line="18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Partnership Agreement shall remain in full force and effect.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effected thereby.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this Amendment has been executed as of July 10,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This VOTING AGREEMENT, dated as of July 11, 2016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by and among Plains All American Pipeline, L.P., a Delaware limited partnership (“</w:t>
      </w:r>
      <w:r>
        <w:rPr>
          <w:rFonts w:ascii="Arial" w:cs="Arial" w:eastAsia="Arial" w:hAnsi="Arial"/>
          <w:sz w:val="18"/>
          <w:szCs w:val="18"/>
          <w:b w:val="1"/>
          <w:bCs w:val="1"/>
          <w:u w:val="single" w:color="auto"/>
          <w:color w:val="auto"/>
        </w:rPr>
        <w:t>PAA</w:t>
      </w:r>
      <w:r>
        <w:rPr>
          <w:rFonts w:ascii="Arial" w:cs="Arial" w:eastAsia="Arial" w:hAnsi="Arial"/>
          <w:sz w:val="18"/>
          <w:szCs w:val="18"/>
          <w:color w:val="auto"/>
        </w:rPr>
        <w:t>”), Plains GP Holdings, L.P., a Delaware limited partnership (“</w:t>
      </w:r>
      <w:r>
        <w:rPr>
          <w:rFonts w:ascii="Arial" w:cs="Arial" w:eastAsia="Arial" w:hAnsi="Arial"/>
          <w:sz w:val="18"/>
          <w:szCs w:val="18"/>
          <w:b w:val="1"/>
          <w:bCs w:val="1"/>
          <w:u w:val="single" w:color="auto"/>
          <w:color w:val="auto"/>
        </w:rPr>
        <w:t>PAGP</w:t>
      </w:r>
      <w:r>
        <w:rPr>
          <w:rFonts w:ascii="Arial" w:cs="Arial" w:eastAsia="Arial" w:hAnsi="Arial"/>
          <w:sz w:val="18"/>
          <w:szCs w:val="18"/>
          <w:color w:val="auto"/>
        </w:rPr>
        <w:t xml:space="preserve">”), and the shareholders of PAGP 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(each such shareholder, a “</w:t>
      </w:r>
      <w:r>
        <w:rPr>
          <w:rFonts w:ascii="Arial" w:cs="Arial" w:eastAsia="Arial" w:hAnsi="Arial"/>
          <w:sz w:val="18"/>
          <w:szCs w:val="18"/>
          <w:b w:val="1"/>
          <w:bCs w:val="1"/>
          <w:u w:val="single" w:color="auto"/>
          <w:color w:val="auto"/>
        </w:rPr>
        <w:t>Shareholder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Shareholders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PAA GP Holdings LLC, a Delaware limited liability company (“</w:t>
      </w:r>
      <w:r>
        <w:rPr>
          <w:rFonts w:ascii="Arial" w:cs="Arial" w:eastAsia="Arial" w:hAnsi="Arial"/>
          <w:sz w:val="18"/>
          <w:szCs w:val="18"/>
          <w:b w:val="1"/>
          <w:bCs w:val="1"/>
          <w:u w:val="single" w:color="auto"/>
          <w:color w:val="auto"/>
        </w:rPr>
        <w:t>PAGP GP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PAGP,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u w:val="single" w:color="auto"/>
          <w:color w:val="auto"/>
        </w:rPr>
        <w:t>AAP</w:t>
      </w:r>
      <w:r>
        <w:rPr>
          <w:rFonts w:ascii="Arial" w:cs="Arial" w:eastAsia="Arial" w:hAnsi="Arial"/>
          <w:sz w:val="18"/>
          <w:szCs w:val="18"/>
          <w:color w:val="auto"/>
        </w:rPr>
        <w:t>”), PAA GP LLC, a Delaware limited liability company (“</w:t>
      </w:r>
      <w:r>
        <w:rPr>
          <w:rFonts w:ascii="Arial" w:cs="Arial" w:eastAsia="Arial" w:hAnsi="Arial"/>
          <w:sz w:val="18"/>
          <w:szCs w:val="18"/>
          <w:b w:val="1"/>
          <w:bCs w:val="1"/>
          <w:u w:val="single" w:color="auto"/>
          <w:color w:val="auto"/>
        </w:rPr>
        <w:t>PAA GP</w:t>
      </w:r>
      <w:r>
        <w:rPr>
          <w:rFonts w:ascii="Arial" w:cs="Arial" w:eastAsia="Arial" w:hAnsi="Arial"/>
          <w:sz w:val="18"/>
          <w:szCs w:val="18"/>
          <w:color w:val="auto"/>
        </w:rPr>
        <w:t>”), and PAA are entering into a Simplification Agreement, dated as of the date hereof (as amended, supplemented, restated or otherwise modified from time to time, the “</w:t>
      </w:r>
      <w:r>
        <w:rPr>
          <w:rFonts w:ascii="Arial" w:cs="Arial" w:eastAsia="Arial" w:hAnsi="Arial"/>
          <w:sz w:val="18"/>
          <w:szCs w:val="18"/>
          <w:b w:val="1"/>
          <w:bCs w:val="1"/>
          <w:u w:val="single" w:color="auto"/>
          <w:color w:val="auto"/>
        </w:rPr>
        <w:t>Simplification Agreement</w:t>
      </w:r>
      <w:r>
        <w:rPr>
          <w:rFonts w:ascii="Arial" w:cs="Arial" w:eastAsia="Arial" w:hAnsi="Arial"/>
          <w:sz w:val="18"/>
          <w:szCs w:val="18"/>
          <w:color w:val="auto"/>
        </w:rPr>
        <w:t>”), pursuant to which, among other things, in exchange for the issuance by PAA to AAP of common units representing limited partner interests in PAA (“</w:t>
      </w:r>
      <w:r>
        <w:rPr>
          <w:rFonts w:ascii="Arial" w:cs="Arial" w:eastAsia="Arial" w:hAnsi="Arial"/>
          <w:sz w:val="18"/>
          <w:szCs w:val="18"/>
          <w:b w:val="1"/>
          <w:bCs w:val="1"/>
          <w:u w:val="single" w:color="auto"/>
          <w:color w:val="auto"/>
        </w:rPr>
        <w:t>PAA Common Units</w:t>
      </w:r>
      <w:r>
        <w:rPr>
          <w:rFonts w:ascii="Arial" w:cs="Arial" w:eastAsia="Arial" w:hAnsi="Arial"/>
          <w:sz w:val="18"/>
          <w:szCs w:val="18"/>
          <w:color w:val="auto"/>
        </w:rPr>
        <w:t>”), AAP will contribute to PAA the incentive distribution rights it owns in PAA and PAA GP’s 2.0% economic general partner interest in PAA will be converted into a non-economic general partner interest in PAA; and</w:t>
      </w:r>
    </w:p>
    <w:p>
      <w:pPr>
        <w:spacing w:after="0" w:line="18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each Shareholder is the record and beneficial owner in the aggregate of, and has the right to vote and dispose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Class A Shares representing limited partner interests in PAGP (“</w:t>
      </w:r>
      <w:r>
        <w:rPr>
          <w:rFonts w:ascii="Arial" w:cs="Arial" w:eastAsia="Arial" w:hAnsi="Arial"/>
          <w:sz w:val="18"/>
          <w:szCs w:val="18"/>
          <w:b w:val="1"/>
          <w:bCs w:val="1"/>
          <w:u w:val="single" w:color="auto"/>
          <w:color w:val="auto"/>
        </w:rPr>
        <w:t>PAGP Class A Shares</w:t>
      </w:r>
      <w:r>
        <w:rPr>
          <w:rFonts w:ascii="Arial" w:cs="Arial" w:eastAsia="Arial" w:hAnsi="Arial"/>
          <w:sz w:val="18"/>
          <w:szCs w:val="18"/>
          <w:color w:val="auto"/>
        </w:rPr>
        <w:t>”) and Class B Shares representing limited partner interests in PAGP (“</w:t>
      </w:r>
      <w:r>
        <w:rPr>
          <w:rFonts w:ascii="Arial" w:cs="Arial" w:eastAsia="Arial" w:hAnsi="Arial"/>
          <w:sz w:val="18"/>
          <w:szCs w:val="18"/>
          <w:b w:val="1"/>
          <w:bCs w:val="1"/>
          <w:u w:val="single" w:color="auto"/>
          <w:color w:val="auto"/>
        </w:rPr>
        <w:t>PAGP Class B Shares</w:t>
      </w:r>
      <w:r>
        <w:rPr>
          <w:rFonts w:ascii="Arial" w:cs="Arial" w:eastAsia="Arial" w:hAnsi="Arial"/>
          <w:sz w:val="18"/>
          <w:szCs w:val="18"/>
          <w:color w:val="auto"/>
        </w:rPr>
        <w:t>” and, together with the PAGP Class A Shares, the “</w:t>
      </w:r>
      <w:r>
        <w:rPr>
          <w:rFonts w:ascii="Arial" w:cs="Arial" w:eastAsia="Arial" w:hAnsi="Arial"/>
          <w:sz w:val="18"/>
          <w:szCs w:val="18"/>
          <w:b w:val="1"/>
          <w:bCs w:val="1"/>
          <w:u w:val="single" w:color="auto"/>
          <w:color w:val="auto"/>
        </w:rPr>
        <w:t>PAGP Shares</w:t>
      </w:r>
      <w:r>
        <w:rPr>
          <w:rFonts w:ascii="Arial" w:cs="Arial" w:eastAsia="Arial" w:hAnsi="Arial"/>
          <w:sz w:val="18"/>
          <w:szCs w:val="18"/>
          <w:color w:val="auto"/>
        </w:rPr>
        <w:t xml:space="preserve">”) set forth opposite such Shareholder’s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0"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PAGP GP LLC Agreement, PAGP Partnership Agreement and AAP Partnership Agreement (each as defined in the Simplification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eliminate certain fiduciary duties of the Shareholders with respect to, among other things, the matters contemplated hereby; and</w:t>
      </w:r>
    </w:p>
    <w:p>
      <w:pPr>
        <w:spacing w:after="0" w:line="116"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material condition and inducement to PAA to enter into the Simplification Agreement, PAA has required that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and each Shareholder has agreed, to enter into this agreement and abide by the covenants and obligations with respect to the Covered Shares (as hereinafter defined) set forth herein.</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representations, warranties, covenants and agreements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The following capitalized terms, as used in this Agreement, shall have the meanings set forth below. Capitalized terms used but not otherwise defined herein shall have the meanings ascribed thereto in the Simplification Agreement.</w:t>
      </w:r>
    </w:p>
    <w:p>
      <w:pPr>
        <w:spacing w:after="0" w:line="162"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Covered Shares</w:t>
      </w:r>
      <w:r>
        <w:rPr>
          <w:rFonts w:ascii="Arial" w:cs="Arial" w:eastAsia="Arial" w:hAnsi="Arial"/>
          <w:sz w:val="16"/>
          <w:szCs w:val="16"/>
          <w:color w:val="auto"/>
        </w:rPr>
        <w:t>” means, with respect to each Shareholder, such Shareholder’s Existing Shares, together with any PAGP Shares that such Shareholder acquires, either beneficially or of record, or has the right to vote (by contract or otherwise) or the right to direct the voting, on or after the date hereof, including any PAGP Shares received as dividends or distributions, as a result of a split, reverse split, combination, merger, conversion, consolidation, reorganization, reclassification, recapitalization or similar transaction, as a result of any exchange of other securities for PAGP Shares, or upon exercise, exchange or conversion of any option, warrant or other security or instrument exercisable or exchangeable for, or convertible into, PAGP Shares.</w:t>
      </w:r>
    </w:p>
    <w:p>
      <w:pPr>
        <w:spacing w:after="0" w:line="15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Shares</w:t>
      </w:r>
      <w:r>
        <w:rPr>
          <w:rFonts w:ascii="Arial" w:cs="Arial" w:eastAsia="Arial" w:hAnsi="Arial"/>
          <w:sz w:val="18"/>
          <w:szCs w:val="18"/>
          <w:color w:val="auto"/>
        </w:rPr>
        <w:t>” means, with respect to each Shareholder, all PAGP Shares owned, either beneficially or of record, by such Shareholder on the date of this Agreement.</w:t>
      </w:r>
    </w:p>
    <w:p>
      <w:pPr>
        <w:spacing w:after="0" w:line="16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Permitted Transfer</w:t>
      </w:r>
      <w:r>
        <w:rPr>
          <w:rFonts w:ascii="Arial" w:cs="Arial" w:eastAsia="Arial" w:hAnsi="Arial"/>
          <w:sz w:val="17"/>
          <w:szCs w:val="17"/>
          <w:color w:val="auto"/>
        </w:rPr>
        <w:t xml:space="preserve">” means (i) a Transfer by a Shareholder (or an Affiliate thereof) to an Affiliate of such Shareholder, provided that such transferee Affiliate, prior to the effectiveness of, and as a condition to, such Transfer, shall have executed and delivered to PAA and PAGP a written agreement, in form and substance acceptable to PAA in its sole discretion, to assume all of such transferring Shareholder’s obligations hereunder in respect of the Covered Shares subject to such Transfer and to be bound by, and comply with, the terms of this Agreement, with respect to the Covered Shares subject to such Transfer, and all other Covered Shares owned beneficially or of record from time to time by such transferee Affiliate, to the same extent as such Shareholder is bound hereunder, and to make each of the representations and warranties hereunder in respect of the Covered Shares transferred as the Shareholder shall have made hereunder and (ii) an exchange by a Shareholder of, among other things, a number of its PAGP Class B shares for a corresponding number of PAGP Class A shares pursuant to the terms of the AAP Partnership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for the avoidance of doubt, that any PAGP Class A Shares received upon such exchange shall be considered for all purposes Covered Shares under this Agreement from and after such exchange of the Covered Shares.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means, directly or indirectly, to sell, transfer, assign, pledge, encumber, hypothecate or otherwise dispose of (whether by merger, conversion or consolidation (including by conversion into securities or other consideration as a result of such merger, conversion or consolidation), by tendering into any tender or exchange offer, by testamentary disposition, by operation of law or otherwise), either voluntarily or involuntarily, or to enter into any contract, option or other arrangement or understanding with respect to the voting of or sale, transfer, conversion, assignment, pledge, encumbrance, hypothecation or other disposition of (whether by merger, conversion or consolidation (including by conversion into securities or other consideration as a result of such merger, conversion or consolidation), by tendering into any tender or exchange offer, by testamentary disposition, by operation of law or otherwise).</w:t>
      </w:r>
    </w:p>
    <w:p>
      <w:pPr>
        <w:sectPr>
          <w:pgSz w:w="11900" w:h="16838" w:orient="portrait"/>
          <w:cols w:equalWidth="0" w:num="1">
            <w:col w:w="11420"/>
          </w:cols>
          <w:pgMar w:left="240" w:top="121"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b w:val="1"/>
          <w:bCs w:val="1"/>
          <w:u w:val="single" w:color="auto"/>
          <w:color w:val="auto"/>
        </w:rPr>
        <w:t>Agreement to Vote Covered Shares</w:t>
      </w:r>
      <w:r>
        <w:rPr>
          <w:rFonts w:ascii="Arial" w:cs="Arial" w:eastAsia="Arial" w:hAnsi="Arial"/>
          <w:sz w:val="17"/>
          <w:szCs w:val="17"/>
          <w:color w:val="auto"/>
        </w:rPr>
        <w:t>. Each Shareholder hereby irrevocably and unconditionally agrees that, during the term of this Agreement, at any meeting of the shareholders of PAGP, however called, including any adjournment or postponement thereof, and in connection with any action by consent of the shareholders of PAGP (or any class or subdivision thereof) in lieu of a meeting thereof, the Shareholder shall:</w:t>
      </w:r>
    </w:p>
    <w:p>
      <w:pPr>
        <w:spacing w:after="0" w:line="162" w:lineRule="exact"/>
        <w:rPr>
          <w:sz w:val="20"/>
          <w:szCs w:val="20"/>
          <w:color w:val="auto"/>
        </w:rPr>
      </w:pPr>
    </w:p>
    <w:p>
      <w:pPr>
        <w:ind w:left="1940" w:hanging="635"/>
        <w:spacing w:after="0"/>
        <w:tabs>
          <w:tab w:leader="none" w:pos="194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appear at each such meeting and cause its Covered Shares to be counted as present thereat for purposes of calculating a quorum;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right="340" w:firstLine="645"/>
        <w:spacing w:after="0" w:line="264" w:lineRule="auto"/>
        <w:tabs>
          <w:tab w:leader="none" w:pos="196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(x) in the case of a meeting, vote (or cause to be voted), in person or by proxy, all of the Covered Shares, or (y) in the case of a proposed action by consent in lieu of a meeting, duly deliver (or cause to be duly delivered) promptly (and in any event within 48 hours after the receipt of the proposed action by consent) a consent in respect of all of the Covered Shares:</w:t>
      </w:r>
    </w:p>
    <w:p>
      <w:pPr>
        <w:spacing w:after="0" w:line="181" w:lineRule="exact"/>
        <w:rPr>
          <w:rFonts w:ascii="Arial" w:cs="Arial" w:eastAsia="Arial" w:hAnsi="Arial"/>
          <w:sz w:val="18"/>
          <w:szCs w:val="18"/>
          <w:color w:val="auto"/>
        </w:rPr>
      </w:pPr>
    </w:p>
    <w:p>
      <w:pPr>
        <w:ind w:left="1300" w:firstLine="653"/>
        <w:spacing w:after="0" w:line="277" w:lineRule="auto"/>
        <w:tabs>
          <w:tab w:leader="none" w:pos="2618"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in favor of the approval or adoption of, or consent to, the Simplification Agreement, the Transactions and any other action requested by PAGP in furtherance thereof or in connection therewith;</w:t>
      </w:r>
    </w:p>
    <w:p>
      <w:pPr>
        <w:spacing w:after="0" w:line="170" w:lineRule="exact"/>
        <w:rPr>
          <w:rFonts w:ascii="Arial" w:cs="Arial" w:eastAsia="Arial" w:hAnsi="Arial"/>
          <w:sz w:val="18"/>
          <w:szCs w:val="18"/>
          <w:color w:val="auto"/>
        </w:rPr>
      </w:pPr>
    </w:p>
    <w:p>
      <w:pPr>
        <w:ind w:left="1300" w:right="40" w:firstLine="653"/>
        <w:spacing w:after="0" w:line="264" w:lineRule="auto"/>
        <w:tabs>
          <w:tab w:leader="none" w:pos="2627"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against the approval or adoption of any action, agreement, transaction or proposal that is intended, or could reasonably be expected, to result in a material breach of any covenant, agreement, representation, warranty or any other obligation of PAGP contained in the Simplification Agreement or of such Shareholder contained in this Agreement; and</w:t>
      </w:r>
    </w:p>
    <w:p>
      <w:pPr>
        <w:spacing w:after="0" w:line="181" w:lineRule="exact"/>
        <w:rPr>
          <w:rFonts w:ascii="Arial" w:cs="Arial" w:eastAsia="Arial" w:hAnsi="Arial"/>
          <w:sz w:val="18"/>
          <w:szCs w:val="18"/>
          <w:color w:val="auto"/>
        </w:rPr>
      </w:pPr>
    </w:p>
    <w:p>
      <w:pPr>
        <w:ind w:left="1300" w:right="20" w:firstLine="653"/>
        <w:spacing w:after="0" w:line="264" w:lineRule="auto"/>
        <w:tabs>
          <w:tab w:leader="none" w:pos="2637"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against any action, agreement, transaction or proposal that is intended, would reasonably be expected, or the result of which could reasonably be expected, to materially impede, interfere with, delay, postpone, discourage, frustrate the purposes of or adversely affect any of the Transactions or any action contemplated by the Simplification Agreement.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obligations of each Shareholder specified in this Section 2.1 shall apply whether or not the PAGP Board (or any committee or subcommittee thereof) changes its recommendation with respect to the Shareholder Proposal. Further, while all other voting and other obligations of each Shareholder with respect to the Shareholder Proposal shall apply, no Shareholder is required to act by written consent with respect to the matters specifically subject to the Shareholder Proposal.</w:t>
      </w:r>
    </w:p>
    <w:p>
      <w:pPr>
        <w:spacing w:after="0" w:line="183" w:lineRule="exact"/>
        <w:rPr>
          <w:sz w:val="20"/>
          <w:szCs w:val="20"/>
          <w:color w:val="auto"/>
        </w:rPr>
      </w:pPr>
    </w:p>
    <w:p>
      <w:pPr>
        <w:ind w:right="280" w:firstLine="648"/>
        <w:spacing w:after="0" w:line="281"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b w:val="1"/>
          <w:bCs w:val="1"/>
          <w:u w:val="single" w:color="auto"/>
          <w:color w:val="auto"/>
        </w:rPr>
        <w:t>No Inconsistent Agreements</w:t>
      </w:r>
      <w:r>
        <w:rPr>
          <w:rFonts w:ascii="Arial" w:cs="Arial" w:eastAsia="Arial" w:hAnsi="Arial"/>
          <w:sz w:val="17"/>
          <w:szCs w:val="17"/>
          <w:color w:val="auto"/>
        </w:rPr>
        <w:t xml:space="preserve">. Each Shareholder hereby represents, covenants and agrees that, except for this Agreement, such Shareholder (a) has not entered into, and shall not enter into at any time while this Agreement remains in effect, any voting agreement or voting trust with respect to its Covered Shares, (b) has not granted, and shall not grant at any time while this Agreement remains in effect, a proxy, consent or power of attorney with respect to its Covered Shares (except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and (c) has not taken and shall not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take any action that would make any representation or warranty of such Shareholder contained herein untrue or incorrect in any material respect or have the effect of preventing or disabling such Shareholder from performing in any material respect any of its obligations under this Agreement.</w:t>
      </w:r>
    </w:p>
    <w:p>
      <w:pPr>
        <w:spacing w:after="0" w:line="14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b w:val="1"/>
          <w:bCs w:val="1"/>
          <w:u w:val="single" w:color="auto"/>
          <w:color w:val="auto"/>
        </w:rPr>
        <w:t>Proxy</w:t>
      </w:r>
      <w:r>
        <w:rPr>
          <w:rFonts w:ascii="Arial" w:cs="Arial" w:eastAsia="Arial" w:hAnsi="Arial"/>
          <w:sz w:val="16"/>
          <w:szCs w:val="16"/>
          <w:color w:val="auto"/>
        </w:rPr>
        <w:t xml:space="preserve">. In order to secure the obligations set forth herein, each Shareholder hereby irrevocably appoints PAA, or any nominee thereof, with full power of substitution and resubstitution, as its true and lawful proxy and attorney-in-fact, in the event that such Shareholder does not comply with its obligations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to vote or execute written consents with respect to such Shareholder’s Covered Shares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and with respect to any proposed postponements or adjournments of any meeting of the shareholders of PAGP at which any of the matters described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are to be considered. Each Shareholder hereby affirms that this proxy is coupled with an interest and shall be irrevocable, except upon termination of this Agreement, and such Shareholder will take such further action or execute such other instruments as may be necessary to effectuate the intent of this proxy and hereby revokes any proxy previously granted by such Shareholder with respect to any of its Covered Shares. PAA may, with the prior consent of PAGP, terminate this proxy with respect to any Shareholder at any time at its sole election by written notice provided to such Shareholder.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Representations and Warranties of the Shareholders</w:t>
      </w:r>
      <w:r>
        <w:rPr>
          <w:rFonts w:ascii="Arial" w:cs="Arial" w:eastAsia="Arial" w:hAnsi="Arial"/>
          <w:sz w:val="18"/>
          <w:szCs w:val="18"/>
          <w:color w:val="auto"/>
        </w:rPr>
        <w:t>. Each Shareholder (except to the extent otherwise provided herein) hereby represents and warrants to PAGP and PAA, severally for itself and with respect to its Covered Shares only, and not jointly with the other Shareholders or with respect to the Covered Shares of any other Shareholder, as follows:</w:t>
      </w:r>
    </w:p>
    <w:p>
      <w:pPr>
        <w:spacing w:after="0" w:line="180" w:lineRule="exact"/>
        <w:rPr>
          <w:sz w:val="20"/>
          <w:szCs w:val="20"/>
          <w:color w:val="auto"/>
        </w:rPr>
      </w:pPr>
    </w:p>
    <w:p>
      <w:pPr>
        <w:ind w:left="660" w:right="80" w:firstLine="645"/>
        <w:spacing w:after="0" w:line="271" w:lineRule="auto"/>
        <w:tabs>
          <w:tab w:leader="none" w:pos="1954"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Authorization; Validity of Agreement; Necessary Action</w:t>
      </w:r>
      <w:r>
        <w:rPr>
          <w:rFonts w:ascii="Arial" w:cs="Arial" w:eastAsia="Arial" w:hAnsi="Arial"/>
          <w:sz w:val="17"/>
          <w:szCs w:val="17"/>
          <w:color w:val="auto"/>
        </w:rPr>
        <w:t>. Such Shareholder has the requisite power and authority and/or capacity to execute and deliver this Agreement and to carry out its obligations hereunder. The execution and delivery by such Shareholder of this Agreement and the performance by it of the obligations hereunder have been duly and validly authorized by such Shareholder and no other actions or proceedings are required on the part of such Shareholder to authorize the execution and delivery of this Agreement or the performance by such Shareholder of its obligations hereunder. This Agreement has been duly executed and delivered by such Shareholder and, assuming the due authorization, execution and delivery of this Agreement by PAGP, constitutes a legal, valid and binding agreement of such Shareholder, enforceable against it in accordance with its terms, subject to bankruptcy, insolvency, fraudulent transfer, reorganization, moratorium and similar laws of general applicability relating to or affecting creditors’ rights and to general equitable principles.</w:t>
      </w:r>
    </w:p>
    <w:p>
      <w:pPr>
        <w:spacing w:after="0" w:line="178" w:lineRule="exact"/>
        <w:rPr>
          <w:rFonts w:ascii="Arial" w:cs="Arial" w:eastAsia="Arial" w:hAnsi="Arial"/>
          <w:sz w:val="17"/>
          <w:szCs w:val="17"/>
          <w:color w:val="auto"/>
        </w:rPr>
      </w:pPr>
    </w:p>
    <w:p>
      <w:pPr>
        <w:ind w:left="660" w:right="80" w:firstLine="645"/>
        <w:spacing w:after="0" w:line="277" w:lineRule="auto"/>
        <w:tabs>
          <w:tab w:leader="none" w:pos="1964"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Such Shareholder is the record and beneficial owner of, and has good title to, its Existing Shares, free and clear of any liens, except as may be provided for in this Agreement. All of such Shareholder’s Covered Shares from the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216" w:name="page217"/>
    <w:bookmarkEnd w:id="216"/>
    <w:p>
      <w:pPr>
        <w:ind w:left="660"/>
        <w:spacing w:after="0" w:line="287" w:lineRule="auto"/>
        <w:rPr>
          <w:sz w:val="20"/>
          <w:szCs w:val="20"/>
          <w:color w:val="auto"/>
        </w:rPr>
      </w:pPr>
      <w:r>
        <w:rPr>
          <w:rFonts w:ascii="Arial" w:cs="Arial" w:eastAsia="Arial" w:hAnsi="Arial"/>
          <w:sz w:val="16"/>
          <w:szCs w:val="16"/>
          <w:color w:val="auto"/>
        </w:rPr>
        <w:t xml:space="preserve">hereof through and on the Closing Date will be beneficially or legally owned by such Shareholder, except in the case of a Permitted Transfer of any Covered Shares (in which case this representation shall, with respect to such Covered Shares, be made by the transferee of such Covered Shares). Except as provided for in this Agreement, such Shareholder has and will have at all times through the Closing Date sole voting power (including the right to control such vote as contemplated herein), sole power of disposition, sole power to issue instructions with respect to the matters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hereof, and sole power to agree to all of the matters set forth in this Agreement, in each case with respect to all of such Shareholder’s Existing Shares and with respect to all of such Shareholder’s Covered Shares at any time through the Closing Date, except in the case of a Permitted Transfer (in which case this representation shall, with respect to such Covered Shares, be made by the transferee of such Covered Shares). Except for the Existing Shares and any Covered Shares that may be acquired upon exchange of other securities for PAGP Shares, such Shareholder does not, directly or indirectly, legally or beneficially own or have any option, warrant or other right to acquire any securities of PAGP that are or may by their terms become entitled to vote or any securities that are convertible or exchangeable into or exercisable for any securities of PAGP that are or may by their terms become entitled to vote, nor is such Shareholder subject to any contract, agreement, arrangement, understanding or relationship, other than this Agreement, that obligates it to vote, acquire or dispose of any securities of PAGP.</w:t>
      </w:r>
    </w:p>
    <w:p>
      <w:pPr>
        <w:spacing w:after="0" w:line="169" w:lineRule="exact"/>
        <w:rPr>
          <w:sz w:val="20"/>
          <w:szCs w:val="20"/>
          <w:color w:val="auto"/>
        </w:rPr>
      </w:pPr>
    </w:p>
    <w:p>
      <w:pPr>
        <w:ind w:left="660" w:firstLine="645"/>
        <w:spacing w:after="0" w:line="289" w:lineRule="auto"/>
        <w:tabs>
          <w:tab w:leader="none" w:pos="1967"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No Violation</w:t>
      </w:r>
      <w:r>
        <w:rPr>
          <w:rFonts w:ascii="Arial" w:cs="Arial" w:eastAsia="Arial" w:hAnsi="Arial"/>
          <w:sz w:val="16"/>
          <w:szCs w:val="16"/>
          <w:color w:val="auto"/>
        </w:rPr>
        <w:t>. Neither the execution and delivery of this Agreement by such Shareholder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or give rise to a right of purchase under, or result in the creation of any lien (other than under this Agreement) upon any of the properties, rights or assets (including but not limited to its Existing Shares) owned by such Shareholder under, any of the terms, conditions or provisions of any note, bond, mortgage, indenture, deed of trust, license, contract, lease, agreement or other instrument or obligation of any kind to which such Shareholder is a party or by which it or any of its properties, rights or assets may be bound, (ii) violate any Law applicable to such Shareholder or any of its properties, rights or assets, or (iii) result in a violation or breach of or conflict with its organizational and governing documents, except in the case of clause (i) as would not reasonably be expected to prevent or materially delay the ability of such Shareholder to perform its obligations hereunder.</w:t>
      </w:r>
    </w:p>
    <w:p>
      <w:pPr>
        <w:spacing w:after="0" w:line="166" w:lineRule="exact"/>
        <w:rPr>
          <w:rFonts w:ascii="Arial" w:cs="Arial" w:eastAsia="Arial" w:hAnsi="Arial"/>
          <w:sz w:val="16"/>
          <w:szCs w:val="16"/>
          <w:color w:val="auto"/>
        </w:rPr>
      </w:pPr>
    </w:p>
    <w:p>
      <w:pPr>
        <w:ind w:left="660" w:right="180" w:firstLine="645"/>
        <w:spacing w:after="0" w:line="259" w:lineRule="auto"/>
        <w:tabs>
          <w:tab w:leader="none" w:pos="1964"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consent, approval, order or authorization of, or registration, declaration or filing with, any Governmental Entity is necessary to be obtained or made by such Shareholder in connection with its execution, delivery and performance of this Agreement, except for any reports under Sections 13(d) and 16 of the Exchange Act as may be required in connection with this Agreement and the transactions contemplated hereby.</w:t>
      </w:r>
    </w:p>
    <w:p>
      <w:pPr>
        <w:spacing w:after="0" w:line="186" w:lineRule="exact"/>
        <w:rPr>
          <w:rFonts w:ascii="Arial" w:cs="Arial" w:eastAsia="Arial" w:hAnsi="Arial"/>
          <w:sz w:val="18"/>
          <w:szCs w:val="18"/>
          <w:color w:val="auto"/>
        </w:rPr>
      </w:pPr>
    </w:p>
    <w:p>
      <w:pPr>
        <w:ind w:left="660" w:right="300" w:firstLine="645"/>
        <w:spacing w:after="0" w:line="277" w:lineRule="auto"/>
        <w:tabs>
          <w:tab w:leader="none" w:pos="1967"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Reliance by PAGP and PAA</w:t>
      </w:r>
      <w:r>
        <w:rPr>
          <w:rFonts w:ascii="Arial" w:cs="Arial" w:eastAsia="Arial" w:hAnsi="Arial"/>
          <w:sz w:val="18"/>
          <w:szCs w:val="18"/>
          <w:color w:val="auto"/>
        </w:rPr>
        <w:t>. Such Shareholder understands and acknowledges that each of PAGP and PAA is entering into the Simplification Agreement in reliance upon such Shareholder’s execution and delivery of this Agreement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representations, warranties, covenants and obligations of such Shareholder contained herein.</w:t>
      </w:r>
    </w:p>
    <w:p>
      <w:pPr>
        <w:spacing w:after="0" w:line="225" w:lineRule="exact"/>
        <w:rPr>
          <w:sz w:val="20"/>
          <w:szCs w:val="20"/>
          <w:color w:val="auto"/>
        </w:rPr>
      </w:pPr>
    </w:p>
    <w:p>
      <w:pPr>
        <w:ind w:left="660" w:right="100" w:firstLine="645"/>
        <w:spacing w:after="0" w:line="297" w:lineRule="auto"/>
        <w:tabs>
          <w:tab w:leader="none" w:pos="1961" w:val="left"/>
        </w:tabs>
        <w:numPr>
          <w:ilvl w:val="0"/>
          <w:numId w:val="492"/>
        </w:numPr>
        <w:rPr>
          <w:rFonts w:ascii="Arial" w:cs="Arial" w:eastAsia="Arial" w:hAnsi="Arial"/>
          <w:sz w:val="16"/>
          <w:szCs w:val="16"/>
          <w:color w:val="auto"/>
        </w:rPr>
      </w:pPr>
      <w:r>
        <w:rPr>
          <w:rFonts w:ascii="Arial" w:cs="Arial" w:eastAsia="Arial" w:hAnsi="Arial"/>
          <w:sz w:val="16"/>
          <w:szCs w:val="16"/>
          <w:u w:val="single" w:color="auto"/>
          <w:color w:val="auto"/>
        </w:rPr>
        <w:t>Adequate Information</w:t>
      </w:r>
      <w:r>
        <w:rPr>
          <w:rFonts w:ascii="Arial" w:cs="Arial" w:eastAsia="Arial" w:hAnsi="Arial"/>
          <w:sz w:val="16"/>
          <w:szCs w:val="16"/>
          <w:color w:val="auto"/>
        </w:rPr>
        <w:t>. Such Shareholder acknowledges that it is a sophisticated party with respect to its Covered Shares and has adequate information concerning the business and financial condition of PAGP to make an informed decision regarding the transactions contemplated by this Agreement and has, independently and without reliance upon PAGP and based on such information as such Shareholder has deemed appropriate, made its own analysis and decision to enter into this Agreement. Such Shareholder acknowledges that PAGP has not made and is not making any representation or warranty, whether express or implied, of any kind or character except as expressly set forth in this Agreement.</w:t>
      </w:r>
    </w:p>
    <w:p>
      <w:pPr>
        <w:spacing w:after="0" w:line="154"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Representations and Warranties of PAGP</w:t>
      </w:r>
      <w:r>
        <w:rPr>
          <w:rFonts w:ascii="Arial" w:cs="Arial" w:eastAsia="Arial" w:hAnsi="Arial"/>
          <w:sz w:val="18"/>
          <w:szCs w:val="18"/>
          <w:color w:val="auto"/>
        </w:rPr>
        <w:t>. PAGP hereby represents and warrants to each Shareholder and PAA that the execution and delivery of this Agreement by PAGP and the consummation of the transactions contemplated hereby have been duly authorized by all necessary action on the part of the board of directors of PAGP GP. PAGP acknowledges that no Shareholder has made and no Shareholder is making any representation or warranty of any kind except as expressly set forth in this Agreement.</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Representations and Warranties of PAA</w:t>
      </w:r>
      <w:r>
        <w:rPr>
          <w:rFonts w:ascii="Arial" w:cs="Arial" w:eastAsia="Arial" w:hAnsi="Arial"/>
          <w:sz w:val="18"/>
          <w:szCs w:val="18"/>
          <w:color w:val="auto"/>
        </w:rPr>
        <w:t>. PAA hereby represents and warrants to each Shareholder and PAGP that the execution and delivery of this Agreement by PAA and the consummation of the transactions contemplated hereby have been duly authorized by all necessary action on the part of the board of directors of GP LLC. PAA acknowledges that no Shareholder has made and no Shareholder is making any representation or warranty of any kind except as expressly set forth in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OTHER COVENANTS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b w:val="1"/>
          <w:bCs w:val="1"/>
          <w:u w:val="single" w:color="auto"/>
          <w:color w:val="auto"/>
        </w:rPr>
        <w:t>Prohibition on Transfers, Other Actions</w:t>
      </w:r>
      <w:r>
        <w:rPr>
          <w:rFonts w:ascii="Arial" w:cs="Arial" w:eastAsia="Arial" w:hAnsi="Arial"/>
          <w:sz w:val="16"/>
          <w:szCs w:val="16"/>
          <w:color w:val="auto"/>
        </w:rPr>
        <w:t>.</w:t>
      </w:r>
    </w:p>
    <w:p>
      <w:pPr>
        <w:spacing w:after="0" w:line="229" w:lineRule="exact"/>
        <w:rPr>
          <w:sz w:val="20"/>
          <w:szCs w:val="20"/>
          <w:color w:val="auto"/>
        </w:rPr>
      </w:pPr>
    </w:p>
    <w:p>
      <w:pPr>
        <w:ind w:left="660" w:right="60" w:firstLine="645"/>
        <w:spacing w:after="0" w:line="273" w:lineRule="auto"/>
        <w:tabs>
          <w:tab w:leader="none" w:pos="1954" w:val="left"/>
        </w:tabs>
        <w:numPr>
          <w:ilvl w:val="0"/>
          <w:numId w:val="493"/>
        </w:numPr>
        <w:rPr>
          <w:rFonts w:ascii="Arial" w:cs="Arial" w:eastAsia="Arial" w:hAnsi="Arial"/>
          <w:sz w:val="17"/>
          <w:szCs w:val="17"/>
          <w:color w:val="auto"/>
        </w:rPr>
      </w:pPr>
      <w:r>
        <w:rPr>
          <w:rFonts w:ascii="Arial" w:cs="Arial" w:eastAsia="Arial" w:hAnsi="Arial"/>
          <w:sz w:val="17"/>
          <w:szCs w:val="17"/>
          <w:color w:val="auto"/>
        </w:rPr>
        <w:t>Each Shareholder hereby agrees, except for a Permitted Transfer, not to (i) Transfer any of the Covered Shares, beneficial ownership thereof or any other interest therein, (ii) enter into any agreement, arrangement or understanding, or take any other action, that violates or conflicts with, or would reasonably be expected to violate or conflict with, or would reasonably be expected to result in or give rise to a violation of or conflict with, such Shareholder’s representations, warranties, covenants and obligations under this Agreement, or (iii) take any action that would restrict or otherwise affect such Shareholder’s legal power, authority and right to comply with and perform its covenants and obligations under this Agreement. Any Transfer in violation of this provision shall be null and void.</w:t>
      </w:r>
    </w:p>
    <w:p>
      <w:pPr>
        <w:spacing w:after="0" w:line="178" w:lineRule="exact"/>
        <w:rPr>
          <w:rFonts w:ascii="Arial" w:cs="Arial" w:eastAsia="Arial" w:hAnsi="Arial"/>
          <w:sz w:val="17"/>
          <w:szCs w:val="17"/>
          <w:color w:val="auto"/>
        </w:rPr>
      </w:pPr>
    </w:p>
    <w:p>
      <w:pPr>
        <w:ind w:left="660" w:right="80" w:firstLine="645"/>
        <w:spacing w:after="0" w:line="277" w:lineRule="auto"/>
        <w:tabs>
          <w:tab w:leader="none" w:pos="196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Each Shareholder agrees that if it attempts to Transfer (other than a Permitted Transfer), vote, provide consent in lieu of a meeting or provide any other Person with the authority to vote or provide consent with respect to any of the Covered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5" w:right="259" w:bottom="505" w:gutter="0" w:footer="0" w:header="0"/>
        </w:sectPr>
      </w:pPr>
    </w:p>
    <w:bookmarkStart w:id="217" w:name="page218"/>
    <w:bookmarkEnd w:id="217"/>
    <w:p>
      <w:pPr>
        <w:ind w:left="660" w:right="80"/>
        <w:spacing w:after="0" w:line="259" w:lineRule="auto"/>
        <w:rPr>
          <w:sz w:val="20"/>
          <w:szCs w:val="20"/>
          <w:color w:val="auto"/>
        </w:rPr>
      </w:pPr>
      <w:r>
        <w:rPr>
          <w:rFonts w:ascii="Arial" w:cs="Arial" w:eastAsia="Arial" w:hAnsi="Arial"/>
          <w:sz w:val="18"/>
          <w:szCs w:val="18"/>
          <w:color w:val="auto"/>
        </w:rPr>
        <w:t>Shares other than in compliance with this Agreement, such Shareholder shall be deemed to have unconditionally and irrevocably (during the term of this Agreement) instructed PAGP to not, (i) permit any such Transfer on its books and records, (ii) issue a book-entry interest or a new certificate representing any of the Covered Shares, or (iii) record such vote or consent unless and until such Shareholder has complied in all respects with the terms of this Agreement.</w:t>
      </w:r>
    </w:p>
    <w:p>
      <w:pPr>
        <w:spacing w:after="0" w:line="187" w:lineRule="exact"/>
        <w:rPr>
          <w:sz w:val="20"/>
          <w:szCs w:val="20"/>
          <w:color w:val="auto"/>
        </w:rPr>
      </w:pPr>
    </w:p>
    <w:p>
      <w:pPr>
        <w:ind w:left="660" w:right="20" w:firstLine="645"/>
        <w:spacing w:after="0" w:line="257" w:lineRule="auto"/>
        <w:tabs>
          <w:tab w:leader="none" w:pos="1967"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Each Shareholder agrees that it shall not, and shall cause each of its controlled Affiliates to not, become a member of a “group” (as that term is used in Section 13(d) of the Exchange Act) that such Shareholder or such Affiliate is not currently a part of and that has not been disclosed in a filing with the SEC prior to the date hereof (other than as a result of entering into this Agreement) for the purpose of opposing or competing with, or otherwise interfering with, impeding or delaying the consummation of, the transactions contemplated by the Simplification Agreement.</w:t>
      </w:r>
    </w:p>
    <w:p>
      <w:pPr>
        <w:spacing w:after="0" w:line="188" w:lineRule="exact"/>
        <w:rPr>
          <w:rFonts w:ascii="Arial" w:cs="Arial" w:eastAsia="Arial" w:hAnsi="Arial"/>
          <w:sz w:val="18"/>
          <w:szCs w:val="18"/>
          <w:color w:val="auto"/>
        </w:rPr>
      </w:pPr>
    </w:p>
    <w:p>
      <w:pPr>
        <w:jc w:val="both"/>
        <w:ind w:left="660" w:right="60" w:firstLine="645"/>
        <w:spacing w:after="0" w:line="312" w:lineRule="auto"/>
        <w:tabs>
          <w:tab w:leader="none" w:pos="1964" w:val="left"/>
        </w:tabs>
        <w:numPr>
          <w:ilvl w:val="0"/>
          <w:numId w:val="494"/>
        </w:numPr>
        <w:rPr>
          <w:rFonts w:ascii="Arial" w:cs="Arial" w:eastAsia="Arial" w:hAnsi="Arial"/>
          <w:sz w:val="16"/>
          <w:szCs w:val="16"/>
          <w:color w:val="auto"/>
        </w:rPr>
      </w:pPr>
      <w:r>
        <w:rPr>
          <w:rFonts w:ascii="Arial" w:cs="Arial" w:eastAsia="Arial" w:hAnsi="Arial"/>
          <w:sz w:val="16"/>
          <w:szCs w:val="16"/>
          <w:color w:val="auto"/>
        </w:rPr>
        <w:t>Each Shareholder agrees not to take any action that would make any of its representations or warranties contained herein untrue or incorrect in any material respect or would reasonably be expected to have the effect of preventing, impeding, interfering with, delaying or otherwise adversely affecting in any respect its due and timely performance of its obligations under or contemplated by this Agreement.</w:t>
      </w:r>
    </w:p>
    <w:p>
      <w:pPr>
        <w:spacing w:after="0" w:line="143"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of the parties hereto agrees that it will use its best efforts to do all things reasonably necessary to effectuate this Agreement and the transactions contemplated hereby.</w:t>
      </w:r>
    </w:p>
    <w:p>
      <w:pPr>
        <w:spacing w:after="0" w:line="162"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b w:val="1"/>
          <w:bCs w:val="1"/>
          <w:u w:val="single" w:color="auto"/>
          <w:color w:val="auto"/>
        </w:rPr>
        <w:t>Waiver of Appraisal Rights and Claims</w:t>
      </w:r>
      <w:r>
        <w:rPr>
          <w:rFonts w:ascii="Arial" w:cs="Arial" w:eastAsia="Arial" w:hAnsi="Arial"/>
          <w:sz w:val="16"/>
          <w:szCs w:val="16"/>
          <w:color w:val="auto"/>
        </w:rPr>
        <w:t>. Each Shareholder hereby waives any and all rights of appraisal or rights to dissent from the consummation of the Transactions and any other action contemplated by the Simplification Agreement. Without limiting the foregoing, each Shareholder agrees not to commence, join in, facilitate, assist or encourage, and agrees to take all actions necessary to opt out of, any class in any class action with respect to, any claim, derivative or otherwise, against PAGP, the general partner of PAGP and their respective affiliates, or any of their respective officers, directors, managers, employees, or agents, and their respective successors and assigns, (a) challenging the validity of, or seeking to enjoin the operation of, any provision of this Agreement, (b) alleging any breach of the organizational documents of PAGP, its general partner or any of their affiliates, in connection with the evaluation, negotiation or entry into, or the performance by any party of its obligations under, the Simplification Agreement, or</w:t>
      </w:r>
    </w:p>
    <w:p>
      <w:pPr>
        <w:spacing w:after="0" w:line="2" w:lineRule="exact"/>
        <w:rPr>
          <w:sz w:val="20"/>
          <w:szCs w:val="20"/>
          <w:color w:val="auto"/>
        </w:rPr>
      </w:pPr>
    </w:p>
    <w:p>
      <w:pPr>
        <w:ind w:right="100" w:firstLine="8"/>
        <w:spacing w:after="0" w:line="261" w:lineRule="auto"/>
        <w:tabs>
          <w:tab w:leader="none" w:pos="24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alleging that the evaluation, negotiation or entry into, or the performance by any party of its obligations under, the Simplification Agreement would result in a violation of law.</w:t>
      </w:r>
    </w:p>
    <w:p>
      <w:pPr>
        <w:spacing w:after="0" w:line="180"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b w:val="1"/>
          <w:bCs w:val="1"/>
          <w:u w:val="single" w:color="auto"/>
          <w:color w:val="auto"/>
        </w:rPr>
        <w:t>Shareholder Capacity</w:t>
      </w:r>
      <w:r>
        <w:rPr>
          <w:rFonts w:ascii="Arial" w:cs="Arial" w:eastAsia="Arial" w:hAnsi="Arial"/>
          <w:sz w:val="16"/>
          <w:szCs w:val="16"/>
          <w:color w:val="auto"/>
        </w:rPr>
        <w:t>. Each Shareholder has entered into this Agreement solely in its capacity as a beneficial owner of Covered Shares. None of the provisions of this Agreement shall be construed to prohibit, limit or restrict any Representative of a Shareholder who is an officer of PAGP GP or GP LLC or a member of the PAGP GP Board or the Board of Directors of GP LLC from exercising his or her duties to PAGP or PAA by taking any action whatsoever in his or her capacity as an officer or director, including with respect to the Simplification Agreement and the Transactions.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xml:space="preserve">. This Agreement shall remain in effect until the earliest to occur of (a) the Closing Date, (b) the valid termination of the Simplification Agreement in accordance with the terms thereof, and (c) the mutual written consent of all of the parties hereto to terminate this Agreement, upon which, in each case, this Agreement shall terminate and be of no further force and effect with respect to all parties hereto. In addition, PAGP and PAA may mutually agree to terminate this Agreement with respect to all or any portion of any Shareholder’s Covered Shares by delivering a written notice to such Shareholder stating the portion of such Shareholder’s Covered Shares with respect to which this Agreement is terminated (in which case such Shareholder’s obligations hereunder shall terminate only with respect to the portion of its Covered Shares so identified). For the avoidance of doubt, unless and until this Agreement is terminated in accordance with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 agreements set forth herein, including the irrevocable proxy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remain in full force and effect without regard to any Change in Recommendation or any other occurrence. Nothing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no termination of this Agreement shall relieve or otherwise limit any party of liability for any breach of this Agreement occurring prior to such termination.</w:t>
      </w:r>
    </w:p>
    <w:p>
      <w:pPr>
        <w:spacing w:after="0" w:line="16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u w:val="single" w:color="auto"/>
          <w:color w:val="auto"/>
        </w:rPr>
        <w:t>No Ownership Interest</w:t>
      </w:r>
      <w:r>
        <w:rPr>
          <w:rFonts w:ascii="Arial" w:cs="Arial" w:eastAsia="Arial" w:hAnsi="Arial"/>
          <w:sz w:val="18"/>
          <w:szCs w:val="18"/>
          <w:color w:val="auto"/>
        </w:rPr>
        <w:t>. Nothing contained in this Agreement shall be deemed to vest in PAGP or PAA any direct or indirect ownership or incidence of ownership of or with respect to any Covered Shares. All rights, ownership and economic benefit relating to the Covered Shares of any Shareholder shall remain vested in and belong to such Shareholder, and PAGP and PAA shall have no authority to direct such Shareholder in the voting or disposition of any of its Covered Shares, except as otherwise provided herein.</w:t>
      </w:r>
    </w:p>
    <w:p>
      <w:pPr>
        <w:spacing w:after="0" w:line="18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u w:val="single" w:color="auto"/>
          <w:color w:val="auto"/>
        </w:rPr>
        <w:t>Publicity</w:t>
      </w:r>
      <w:r>
        <w:rPr>
          <w:rFonts w:ascii="Arial" w:cs="Arial" w:eastAsia="Arial" w:hAnsi="Arial"/>
          <w:sz w:val="18"/>
          <w:szCs w:val="18"/>
          <w:color w:val="auto"/>
        </w:rPr>
        <w:t>. Each Shareholder hereby permits PAGP to include and disclose in the Proxy Statement, and in such other schedules, certificates, applications, agreements or documents as such entities reasonably determine to be necessary or appropriate in connection with the consummation of the Transactions and the other actions contemplated by the Simplification Agreement such Shareholder’s identity and ownership of the Covered Shares and the nature of such Shareholder’s commitments, arrangements and understandings pursuant to this Agreement. PAGP hereby permits each Shareholder to disclose this Agreement and the transactions contemplated by the Simplification Agreement in any reports required to be filed by such Shareholder or any of its Affiliates under Sections 13(d) and 16 of the Exchange Act.</w:t>
      </w:r>
    </w:p>
    <w:p>
      <w:pPr>
        <w:spacing w:after="0" w:line="18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(a) upon personal delivery to the party to be notified; (b) when received when sent by facsimile by the party to be notified, provided, however, that notice given by facsimile shall not be effective unless either (i) a duplicate copy of such fax notice is promptly given by one of the other methods described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(ii) the receiving party delivers a written confirmation of receipt for such notice by fax or any other method described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or (c) when delivered by a courier (with confirmation of delivery); in each case to the party to be notified at the following address: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PAGP, to:</w:t>
      </w:r>
    </w:p>
    <w:p>
      <w:pPr>
        <w:sectPr>
          <w:pgSz w:w="11900" w:h="16838" w:orient="portrait"/>
          <w:cols w:equalWidth="0" w:num="1">
            <w:col w:w="11420"/>
          </w:cols>
          <w:pgMar w:left="240" w:top="125" w:right="239" w:bottom="32" w:gutter="0" w:footer="0" w:header="0"/>
        </w:sectPr>
      </w:pPr>
    </w:p>
    <w:bookmarkStart w:id="218" w:name="page219"/>
    <w:bookmarkEnd w:id="218"/>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PAA GP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713.229.2727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Joshua Davidson and Jason Rocha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PAA,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 and Chairman, Conflicts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Richards Layton &amp; Finger, P.A.</w:t>
      </w:r>
    </w:p>
    <w:p>
      <w:pPr>
        <w:spacing w:after="0" w:line="23" w:lineRule="exact"/>
        <w:rPr>
          <w:sz w:val="20"/>
          <w:szCs w:val="20"/>
          <w:color w:val="auto"/>
        </w:rPr>
      </w:pPr>
    </w:p>
    <w:p>
      <w:pPr>
        <w:ind w:left="660" w:right="8840" w:hanging="4"/>
        <w:spacing w:after="0" w:line="281" w:lineRule="auto"/>
        <w:tabs>
          <w:tab w:leader="none" w:pos="102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N. King Street Wilmington, DE 19801 Facsimile: 302-498-7701</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Attn: Srinivas Raju or Gregory Ladner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If to any Shareholder, to the address set forth below such Shareholder’s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meanings given to terms defined herein shall be equally applicable to both the singular and plural forms of such terms. The headings contained in this Agreement are for reference purposes only and shall not affect in any way the meaning or interpretation of this Agreement. This Agreement is the product of negotiation by the parties having the assistance of counsel and other advisers. It is the intention of the parties that this Agreement not be construed more strictly with regard to one party than with regard to the others.</w:t>
      </w:r>
    </w:p>
    <w:p>
      <w:pPr>
        <w:spacing w:after="0" w:line="172"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54" w:lineRule="exact"/>
        <w:rPr>
          <w:sz w:val="20"/>
          <w:szCs w:val="20"/>
          <w:color w:val="auto"/>
        </w:rPr>
      </w:pPr>
    </w:p>
    <w:p>
      <w:pPr>
        <w:ind w:right="240" w:firstLine="648"/>
        <w:spacing w:after="0" w:line="29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and, solely to the extent of the defined terms referenced herein, the Simplification Agreement, together with the schedule annexed hereto,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 provided, however, that nothing contained in this Agreement shall supersede or replace the transfer restrictions set forth in the governing documents for PAGP and AAP, which provisions shall remain in full force and effect according to their terms.</w:t>
      </w:r>
    </w:p>
    <w:p>
      <w:pPr>
        <w:spacing w:after="0" w:line="154"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xml:space="preserve">. This Agreement and the performance of the transactions contemplated hereby and obligations of the parties hereunder will be 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6"/>
          <w:szCs w:val="16"/>
          <w:i w:val="1"/>
          <w:iCs w:val="1"/>
          <w:u w:val="single" w:color="auto"/>
          <w:color w:val="auto"/>
        </w:rPr>
        <w:t>6 Del. C.</w:t>
      </w:r>
      <w:r>
        <w:rPr>
          <w:rFonts w:ascii="Arial" w:cs="Arial" w:eastAsia="Arial" w:hAnsi="Arial"/>
          <w:sz w:val="16"/>
          <w:szCs w:val="16"/>
          <w:color w:val="auto"/>
        </w:rPr>
        <w:t>,</w:t>
      </w:r>
    </w:p>
    <w:p>
      <w:pPr>
        <w:spacing w:after="0" w:line="2" w:lineRule="exact"/>
        <w:rPr>
          <w:sz w:val="20"/>
          <w:szCs w:val="20"/>
          <w:color w:val="auto"/>
        </w:rPr>
      </w:pPr>
    </w:p>
    <w:p>
      <w:pPr>
        <w:jc w:val="both"/>
        <w:ind w:right="40" w:firstLine="8"/>
        <w:spacing w:after="0" w:line="323" w:lineRule="auto"/>
        <w:tabs>
          <w:tab w:leader="none" w:pos="13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w:t>
      </w:r>
    </w:p>
    <w:p>
      <w:pPr>
        <w:sectPr>
          <w:pgSz w:w="11900" w:h="16893" w:orient="portrait"/>
          <w:cols w:equalWidth="0" w:num="1">
            <w:col w:w="11320"/>
          </w:cols>
          <w:pgMar w:left="240" w:top="125" w:right="339" w:bottom="0" w:gutter="0" w:footer="0" w:header="0"/>
        </w:sectPr>
      </w:pPr>
    </w:p>
    <w:bookmarkStart w:id="219" w:name="page220"/>
    <w:bookmarkEnd w:id="219"/>
    <w:p>
      <w:pPr>
        <w:ind w:right="40"/>
        <w:spacing w:after="0" w:line="259" w:lineRule="auto"/>
        <w:rPr>
          <w:sz w:val="20"/>
          <w:szCs w:val="20"/>
          <w:color w:val="auto"/>
        </w:rPr>
      </w:pPr>
      <w:r>
        <w:rPr>
          <w:rFonts w:ascii="Arial" w:cs="Arial" w:eastAsia="Arial" w:hAnsi="Arial"/>
          <w:sz w:val="18"/>
          <w:szCs w:val="18"/>
          <w:color w:val="auto"/>
        </w:rPr>
        <w:t>party hereto hereby irrevocably and unconditionally (i)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litigation relating thereto except in such courts), (ii) waives any objection to the laying of venue of any such litigation in the Delaware Courts and agrees not to plead or claim in any Delaware Court that such litigation brought therein has been brought in any inconvenient forum, and (c)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further irrevocably and unconditionally confirms and agrees, to the extent such party is not otherwise subject to service of process in the State of Delaware, to appoint and maintain an agent in the State of Delaware as such party’s agent for acceptance of legal process and to notify the other parties of the name and address of such agent, and that service of process may, to the fullest extent permitted by law, also be made on such party by prepaid certified mail with a proof of mailing receipt validated by the United States Postal Service constituting evidence of valid service, and that service made pursuant to this sentence shall, to the fullest extent permitted by law, have the same legal force and effect as if served upon such party personally within the State of Delaware.</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 The obligations of any Shareholder hereunder may not be modified or amended except by an instrument in writing signed by PAGP and by each Shareholder with respect to which such modification or amendment will be effective. Each party may waive any right of such party hereunder by an instrument in writing signed by such party and delivered to the party benefiting from such waiver. Notwithstanding anything to the contrary set forth herein, no amendment or waiver of any party hereunder shall be permitted or effective without the prior written consent of PAA.</w:t>
      </w:r>
    </w:p>
    <w:p>
      <w:pPr>
        <w:spacing w:after="0" w:line="15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b w:val="1"/>
          <w:bCs w:val="1"/>
          <w:u w:val="single" w:color="auto"/>
          <w:color w:val="auto"/>
        </w:rPr>
        <w:t>Specific Enforcement</w:t>
      </w:r>
      <w:r>
        <w:rPr>
          <w:rFonts w:ascii="Arial" w:cs="Arial" w:eastAsia="Arial" w:hAnsi="Arial"/>
          <w:sz w:val="18"/>
          <w:szCs w:val="18"/>
          <w:color w:val="auto"/>
        </w:rPr>
        <w:t>. 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 Each of the parties hereto hereby waives (a) any defense in any action for specific performance that a remedy at law would be adequate and (b) any requirement under any law to post security as a prerequisite to obtaining equitable relief.</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To the fullest extent permitted by law, any term or provision of this Agreement, or the application thereof,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illegal, void, invalid or unenforceable, the parties hereto agree that the court making such determination shall have the power to limit the term or provision, to delete specific words or phrases, or to replace any illegal, void, invalid or unenforceable term or provision with a term or provision that is legal, valid and enforceable and that comes closest to expressing the intention of the illegal, void, invalid or unenforceable term or provision, and this Agreement shall be enforceable as so modified. To the fullest extent permitted by law, in the event such court does not exercise the power granted to it in the prior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sentence, the parties hereto shall replace such invalid or unenforceable term or provision with a valid and enforceable term or provision that will achieve, to the extent possible, the original economic, business and other purposes of such invalid or unenforceable term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Except as otherwise expressly provided herein or in the Simplification Agreement, all costs and expenses incurred in connection with this Agreement and the actions contemplated hereby shall be paid by the party incurring such expenses, whether or not the Transactions are consummated. Notwithstanding anything to the contrary set forth herein, in the event a party breaches its obligations under the terms of this Agreement, the non-breaching party shall be entitled to reimbursement from the breaching party of its fees and expenses (including attorneys’ fees) in connection with any action by the non-breaching party to enforce its rights hereunder.</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5"/>
          <w:szCs w:val="15"/>
          <w:b w:val="1"/>
          <w:bCs w:val="1"/>
          <w:u w:val="single" w:color="auto"/>
          <w:color w:val="auto"/>
        </w:rPr>
        <w:t>Successors and Assigns; Third Party Beneficiaries</w:t>
      </w:r>
      <w:r>
        <w:rPr>
          <w:rFonts w:ascii="Arial" w:cs="Arial" w:eastAsia="Arial" w:hAnsi="Arial"/>
          <w:sz w:val="15"/>
          <w:szCs w:val="15"/>
          <w:color w:val="auto"/>
        </w:rPr>
        <w:t>.</w:t>
      </w:r>
    </w:p>
    <w:p>
      <w:pPr>
        <w:spacing w:after="0" w:line="229" w:lineRule="exact"/>
        <w:rPr>
          <w:sz w:val="20"/>
          <w:szCs w:val="20"/>
          <w:color w:val="auto"/>
        </w:rPr>
      </w:pPr>
    </w:p>
    <w:p>
      <w:pPr>
        <w:ind w:left="660" w:right="220" w:firstLine="645"/>
        <w:spacing w:after="0" w:line="255" w:lineRule="auto"/>
        <w:tabs>
          <w:tab w:leader="none" w:pos="195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Except in connection with a Permitted Transfer, neither this Agreement nor any of the rights, interests or obligations hereunder shall be assigned by any of the parties hereto (whether by operation of Law or otherwise) without the prior written consent of the other parties;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each of PAGP and PAA may transfer or assign its rights and obligations under this Agreement, in whole or in part or from time to time in part, to one or more of its Affiliates at any time. Any assignment in violation of the foregoing shall be null and void. Subject to the preceding two sentences, this Agreement will be binding upon, inure to the benefit of and be enforceable by the parties and their respective successors and assigns.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This Agreement is not intended to and shall not confer upon any Person (other than the parties hereto) any rights or remedies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as of the date first written above by their respective officers thereunto duly authorized.</w:t>
      </w:r>
    </w:p>
    <w:p>
      <w:pPr>
        <w:sectPr>
          <w:pgSz w:w="11900" w:h="16838" w:orient="portrait"/>
          <w:cols w:equalWidth="0" w:num="1">
            <w:col w:w="11420"/>
          </w:cols>
          <w:pgMar w:left="240" w:top="125" w:right="239" w:bottom="0" w:gutter="0" w:footer="0" w:header="0"/>
        </w:sectPr>
      </w:pPr>
    </w:p>
    <w:bookmarkStart w:id="220" w:name="page221"/>
    <w:bookmarkEnd w:id="220"/>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PAGP: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PAA: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of PAGP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as of the date first written above by their respective officers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SHAREHOLDERS</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EMG INVESTMENT,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NGR MR Management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Raymond</w:t>
      </w:r>
    </w:p>
    <w:p>
      <w:pPr>
        <w:spacing w:after="0" w:line="2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811 Main Street, Suite 4200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John Raymond and Laura Tyson</w:t>
      </w:r>
    </w:p>
    <w:p>
      <w:pPr>
        <w:spacing w:after="0" w:line="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Email:</w:t>
        <w:tab/>
        <w:t>jraymond@emgtx.com;</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ltyson@emgtx.com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LYNX HOLDINGS I,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Raymond</w:t>
      </w:r>
    </w:p>
    <w:p>
      <w:pPr>
        <w:spacing w:after="0" w:line="2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John T. Raymond,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Lynx Holdings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811 Main Street, Suite 4200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John T. Raymond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jraymond@emgtx.com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Raymond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811 Main Street, Suite 4200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jraymond@emgtx.com</w:t>
      </w:r>
    </w:p>
    <w:p>
      <w:pPr>
        <w:sectPr>
          <w:pgSz w:w="11900" w:h="16888" w:orient="portrait"/>
          <w:cols w:equalWidth="0" w:num="1">
            <w:col w:w="11420"/>
          </w:cols>
          <w:pgMar w:left="240" w:top="337" w:right="239" w:bottom="0" w:gutter="0" w:footer="0" w:header="0"/>
        </w:sectPr>
      </w:pPr>
    </w:p>
    <w:bookmarkStart w:id="221" w:name="page222"/>
    <w:bookmarkEnd w:id="221"/>
    <w:p>
      <w:pPr>
        <w:jc w:val="center"/>
        <w:spacing w:after="0"/>
        <w:rPr>
          <w:sz w:val="20"/>
          <w:szCs w:val="20"/>
          <w:color w:val="auto"/>
        </w:rPr>
      </w:pPr>
      <w:r>
        <w:rPr>
          <w:rFonts w:ascii="Arial" w:cs="Arial" w:eastAsia="Arial" w:hAnsi="Arial"/>
          <w:sz w:val="16"/>
          <w:szCs w:val="16"/>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OXY HOLDING COMPANY (PIPELINE),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Ben Figlock</w:t>
      </w:r>
    </w:p>
    <w:p>
      <w:pPr>
        <w:spacing w:after="0" w:line="2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Ben Figlock,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 Greenway Plaza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Houston, Texas 77046</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Marcia Backus and Nicole Clark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Marcia_e._backus@oxy.com</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Nicole_clark@oxy.com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KAFU HOLDINGS (QP),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Shladovsky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David Shladovsky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KAFU HOLDINGS II,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KAFU Holdings, LLC, its general partner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Shladovsky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David Shladovsky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KAFU HOLDINGS,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Shladovsky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David Shladovsky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Robert V. Sinnott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rsinnott@kaynecapital.com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77" w:gutter="0" w:footer="0" w:header="0"/>
        </w:sectPr>
      </w:pPr>
    </w:p>
    <w:bookmarkStart w:id="222" w:name="page223"/>
    <w:bookmarkEnd w:id="222"/>
    <w:p>
      <w:pPr>
        <w:ind w:left="5720"/>
        <w:spacing w:after="0"/>
        <w:rPr>
          <w:sz w:val="20"/>
          <w:szCs w:val="20"/>
          <w:color w:val="auto"/>
        </w:rPr>
      </w:pPr>
      <w:r>
        <w:rPr>
          <w:rFonts w:ascii="Arial" w:cs="Arial" w:eastAsia="Arial" w:hAnsi="Arial"/>
          <w:sz w:val="18"/>
          <w:szCs w:val="18"/>
          <w:color w:val="auto"/>
        </w:rPr>
        <w:t>PAA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Management,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Richard McGee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rkmcgee@paalp.com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glarmstrong@paalp.com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Harry Pefanis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hnpefanis@paalp.com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PAGP Class</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PAGP Class</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Total Class A</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 Shares</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 Shares</w:t>
            </w: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and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Held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9"/>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Shareholder</w:t>
            </w:r>
          </w:p>
        </w:tc>
        <w:tc>
          <w:tcPr>
            <w:tcW w:w="300" w:type="dxa"/>
            <w:vAlign w:val="bottom"/>
            <w:vMerge w:val="restart"/>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of Record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of Record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EMG Investment, LLC</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121,516,879</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8,476,802</w:t>
            </w: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Oxy Holding Company (Pipeline), Inc.</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79,830,161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KAFU Holdings (QP), L.P.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64,803,104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KAFU Holdings II, L.P.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6,795,545</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KAFU Holdings, L.P.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3,305,189</w:t>
            </w: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Management, L.P.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21,835,922</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Greg Armstrong</w:t>
            </w:r>
          </w:p>
        </w:tc>
        <w:tc>
          <w:tcPr>
            <w:tcW w:w="1360" w:type="dxa"/>
            <w:vAlign w:val="bottom"/>
          </w:tcPr>
          <w:p>
            <w:pPr>
              <w:jc w:val="right"/>
              <w:spacing w:after="0"/>
              <w:rPr>
                <w:sz w:val="20"/>
                <w:szCs w:val="20"/>
                <w:color w:val="auto"/>
              </w:rPr>
            </w:pPr>
            <w:r>
              <w:rPr>
                <w:rFonts w:ascii="Arial" w:cs="Arial" w:eastAsia="Arial" w:hAnsi="Arial"/>
                <w:sz w:val="18"/>
                <w:szCs w:val="18"/>
                <w:color w:val="auto"/>
              </w:rPr>
              <w:t>1,200,000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9,814,127</w:t>
            </w: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Pefanis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6,889,930</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John T. Raymond</w:t>
            </w:r>
          </w:p>
        </w:tc>
        <w:tc>
          <w:tcPr>
            <w:tcW w:w="1360" w:type="dxa"/>
            <w:vAlign w:val="bottom"/>
          </w:tcPr>
          <w:p>
            <w:pPr>
              <w:jc w:val="right"/>
              <w:spacing w:after="0"/>
              <w:rPr>
                <w:sz w:val="20"/>
                <w:szCs w:val="20"/>
                <w:color w:val="auto"/>
              </w:rPr>
            </w:pPr>
            <w:r>
              <w:rPr>
                <w:rFonts w:ascii="Arial" w:cs="Arial" w:eastAsia="Arial" w:hAnsi="Arial"/>
                <w:sz w:val="18"/>
                <w:szCs w:val="18"/>
                <w:color w:val="auto"/>
              </w:rPr>
              <w:t>573,954</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3,274,488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80" w:type="dxa"/>
            <w:vAlign w:val="bottom"/>
            <w:gridSpan w:val="2"/>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5,537,507</w:t>
            </w:r>
          </w:p>
        </w:tc>
        <w:tc>
          <w:tcPr>
            <w:tcW w:w="280" w:type="dxa"/>
            <w:vAlign w:val="bottom"/>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323,267,659</w:t>
            </w:r>
          </w:p>
        </w:tc>
        <w:tc>
          <w:tcPr>
            <w:tcW w:w="280" w:type="dxa"/>
            <w:vAlign w:val="bottom"/>
            <w:vMerge w:val="continue"/>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51.32%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3" w:name="page224"/>
    <w:bookmarkEnd w:id="223"/>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154305</wp:posOffset>
            </wp:positionV>
            <wp:extent cx="6028690" cy="8235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2869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Pipeline, L.P. and Plains GP Holdings Announce Successful Results of Simplification Process and Related Actions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Improves Cost of Capital; Strengthens Distribution Coverage and Credit Profile; Simplifies Structure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Conference Call Scheduled For Tuesday, July 12, 2016 at 7:30 a.m. CT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HOUSTON - July 11, 2016 - Plains All American Pipeline, L.P. (NYSE: PAA) announced it has entered into a definitive agreement (the “Simplification Transaction”) with Plains AAP, L.P. (“AAP”), a controlled affiliate of Plains GP Holdings, L.P. (NYSE: PAGP), to permanently eliminate PAA’s incentive distribution rights and the economic rights associated with PAA’s 2% general partner interest in exchange for 245.5 million newly issued PAA common units (implied exchange ratio of approximately 0.3755 PAA common units per AAP Class A unit) and the assumption of all of AAP’s outstanding debt (currently $593 million). The implied transaction value is approximately $7.2 billion. Upon closing of the Simplification Transaction, PAGP and its UP-C structure will remain in place, and AAP’s 245.5 million units of PAA will represent approximately 34.8% ownership in PAA on a fully diluted basis.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 separate release today, PAA and PAGP announced quarterly distributions with respect to the second quarter of 2016 to be paid in August, which were unchanged from the first quarter distributions paid in May. PAA also announced that effective with the third quarter distribution to be paid in November, PAA intends to pay a quarterly distribution of $0.55 per common unit ($2.20 per unit on an annualized basis). This equates to a 21% reduction to the current quarterly payout per PAA common unit. Pro forma for the Simplification Transaction, but excluding the effect of PAGP’s reverse split described herein for comparative purposes, the quarterly distribution payable in November to the holders of PAGP Class A shares for the third quarter of 2016 will be $0.2065 per Class A share ($0.8260 annually), representing an 11% reduction from the current quarterly distribution per PAGP Class A share.</w:t>
      </w:r>
    </w:p>
    <w:p>
      <w:pPr>
        <w:spacing w:after="0" w:line="1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Greg Armstrong, Chairman and CEO of Plains All American stated “We are pleased to announce this simplification transaction and related actions, which accomplish several important objectives for PAA and its stakeholders, including PAGP. Collectively, these actions will simplify PAA’s capital structure, better align the interests of its equity stakeholders, improve its overall credit profile,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its cost of incremental capital and improve its distribution coverage. As a result, PAA will be better positioned to capitalize on attractive growth opportunities and manage its business over the long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Simplification Transaction, PAA and PAGP also announced the following:</w:t>
      </w:r>
    </w:p>
    <w:p>
      <w:pPr>
        <w:spacing w:after="0" w:line="225" w:lineRule="exact"/>
        <w:rPr>
          <w:sz w:val="20"/>
          <w:szCs w:val="20"/>
          <w:color w:val="auto"/>
        </w:rPr>
      </w:pPr>
    </w:p>
    <w:p>
      <w:pPr>
        <w:ind w:left="660" w:right="40" w:hanging="328"/>
        <w:spacing w:after="0" w:line="253"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Simplification Transaction is expected to close in the fourth quarter of 2016, subject to customary closing conditions, including the approval of a majority of PAGP’s shareholders (Classes A and B considered together), which approval will be solicited at a special meeting to be held prior to closing. A proxy statement will be filed with the SEC and mailed to all of PAGP’s Class A and B shareholders prior to the special meeting. PAGP shareholders representing a majority of the outstanding Class A and B shares of PAGP have entered into a voting agreement in support of the Simplification Transaction.</w:t>
      </w:r>
    </w:p>
    <w:p>
      <w:pPr>
        <w:spacing w:after="0" w:line="3" w:lineRule="exact"/>
        <w:rPr>
          <w:rFonts w:ascii="Arial" w:cs="Arial" w:eastAsia="Arial" w:hAnsi="Arial"/>
          <w:sz w:val="18"/>
          <w:szCs w:val="18"/>
          <w:color w:val="auto"/>
        </w:rPr>
      </w:pPr>
    </w:p>
    <w:p>
      <w:pPr>
        <w:ind w:left="660" w:right="38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Simplification Transaction was evaluated, negotiated and approved on behalf of PAA by a conflicts committee established by PAA’s general partner (“PAA Conflicts Committee”) and on behalf of PAGP by the PAGP Board.</w:t>
      </w:r>
    </w:p>
    <w:p>
      <w:pPr>
        <w:ind w:left="660" w:right="100" w:hanging="328"/>
        <w:spacing w:after="0" w:line="265" w:lineRule="auto"/>
        <w:tabs>
          <w:tab w:leader="none" w:pos="624" w:val="left"/>
        </w:tabs>
        <w:numPr>
          <w:ilvl w:val="0"/>
          <w:numId w:val="499"/>
        </w:numPr>
        <w:rPr>
          <w:rFonts w:ascii="Arial" w:cs="Arial" w:eastAsia="Arial" w:hAnsi="Arial"/>
          <w:sz w:val="17"/>
          <w:szCs w:val="17"/>
          <w:color w:val="auto"/>
        </w:rPr>
      </w:pPr>
      <w:r>
        <w:rPr>
          <w:rFonts w:ascii="Arial" w:cs="Arial" w:eastAsia="Arial" w:hAnsi="Arial"/>
          <w:sz w:val="17"/>
          <w:szCs w:val="17"/>
          <w:color w:val="auto"/>
        </w:rPr>
        <w:t>In addition, PAA and PAGP received a tax opinion that the transaction is generally not expected to be taxable to PAA or its equity holders (including AAP). In addition, the Simplification Transaction is generally not expected to be taxable to PAGP or its shareholders.</w:t>
      </w:r>
    </w:p>
    <w:p>
      <w:pPr>
        <w:ind w:left="660" w:right="6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As a result of the Simplification Transaction, PAGP Class A shareholders and PAA common and preferred unitholders will have the right to participate in the election of directors of the parent company board under a unified governance structure. Under the current structure, PAA common unitholders are not eligible to participate in the election of directors of the general partner of PAGP and PAGP Class A shareholders only participate in such elections following a reduction in ownership of the private general partner owner group to below 40%. The first meeting to elect directors is expected to occur during 2018.</w:t>
      </w:r>
    </w:p>
    <w:p>
      <w:pPr>
        <w:spacing w:after="0" w:line="2" w:lineRule="exact"/>
        <w:rPr>
          <w:rFonts w:ascii="Arial" w:cs="Arial" w:eastAsia="Arial" w:hAnsi="Arial"/>
          <w:sz w:val="18"/>
          <w:szCs w:val="18"/>
          <w:color w:val="auto"/>
        </w:rPr>
      </w:pPr>
    </w:p>
    <w:p>
      <w:pPr>
        <w:ind w:left="660" w:right="68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Upon closing of the Simplification Transaction, PAA will have approximately 643 million common units outstanding (706 million assuming conversion of PAA’s Series A Preferred units).</w:t>
      </w:r>
    </w:p>
    <w:p>
      <w:pPr>
        <w:ind w:left="660" w:right="2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 connection with the closing of the Simplification Transaction, AAP will execute a reverse split to adjust the number of its outstanding units to equal the number of PAA common units held by AAP. Simultaneously, PAGP will also execute a reverse split to adjust the number of PAGP Class A shares outstanding to equal the number of AAP units it owns following AAP’s reverse split.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Holders of AAP Class A units other than PAGP will continue to have the right to exchange their AAP ownership and related voting rights for a PAGP Class A share on a one-for-one basis or, alternatively, to redeem such ownership and related rights for their proportionate share of PAA common units held by AAP, subject to certain limitations.</w:t>
      </w:r>
    </w:p>
    <w:p>
      <w:pPr>
        <w:spacing w:after="0" w:line="1" w:lineRule="exact"/>
        <w:rPr>
          <w:rFonts w:ascii="Arial" w:cs="Arial" w:eastAsia="Arial" w:hAnsi="Arial"/>
          <w:sz w:val="18"/>
          <w:szCs w:val="18"/>
          <w:color w:val="auto"/>
        </w:rPr>
      </w:pPr>
    </w:p>
    <w:p>
      <w:pPr>
        <w:ind w:left="660" w:right="40" w:hanging="328"/>
        <w:spacing w:after="0" w:line="255"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Barclays acted as lead financial advisor to the Plains entities and management and Citigroup also acted as a financial advisor in connection with the transaction. Tudor, Pickering, Holt &amp; Co. acted as financial advisor to the PAA Conflicts Committee, and Jefferies LLC acted as financial advisor to the PAGP Board. Legal advisors included Vinson and Elkins LLP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PAGP, Richards, Layton &amp; Finger, P.A. for the PAA Conflicts Committee and Baker Botts L.L.P. as special counsel for the PAGP Board.</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PAA will conduct a conference call on Tuesday, July 12, 2016 to further discuss the Simplification Transaction, quarterly distributions, PAA’s confirmation of its 2016 adjusted EBITDA guidance and related matters. The conference call will be held at 8:30 a.m. ET (7:30 a.m. CT).</w:t>
      </w:r>
    </w:p>
    <w:p>
      <w:pPr>
        <w:sectPr>
          <w:pgSz w:w="11900" w:h="16929" w:orient="portrait"/>
          <w:cols w:equalWidth="0" w:num="1">
            <w:col w:w="11420"/>
          </w:cols>
          <w:pgMar w:left="240" w:top="121" w:right="239" w:bottom="0" w:gutter="0" w:footer="0" w:header="0"/>
        </w:sectPr>
      </w:pPr>
    </w:p>
    <w:bookmarkStart w:id="224" w:name="page225"/>
    <w:bookmarkEnd w:id="224"/>
    <w:p>
      <w:pPr>
        <w:spacing w:after="0"/>
        <w:rPr>
          <w:sz w:val="20"/>
          <w:szCs w:val="20"/>
          <w:color w:val="auto"/>
        </w:rPr>
      </w:pPr>
      <w:r>
        <w:rPr>
          <w:rFonts w:ascii="Arial" w:cs="Arial" w:eastAsia="Arial" w:hAnsi="Arial"/>
          <w:sz w:val="18"/>
          <w:szCs w:val="18"/>
          <w:i w:val="1"/>
          <w:iCs w:val="1"/>
          <w:color w:val="auto"/>
        </w:rPr>
        <w:t>Webcast Access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Access to the live webcast is available at either of the addresses below. Registering for the webcast in advance is recommended.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www.plainsallamerican.com (Navigate to: Investor Relations/ either “PAA” or “PAGP”/ News &amp; Events/ Conference Calls)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https://event.webcasts.com/starthere.jsp?ei=1089822</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slide presentation accompanying the conference call will be posted a few minutes prior to the call at www.plainsallamerican.com under the “Investor Relations” sections of the website (Navigate to: Investor Relations/ either “PAA” or “PAGP”/ News &amp; Events/ Conference Calls).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Webcast Replay Instructions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 audio replay in MP3 format will be available within two hours after the end of the call at www.plainsallamerican.com under the “Investor Relations” sections of the website (Navigate to: Investor Relations/ either “PAA” or “PAGP”/ News &amp; Events/ Conference Calls).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PAGP and the directors and executive officers of its general partner (“PAGP GP”), and PAA and the directors and executive officers of the general partner of the sole member of its general partner, Plains All American GP LLC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Except for the historical information contained herein, the matters discussed in this press release consist of forward-looking statements, including statements regarding the timing and expected benefits and impact of the Simplification Transaction. These forward-looking statements are based on PAGP’s and PAA’s current views with respect to future events, based on what we believe to be reasonable assumptions. Actual results may differ significantly because of risks and uncertainties that are difficult to predict and that may be beyond the control of PAGP and PAA, including the satisfaction of the conditions precedent to the closing of the Simplification Transaction. You should read PAGP’s and PAA’s Annual Reports on Form 10-K for the year ended December 31, 2015 and their most recently filed Quarterly Reports on Form 10-Q for a more extensive list of factors that could cause actual results or outcomes to differ materially from the results or outcomes anticipated in the forward-looking statements. PAGP and PAA undertake no obligation to revise any forward-looking statements to reflect events or circumstances occurring after today’s date.</w:t>
      </w:r>
    </w:p>
    <w:p>
      <w:pPr>
        <w:spacing w:after="0" w:line="1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PAGP is a publicly traded entity that owns an interest in the general partner and incentive distribution rights of PAA, one of the largest energy infrastructure and logistics companies in North America. PAGP is headquartered in Houston, Texas.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spacing w:after="0"/>
              <w:rPr>
                <w:sz w:val="20"/>
                <w:szCs w:val="20"/>
                <w:color w:val="auto"/>
              </w:rPr>
            </w:pPr>
            <w:r>
              <w:rPr>
                <w:rFonts w:ascii="Arial" w:cs="Arial" w:eastAsia="Arial" w:hAnsi="Arial"/>
                <w:sz w:val="18"/>
                <w:szCs w:val="18"/>
                <w:color w:val="auto"/>
              </w:rPr>
              <w:t>Contact:</w:t>
            </w:r>
          </w:p>
        </w:tc>
        <w:tc>
          <w:tcPr>
            <w:tcW w:w="10540" w:type="dxa"/>
            <w:vAlign w:val="bottom"/>
          </w:tcPr>
          <w:p>
            <w:pPr>
              <w:ind w:left="300"/>
              <w:spacing w:after="0"/>
              <w:rPr>
                <w:sz w:val="20"/>
                <w:szCs w:val="20"/>
                <w:color w:val="auto"/>
              </w:rPr>
            </w:pPr>
            <w:r>
              <w:rPr>
                <w:rFonts w:ascii="Arial" w:cs="Arial" w:eastAsia="Arial" w:hAnsi="Arial"/>
                <w:sz w:val="18"/>
                <w:szCs w:val="18"/>
                <w:color w:val="auto"/>
              </w:rPr>
              <w:t>Ryan Smith</w:t>
            </w:r>
          </w:p>
        </w:tc>
      </w:tr>
      <w:tr>
        <w:trPr>
          <w:trHeight w:val="222"/>
        </w:trPr>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Director, Investor Relations</w:t>
            </w: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(866) 809-1291</w:t>
            </w:r>
          </w:p>
        </w:tc>
      </w:tr>
      <w:tr>
        <w:trPr>
          <w:trHeight w:val="348"/>
        </w:trPr>
        <w:tc>
          <w:tcPr>
            <w:tcW w:w="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07168D8"/>
    <w:multiLevelType w:val="hybridMultilevel"/>
    <w:lvl w:ilvl="0">
      <w:lvlJc w:val="left"/>
      <w:lvlText w:val="o"/>
      <w:numFmt w:val="bullet"/>
      <w:start w:val="1"/>
    </w:lvl>
  </w:abstractNum>
  <w:abstractNum w:abstractNumId="1">
    <w:nsid w:val="6A1B45E5"/>
    <w:multiLevelType w:val="hybridMultilevel"/>
    <w:lvl w:ilvl="0">
      <w:lvlJc w:val="left"/>
      <w:lvlText w:val="·"/>
      <w:numFmt w:val="bullet"/>
      <w:start w:val="1"/>
    </w:lvl>
  </w:abstractNum>
  <w:abstractNum w:abstractNumId="2">
    <w:nsid w:val="567BD50A"/>
    <w:multiLevelType w:val="hybridMultilevel"/>
    <w:lvl w:ilvl="0">
      <w:lvlJc w:val="left"/>
      <w:lvlText w:val="·"/>
      <w:numFmt w:val="bullet"/>
      <w:start w:val="1"/>
    </w:lvl>
  </w:abstractNum>
  <w:abstractNum w:abstractNumId="3">
    <w:nsid w:val="73BBD7F8"/>
    <w:multiLevelType w:val="hybridMultilevel"/>
    <w:lvl w:ilvl="0">
      <w:lvlJc w:val="left"/>
      <w:lvlText w:val="·"/>
      <w:numFmt w:val="bullet"/>
      <w:start w:val="1"/>
    </w:lvl>
  </w:abstractNum>
  <w:abstractNum w:abstractNumId="4">
    <w:nsid w:val="1876589D"/>
    <w:multiLevelType w:val="hybridMultilevel"/>
    <w:lvl w:ilvl="0">
      <w:lvlJc w:val="left"/>
      <w:lvlText w:val="*"/>
      <w:numFmt w:val="bullet"/>
      <w:start w:val="1"/>
    </w:lvl>
  </w:abstractNum>
  <w:abstractNum w:abstractNumId="5">
    <w:nsid w:val="327FAC77"/>
    <w:multiLevelType w:val="hybridMultilevel"/>
    <w:lvl w:ilvl="0">
      <w:lvlJc w:val="left"/>
      <w:lvlText w:val="*"/>
      <w:numFmt w:val="bullet"/>
      <w:start w:val="1"/>
    </w:lvl>
  </w:abstractNum>
  <w:abstractNum w:abstractNumId="6">
    <w:nsid w:val="5A606509"/>
    <w:multiLevelType w:val="hybridMultilevel"/>
    <w:lvl w:ilvl="0">
      <w:lvlJc w:val="left"/>
      <w:lvlText w:val="%1."/>
      <w:numFmt w:val="upperLetter"/>
      <w:start w:val="1"/>
    </w:lvl>
  </w:abstractNum>
  <w:abstractNum w:abstractNumId="7">
    <w:nsid w:val="6F38E6D1"/>
    <w:multiLevelType w:val="hybridMultilevel"/>
    <w:lvl w:ilvl="0">
      <w:lvlJc w:val="left"/>
      <w:lvlText w:val="%1."/>
      <w:numFmt w:val="upperLetter"/>
      <w:start w:val="7"/>
    </w:lvl>
  </w:abstractNum>
  <w:abstractNum w:abstractNumId="8">
    <w:nsid w:val="46111BA5"/>
    <w:multiLevelType w:val="hybridMultilevel"/>
    <w:lvl w:ilvl="0">
      <w:lvlJc w:val="left"/>
      <w:lvlText w:val="(%1)"/>
      <w:numFmt w:val="lowerRoman"/>
      <w:start w:val="1"/>
    </w:lvl>
  </w:abstractNum>
  <w:abstractNum w:abstractNumId="9">
    <w:nsid w:val="5E963896"/>
    <w:multiLevelType w:val="hybridMultilevel"/>
    <w:lvl w:ilvl="0">
      <w:lvlJc w:val="left"/>
      <w:lvlText w:val="(%1)"/>
      <w:numFmt w:val="lowerLetter"/>
      <w:start w:val="2"/>
    </w:lvl>
  </w:abstractNum>
  <w:abstractNum w:abstractNumId="10">
    <w:nsid w:val="775BA7C1"/>
    <w:multiLevelType w:val="hybridMultilevel"/>
    <w:lvl w:ilvl="0">
      <w:lvlJc w:val="left"/>
      <w:lvlText w:val="(%1)"/>
      <w:numFmt w:val="lowerLetter"/>
      <w:start w:val="1"/>
    </w:lvl>
  </w:abstractNum>
  <w:abstractNum w:abstractNumId="11">
    <w:nsid w:val="1DD6D6F4"/>
    <w:multiLevelType w:val="hybridMultilevel"/>
    <w:lvl w:ilvl="0">
      <w:lvlJc w:val="left"/>
      <w:lvlText w:val="(%1)"/>
      <w:numFmt w:val="lowerLetter"/>
      <w:start w:val="4"/>
    </w:lvl>
  </w:abstractNum>
  <w:abstractNum w:abstractNumId="12">
    <w:nsid w:val="769A091F"/>
    <w:multiLevelType w:val="hybridMultilevel"/>
    <w:lvl w:ilvl="0">
      <w:lvlJc w:val="left"/>
      <w:lvlText w:val="(%1)"/>
      <w:numFmt w:val="lowerLetter"/>
      <w:start w:val="1"/>
    </w:lvl>
  </w:abstractNum>
  <w:abstractNum w:abstractNumId="13">
    <w:nsid w:val="4695AE95"/>
    <w:multiLevelType w:val="hybridMultilevel"/>
    <w:lvl w:ilvl="0">
      <w:lvlJc w:val="left"/>
      <w:lvlText w:val="(%1)"/>
      <w:numFmt w:val="lowerLetter"/>
      <w:start w:val="4"/>
    </w:lvl>
  </w:abstractNum>
  <w:abstractNum w:abstractNumId="14">
    <w:nsid w:val="777A4EAA"/>
    <w:multiLevelType w:val="hybridMultilevel"/>
    <w:lvl w:ilvl="0">
      <w:lvlJc w:val="left"/>
      <w:lvlText w:val="(%1)"/>
      <w:numFmt w:val="lowerLetter"/>
      <w:start w:val="1"/>
    </w:lvl>
  </w:abstractNum>
  <w:abstractNum w:abstractNumId="15">
    <w:nsid w:val="3F48B982"/>
    <w:multiLevelType w:val="hybridMultilevel"/>
    <w:lvl w:ilvl="0">
      <w:lvlJc w:val="left"/>
      <w:lvlText w:val="(%1)"/>
      <w:numFmt w:val="lowerLetter"/>
      <w:start w:val="1"/>
    </w:lvl>
  </w:abstractNum>
  <w:abstractNum w:abstractNumId="16">
    <w:nsid w:val="46BA8FCA"/>
    <w:multiLevelType w:val="hybridMultilevel"/>
    <w:lvl w:ilvl="0">
      <w:lvlJc w:val="left"/>
      <w:lvlText w:val="(%1)"/>
      <w:numFmt w:val="lowerLetter"/>
      <w:start w:val="3"/>
    </w:lvl>
  </w:abstractNum>
  <w:abstractNum w:abstractNumId="17">
    <w:nsid w:val="7835626C"/>
    <w:multiLevelType w:val="hybridMultilevel"/>
    <w:lvl w:ilvl="0">
      <w:lvlJc w:val="left"/>
      <w:lvlText w:val="(%1)"/>
      <w:numFmt w:val="lowerLetter"/>
      <w:start w:val="1"/>
    </w:lvl>
    <w:lvl w:ilvl="1">
      <w:lvlJc w:val="left"/>
      <w:lvlText w:val="(%2)"/>
      <w:numFmt w:val="lowerRoman"/>
      <w:start w:val="1"/>
    </w:lvl>
  </w:abstractNum>
  <w:abstractNum w:abstractNumId="18">
    <w:nsid w:val="665ACA49"/>
    <w:multiLevelType w:val="hybridMultilevel"/>
    <w:lvl w:ilvl="0">
      <w:lvlJc w:val="left"/>
      <w:lvlText w:val="(%1)"/>
      <w:numFmt w:val="lowerLetter"/>
      <w:start w:val="2"/>
    </w:lvl>
    <w:lvl w:ilvl="1">
      <w:lvlJc w:val="left"/>
      <w:lvlText w:val="(%2)"/>
      <w:numFmt w:val="lowerRoman"/>
      <w:start w:val="1"/>
    </w:lvl>
  </w:abstractNum>
  <w:abstractNum w:abstractNumId="19">
    <w:nsid w:val="6835B2AE"/>
    <w:multiLevelType w:val="hybridMultilevel"/>
    <w:lvl w:ilvl="0">
      <w:lvlJc w:val="left"/>
      <w:lvlText w:val="(%1)"/>
      <w:numFmt w:val="lowerLetter"/>
      <w:start w:val="4"/>
    </w:lvl>
    <w:lvl w:ilvl="1">
      <w:lvlJc w:val="left"/>
      <w:lvlText w:val="(%2)"/>
      <w:numFmt w:val="lowerRoman"/>
      <w:start w:val="1"/>
    </w:lvl>
  </w:abstractNum>
  <w:abstractNum w:abstractNumId="20">
    <w:nsid w:val="4C187C90"/>
    <w:multiLevelType w:val="hybridMultilevel"/>
    <w:lvl w:ilvl="0">
      <w:lvlJc w:val="left"/>
      <w:lvlText w:val="%1"/>
      <w:numFmt w:val="lowerLetter"/>
      <w:start w:val="1"/>
    </w:lvl>
    <w:lvl w:ilvl="1">
      <w:lvlJc w:val="left"/>
      <w:lvlText w:val="(%2)"/>
      <w:numFmt w:val="lowerRoman"/>
      <w:start w:val="4"/>
    </w:lvl>
  </w:abstractNum>
  <w:abstractNum w:abstractNumId="21">
    <w:nsid w:val="541F28CD"/>
    <w:multiLevelType w:val="hybridMultilevel"/>
    <w:lvl w:ilvl="0">
      <w:lvlJc w:val="left"/>
      <w:lvlText w:val="(%1)"/>
      <w:numFmt w:val="lowerLetter"/>
      <w:start w:val="5"/>
    </w:lvl>
    <w:lvl w:ilvl="1">
      <w:lvlJc w:val="left"/>
      <w:lvlText w:val="(%2)"/>
      <w:numFmt w:val="lowerRoman"/>
      <w:start w:val="1"/>
    </w:lvl>
  </w:abstractNum>
  <w:abstractNum w:abstractNumId="22">
    <w:nsid w:val="7F65FD16"/>
    <w:multiLevelType w:val="hybridMultilevel"/>
    <w:lvl w:ilvl="0">
      <w:lvlJc w:val="left"/>
      <w:lvlText w:val="(%1)"/>
      <w:numFmt w:val="lowerLetter"/>
      <w:start w:val="6"/>
    </w:lvl>
    <w:lvl w:ilvl="1">
      <w:lvlJc w:val="left"/>
      <w:lvlText w:val="(%2)"/>
      <w:numFmt w:val="lowerRoman"/>
      <w:start w:val="1"/>
    </w:lvl>
  </w:abstractNum>
  <w:abstractNum w:abstractNumId="23">
    <w:nsid w:val="77C9FD68"/>
    <w:multiLevelType w:val="hybridMultilevel"/>
    <w:lvl w:ilvl="0">
      <w:lvlJc w:val="left"/>
      <w:lvlText w:val="(%1)"/>
      <w:numFmt w:val="lowerLetter"/>
      <w:start w:val="1"/>
    </w:lvl>
    <w:lvl w:ilvl="1">
      <w:lvlJc w:val="left"/>
      <w:lvlText w:val="(%2)"/>
      <w:numFmt w:val="lowerRoman"/>
      <w:start w:val="1"/>
    </w:lvl>
  </w:abstractNum>
  <w:abstractNum w:abstractNumId="24">
    <w:nsid w:val="298A92BA"/>
    <w:multiLevelType w:val="hybridMultilevel"/>
    <w:lvl w:ilvl="0">
      <w:lvlJc w:val="left"/>
      <w:lvlText w:val="%1"/>
      <w:numFmt w:val="lowerLetter"/>
      <w:start w:val="1"/>
    </w:lvl>
    <w:lvl w:ilvl="1">
      <w:lvlJc w:val="left"/>
      <w:lvlText w:val="(%2)"/>
      <w:numFmt w:val="lowerLetter"/>
      <w:start w:val="61"/>
    </w:lvl>
  </w:abstractNum>
  <w:abstractNum w:abstractNumId="25">
    <w:nsid w:val="6FE95EAC"/>
    <w:multiLevelType w:val="hybridMultilevel"/>
    <w:lvl w:ilvl="0">
      <w:lvlJc w:val="left"/>
      <w:lvlText w:val="(%1)"/>
      <w:numFmt w:val="lowerLetter"/>
      <w:start w:val="2"/>
    </w:lvl>
    <w:lvl w:ilvl="1">
      <w:lvlJc w:val="left"/>
      <w:lvlText w:val="%2"/>
      <w:numFmt w:val="lowerLetter"/>
      <w:start w:val="1"/>
    </w:lvl>
  </w:abstractNum>
  <w:abstractNum w:abstractNumId="26">
    <w:nsid w:val="4B697C7A"/>
    <w:multiLevelType w:val="hybridMultilevel"/>
    <w:lvl w:ilvl="0">
      <w:lvlJc w:val="left"/>
      <w:lvlText w:val="(%1)"/>
      <w:numFmt w:val="lowerLetter"/>
      <w:start w:val="3"/>
    </w:lvl>
  </w:abstractNum>
  <w:abstractNum w:abstractNumId="27">
    <w:nsid w:val="51A27AA6"/>
    <w:multiLevelType w:val="hybridMultilevel"/>
    <w:lvl w:ilvl="0">
      <w:lvlJc w:val="left"/>
      <w:lvlText w:val="(%1)"/>
      <w:numFmt w:val="lowerLetter"/>
      <w:start w:val="1"/>
    </w:lvl>
  </w:abstractNum>
  <w:abstractNum w:abstractNumId="28">
    <w:nsid w:val="613183F2"/>
    <w:multiLevelType w:val="hybridMultilevel"/>
    <w:lvl w:ilvl="0">
      <w:lvlJc w:val="left"/>
      <w:lvlText w:val="(%1)"/>
      <w:numFmt w:val="lowerLetter"/>
      <w:start w:val="5"/>
    </w:lvl>
  </w:abstractNum>
  <w:abstractNum w:abstractNumId="29">
    <w:nsid w:val="634102B4"/>
    <w:multiLevelType w:val="hybridMultilevel"/>
    <w:lvl w:ilvl="0">
      <w:lvlJc w:val="left"/>
      <w:lvlText w:val="(%1)"/>
      <w:numFmt w:val="lowerLetter"/>
      <w:start w:val="6"/>
    </w:lvl>
  </w:abstractNum>
  <w:abstractNum w:abstractNumId="30">
    <w:nsid w:val="65BF9DA8"/>
    <w:multiLevelType w:val="hybridMultilevel"/>
    <w:lvl w:ilvl="0">
      <w:lvlJc w:val="left"/>
      <w:lvlText w:val="(%1)"/>
      <w:numFmt w:val="lowerLetter"/>
      <w:start w:val="1"/>
    </w:lvl>
  </w:abstractNum>
  <w:abstractNum w:abstractNumId="31">
    <w:nsid w:val="21A2ECCA"/>
    <w:multiLevelType w:val="hybridMultilevel"/>
    <w:lvl w:ilvl="0">
      <w:lvlJc w:val="left"/>
      <w:lvlText w:val="(%1)"/>
      <w:numFmt w:val="lowerLetter"/>
      <w:start w:val="5"/>
    </w:lvl>
  </w:abstractNum>
  <w:abstractNum w:abstractNumId="32">
    <w:nsid w:val="4D5C4899"/>
    <w:multiLevelType w:val="hybridMultilevel"/>
    <w:lvl w:ilvl="0">
      <w:lvlJc w:val="left"/>
      <w:lvlText w:val="(%1)"/>
      <w:numFmt w:val="lowerLetter"/>
      <w:start w:val="8"/>
    </w:lvl>
  </w:abstractNum>
  <w:abstractNum w:abstractNumId="33">
    <w:nsid w:val="3C3B72B2"/>
    <w:multiLevelType w:val="hybridMultilevel"/>
    <w:lvl w:ilvl="0">
      <w:lvlJc w:val="left"/>
      <w:lvlText w:val="(%1)"/>
      <w:numFmt w:val="lowerLetter"/>
      <w:start w:val="1"/>
    </w:lvl>
  </w:abstractNum>
  <w:abstractNum w:abstractNumId="34">
    <w:nsid w:val="155EC4C2"/>
    <w:multiLevelType w:val="hybridMultilevel"/>
    <w:lvl w:ilvl="0">
      <w:lvlJc w:val="left"/>
      <w:lvlText w:val="(%1)"/>
      <w:numFmt w:val="lowerLetter"/>
      <w:start w:val="2"/>
    </w:lvl>
  </w:abstractNum>
  <w:abstractNum w:abstractNumId="35">
    <w:nsid w:val="65D2A137"/>
    <w:multiLevelType w:val="hybridMultilevel"/>
    <w:lvl w:ilvl="0">
      <w:lvlJc w:val="left"/>
      <w:lvlText w:val="(%1)"/>
      <w:numFmt w:val="lowerLetter"/>
      <w:start w:val="5"/>
    </w:lvl>
  </w:abstractNum>
  <w:abstractNum w:abstractNumId="36">
    <w:nsid w:val="6EBB1F2A"/>
    <w:multiLevelType w:val="hybridMultilevel"/>
    <w:lvl w:ilvl="0">
      <w:lvlJc w:val="left"/>
      <w:lvlText w:val="(%1)"/>
      <w:numFmt w:val="lowerLetter"/>
      <w:start w:val="7"/>
    </w:lvl>
  </w:abstractNum>
  <w:abstractNum w:abstractNumId="37">
    <w:nsid w:val="6FBF29CB"/>
    <w:multiLevelType w:val="hybridMultilevel"/>
    <w:lvl w:ilvl="0">
      <w:lvlJc w:val="left"/>
      <w:lvlText w:val="(%1)"/>
      <w:numFmt w:val="lowerRoman"/>
      <w:start w:val="1"/>
    </w:lvl>
  </w:abstractNum>
  <w:abstractNum w:abstractNumId="38">
    <w:nsid w:val="550B8808"/>
    <w:multiLevelType w:val="hybridMultilevel"/>
    <w:lvl w:ilvl="0">
      <w:lvlJc w:val="left"/>
      <w:lvlText w:val="(%1)"/>
      <w:numFmt w:val="lowerLetter"/>
      <w:start w:val="1"/>
    </w:lvl>
  </w:abstractNum>
  <w:abstractNum w:abstractNumId="39">
    <w:nsid w:val="34CC3ACF"/>
    <w:multiLevelType w:val="hybridMultilevel"/>
    <w:lvl w:ilvl="0">
      <w:lvlJc w:val="left"/>
      <w:lvlText w:val="(%1)"/>
      <w:numFmt w:val="lowerLetter"/>
      <w:start w:val="6"/>
    </w:lvl>
  </w:abstractNum>
  <w:abstractNum w:abstractNumId="40">
    <w:nsid w:val="4E556261"/>
    <w:multiLevelType w:val="hybridMultilevel"/>
    <w:lvl w:ilvl="0">
      <w:lvlJc w:val="left"/>
      <w:lvlText w:val="(%1)"/>
      <w:numFmt w:val="lowerLetter"/>
      <w:start w:val="1"/>
    </w:lvl>
  </w:abstractNum>
  <w:abstractNum w:abstractNumId="41">
    <w:nsid w:val="4C672FC9"/>
    <w:multiLevelType w:val="hybridMultilevel"/>
    <w:lvl w:ilvl="0">
      <w:lvlJc w:val="left"/>
      <w:lvlText w:val="(%1)"/>
      <w:numFmt w:val="lowerLetter"/>
      <w:start w:val="2"/>
    </w:lvl>
  </w:abstractNum>
  <w:abstractNum w:abstractNumId="42">
    <w:nsid w:val="52A311C3"/>
    <w:multiLevelType w:val="hybridMultilevel"/>
    <w:lvl w:ilvl="0">
      <w:lvlJc w:val="left"/>
      <w:lvlText w:val="(%1)"/>
      <w:numFmt w:val="lowerLetter"/>
      <w:start w:val="3"/>
    </w:lvl>
  </w:abstractNum>
  <w:abstractNum w:abstractNumId="43">
    <w:nsid w:val="44EF6B80"/>
    <w:multiLevelType w:val="hybridMultilevel"/>
    <w:lvl w:ilvl="0">
      <w:lvlJc w:val="left"/>
      <w:lvlText w:val="(%1)"/>
      <w:numFmt w:val="lowerLetter"/>
      <w:start w:val="6"/>
    </w:lvl>
  </w:abstractNum>
  <w:abstractNum w:abstractNumId="44">
    <w:nsid w:val="12FCDE5E"/>
    <w:multiLevelType w:val="hybridMultilevel"/>
    <w:lvl w:ilvl="0">
      <w:lvlJc w:val="left"/>
      <w:lvlText w:val="(%1)"/>
      <w:numFmt w:val="lowerLetter"/>
      <w:start w:val="1"/>
    </w:lvl>
  </w:abstractNum>
  <w:abstractNum w:abstractNumId="45">
    <w:nsid w:val="4A1D606E"/>
    <w:multiLevelType w:val="hybridMultilevel"/>
    <w:lvl w:ilvl="0">
      <w:lvlJc w:val="left"/>
      <w:lvlText w:val="(%1)"/>
      <w:numFmt w:val="lowerLetter"/>
      <w:start w:val="5"/>
    </w:lvl>
  </w:abstractNum>
  <w:abstractNum w:abstractNumId="46">
    <w:nsid w:val="4382503"/>
    <w:multiLevelType w:val="hybridMultilevel"/>
    <w:lvl w:ilvl="0">
      <w:lvlJc w:val="left"/>
      <w:lvlText w:val="(%1)"/>
      <w:numFmt w:val="lowerLetter"/>
      <w:start w:val="1"/>
    </w:lvl>
  </w:abstractNum>
  <w:abstractNum w:abstractNumId="47">
    <w:nsid w:val="59B76E28"/>
    <w:multiLevelType w:val="hybridMultilevel"/>
    <w:lvl w:ilvl="0">
      <w:lvlJc w:val="left"/>
      <w:lvlText w:val="%1"/>
      <w:numFmt w:val="lowerLetter"/>
      <w:start w:val="1"/>
    </w:lvl>
    <w:lvl w:ilvl="1">
      <w:lvlJc w:val="left"/>
      <w:lvlText w:val="(%2)"/>
      <w:numFmt w:val="lowerLetter"/>
      <w:start w:val="2"/>
    </w:lvl>
  </w:abstractNum>
  <w:abstractNum w:abstractNumId="48">
    <w:nsid w:val="4252C2DA"/>
    <w:multiLevelType w:val="hybridMultilevel"/>
    <w:lvl w:ilvl="0">
      <w:lvlJc w:val="left"/>
      <w:lvlText w:val="(%1)"/>
      <w:numFmt w:val="lowerLetter"/>
      <w:start w:val="61"/>
    </w:lvl>
    <w:lvl w:ilvl="1">
      <w:lvlJc w:val="left"/>
      <w:lvlText w:val="(%2)"/>
      <w:numFmt w:val="lowerLetter"/>
      <w:start w:val="3"/>
    </w:lvl>
  </w:abstractNum>
  <w:abstractNum w:abstractNumId="49">
    <w:nsid w:val="6A92EF4C"/>
    <w:multiLevelType w:val="hybridMultilevel"/>
    <w:lvl w:ilvl="0">
      <w:lvlJc w:val="left"/>
      <w:lvlText w:val="%1"/>
      <w:numFmt w:val="lowerLetter"/>
      <w:start w:val="1"/>
    </w:lvl>
    <w:lvl w:ilvl="1">
      <w:lvlJc w:val="left"/>
      <w:lvlText w:val="(%2)"/>
      <w:numFmt w:val="lowerLetter"/>
      <w:start w:val="4"/>
    </w:lvl>
  </w:abstractNum>
  <w:abstractNum w:abstractNumId="50">
    <w:nsid w:val="41ED20D7"/>
    <w:multiLevelType w:val="hybridMultilevel"/>
    <w:lvl w:ilvl="0">
      <w:lvlJc w:val="left"/>
      <w:lvlText w:val="(%1)"/>
      <w:numFmt w:val="lowerLetter"/>
      <w:start w:val="9"/>
    </w:lvl>
    <w:lvl w:ilvl="1">
      <w:lvlJc w:val="left"/>
      <w:lvlText w:val="%2"/>
      <w:numFmt w:val="lowerLetter"/>
      <w:start w:val="1"/>
    </w:lvl>
  </w:abstractNum>
  <w:abstractNum w:abstractNumId="51">
    <w:nsid w:val="E6B3F6A"/>
    <w:multiLevelType w:val="hybridMultilevel"/>
    <w:lvl w:ilvl="0">
      <w:lvlJc w:val="left"/>
      <w:lvlText w:val="%1"/>
      <w:numFmt w:val="lowerLetter"/>
      <w:start w:val="1"/>
    </w:lvl>
    <w:lvl w:ilvl="1">
      <w:lvlJc w:val="left"/>
      <w:lvlText w:val="(%2)"/>
      <w:numFmt w:val="lowerLetter"/>
      <w:start w:val="1"/>
    </w:lvl>
  </w:abstractNum>
  <w:abstractNum w:abstractNumId="52">
    <w:nsid w:val="3EB21819"/>
    <w:multiLevelType w:val="hybridMultilevel"/>
    <w:lvl w:ilvl="0">
      <w:lvlJc w:val="left"/>
      <w:lvlText w:val="(%1)"/>
      <w:numFmt w:val="lowerLetter"/>
      <w:start w:val="9"/>
    </w:lvl>
    <w:lvl w:ilvl="1">
      <w:lvlJc w:val="left"/>
      <w:lvlText w:val="(%2)"/>
      <w:numFmt w:val="lowerLetter"/>
      <w:start w:val="4"/>
    </w:lvl>
  </w:abstractNum>
  <w:abstractNum w:abstractNumId="53">
    <w:nsid w:val="41531DED"/>
    <w:multiLevelType w:val="hybridMultilevel"/>
    <w:lvl w:ilvl="0">
      <w:lvlJc w:val="left"/>
      <w:lvlText w:val="(%1)"/>
      <w:numFmt w:val="lowerLetter"/>
      <w:start w:val="1"/>
    </w:lvl>
  </w:abstractNum>
  <w:abstractNum w:abstractNumId="54">
    <w:nsid w:val="6353CD2"/>
    <w:multiLevelType w:val="hybridMultilevel"/>
    <w:lvl w:ilvl="0">
      <w:lvlJc w:val="left"/>
      <w:lvlText w:val="(%1)"/>
      <w:numFmt w:val="lowerLetter"/>
      <w:start w:val="1"/>
    </w:lvl>
  </w:abstractNum>
  <w:abstractNum w:abstractNumId="55">
    <w:nsid w:val="683CAAD3"/>
    <w:multiLevelType w:val="hybridMultilevel"/>
    <w:lvl w:ilvl="0">
      <w:lvlJc w:val="left"/>
      <w:lvlText w:val="(%1)"/>
      <w:numFmt w:val="lowerLetter"/>
      <w:start w:val="6"/>
    </w:lvl>
  </w:abstractNum>
  <w:abstractNum w:abstractNumId="56">
    <w:nsid w:val="313C7C99"/>
    <w:multiLevelType w:val="hybridMultilevel"/>
    <w:lvl w:ilvl="0">
      <w:lvlJc w:val="left"/>
      <w:lvlText w:val="(%1)"/>
      <w:numFmt w:val="lowerLetter"/>
      <w:start w:val="1"/>
    </w:lvl>
    <w:lvl w:ilvl="1">
      <w:lvlJc w:val="left"/>
      <w:lvlText w:val="(%2)"/>
      <w:numFmt w:val="lowerRoman"/>
      <w:start w:val="1"/>
    </w:lvl>
  </w:abstractNum>
  <w:abstractNum w:abstractNumId="57">
    <w:nsid w:val="519EB94C"/>
    <w:multiLevelType w:val="hybridMultilevel"/>
    <w:lvl w:ilvl="0">
      <w:lvlJc w:val="left"/>
      <w:lvlText w:val="(%1)"/>
      <w:numFmt w:val="lowerRoman"/>
      <w:start w:val="3"/>
    </w:lvl>
  </w:abstractNum>
  <w:abstractNum w:abstractNumId="58">
    <w:nsid w:val="39DF2579"/>
    <w:multiLevelType w:val="hybridMultilevel"/>
    <w:lvl w:ilvl="0">
      <w:lvlJc w:val="left"/>
      <w:lvlText w:val="(%1)"/>
      <w:numFmt w:val="lowerLetter"/>
      <w:start w:val="3"/>
    </w:lvl>
    <w:lvl w:ilvl="1">
      <w:lvlJc w:val="left"/>
      <w:lvlText w:val="(%2)"/>
      <w:numFmt w:val="lowerRoman"/>
      <w:start w:val="1"/>
    </w:lvl>
  </w:abstractNum>
  <w:abstractNum w:abstractNumId="59">
    <w:nsid w:val="126E008B"/>
    <w:multiLevelType w:val="hybridMultilevel"/>
    <w:lvl w:ilvl="0">
      <w:lvlJc w:val="left"/>
      <w:lvlText w:val="%1"/>
      <w:numFmt w:val="decimal"/>
      <w:start w:val="920"/>
    </w:lvl>
  </w:abstractNum>
  <w:abstractNum w:abstractNumId="60">
    <w:nsid w:val="34DFBC00"/>
    <w:multiLevelType w:val="hybridMultilevel"/>
    <w:lvl w:ilvl="0">
      <w:lvlJc w:val="left"/>
      <w:lvlText w:val="(%1)"/>
      <w:numFmt w:val="lowerLetter"/>
      <w:start w:val="1"/>
    </w:lvl>
  </w:abstractNum>
  <w:abstractNum w:abstractNumId="61">
    <w:nsid w:val="1F9EC322"/>
    <w:multiLevelType w:val="hybridMultilevel"/>
    <w:lvl w:ilvl="0">
      <w:lvlJc w:val="left"/>
      <w:lvlText w:val="(%1)"/>
      <w:numFmt w:val="lowerLetter"/>
      <w:start w:val="1"/>
    </w:lvl>
  </w:abstractNum>
  <w:abstractNum w:abstractNumId="62">
    <w:nsid w:val="3410ED56"/>
    <w:multiLevelType w:val="hybridMultilevel"/>
    <w:lvl w:ilvl="0">
      <w:lvlJc w:val="left"/>
      <w:lvlText w:val="%1"/>
      <w:numFmt w:val="lowerLetter"/>
      <w:start w:val="1"/>
    </w:lvl>
    <w:lvl w:ilvl="1">
      <w:lvlJc w:val="left"/>
      <w:lvlText w:val="(%2)"/>
      <w:numFmt w:val="lowerLetter"/>
      <w:start w:val="1"/>
    </w:lvl>
  </w:abstractNum>
  <w:abstractNum w:abstractNumId="63">
    <w:nsid w:val="23C049A"/>
    <w:multiLevelType w:val="hybridMultilevel"/>
    <w:lvl w:ilvl="0">
      <w:lvlJc w:val="left"/>
      <w:lvlText w:val="(%1)"/>
      <w:numFmt w:val="lowerLetter"/>
      <w:start w:val="9"/>
    </w:lvl>
    <w:lvl w:ilvl="1">
      <w:lvlJc w:val="left"/>
      <w:lvlText w:val="(%2)"/>
      <w:numFmt w:val="lowerLetter"/>
      <w:start w:val="2"/>
    </w:lvl>
  </w:abstractNum>
  <w:abstractNum w:abstractNumId="64">
    <w:nsid w:val="5BDA35D4"/>
    <w:multiLevelType w:val="hybridMultilevel"/>
    <w:lvl w:ilvl="0">
      <w:lvlJc w:val="left"/>
      <w:lvlText w:val="(%1)"/>
      <w:numFmt w:val="lowerLetter"/>
      <w:start w:val="1"/>
    </w:lvl>
  </w:abstractNum>
  <w:abstractNum w:abstractNumId="65">
    <w:nsid w:val="496FB218"/>
    <w:multiLevelType w:val="hybridMultilevel"/>
    <w:lvl w:ilvl="0">
      <w:lvlJc w:val="left"/>
      <w:lvlText w:val="(%1)"/>
      <w:numFmt w:val="lowerLetter"/>
      <w:start w:val="2"/>
    </w:lvl>
  </w:abstractNum>
  <w:abstractNum w:abstractNumId="66">
    <w:nsid w:val="680EA5D1"/>
    <w:multiLevelType w:val="hybridMultilevel"/>
    <w:lvl w:ilvl="0">
      <w:lvlJc w:val="left"/>
      <w:lvlText w:val="(%1)"/>
      <w:numFmt w:val="lowerLetter"/>
      <w:start w:val="1"/>
    </w:lvl>
  </w:abstractNum>
  <w:abstractNum w:abstractNumId="67">
    <w:nsid w:val="4A9554FE"/>
    <w:multiLevelType w:val="hybridMultilevel"/>
    <w:lvl w:ilvl="0">
      <w:lvlJc w:val="left"/>
      <w:lvlText w:val="(%1)"/>
      <w:numFmt w:val="lowerRoman"/>
      <w:start w:val="3"/>
    </w:lvl>
  </w:abstractNum>
  <w:abstractNum w:abstractNumId="68">
    <w:nsid w:val="392EDBE4"/>
    <w:multiLevelType w:val="hybridMultilevel"/>
    <w:lvl w:ilvl="0">
      <w:lvlJc w:val="left"/>
      <w:lvlText w:val="(%1)"/>
      <w:numFmt w:val="lowerLetter"/>
      <w:start w:val="1"/>
    </w:lvl>
    <w:lvl w:ilvl="1">
      <w:lvlJc w:val="left"/>
      <w:lvlText w:val="(%2)"/>
      <w:numFmt w:val="lowerLetter"/>
      <w:start w:val="9"/>
    </w:lvl>
  </w:abstractNum>
  <w:abstractNum w:abstractNumId="69">
    <w:nsid w:val="3D1A2DD9"/>
    <w:multiLevelType w:val="hybridMultilevel"/>
    <w:lvl w:ilvl="0">
      <w:lvlJc w:val="left"/>
      <w:lvlText w:val="(%1)"/>
      <w:numFmt w:val="lowerRoman"/>
      <w:start w:val="2"/>
    </w:lvl>
  </w:abstractNum>
  <w:abstractNum w:abstractNumId="70">
    <w:nsid w:val="7F618FCD"/>
    <w:multiLevelType w:val="hybridMultilevel"/>
    <w:lvl w:ilvl="0">
      <w:lvlJc w:val="left"/>
      <w:lvlText w:val="(%1)"/>
      <w:numFmt w:val="lowerLetter"/>
      <w:start w:val="2"/>
    </w:lvl>
  </w:abstractNum>
  <w:abstractNum w:abstractNumId="71">
    <w:nsid w:val="7843E45"/>
    <w:multiLevelType w:val="hybridMultilevel"/>
    <w:lvl w:ilvl="0">
      <w:lvlJc w:val="left"/>
      <w:lvlText w:val="(%1)"/>
      <w:numFmt w:val="lowerLetter"/>
      <w:start w:val="1"/>
    </w:lvl>
    <w:lvl w:ilvl="1">
      <w:lvlJc w:val="left"/>
      <w:lvlText w:val="(%2)"/>
      <w:numFmt w:val="lowerRoman"/>
      <w:start w:val="1"/>
    </w:lvl>
  </w:abstractNum>
  <w:abstractNum w:abstractNumId="72">
    <w:nsid w:val="9815DA3"/>
    <w:multiLevelType w:val="hybridMultilevel"/>
    <w:lvl w:ilvl="0">
      <w:lvlJc w:val="left"/>
      <w:lvlText w:val="%1"/>
      <w:numFmt w:val="lowerLetter"/>
      <w:start w:val="1"/>
    </w:lvl>
    <w:lvl w:ilvl="1">
      <w:lvlJc w:val="left"/>
      <w:lvlText w:val="(%2)"/>
      <w:numFmt w:val="lowerRoman"/>
      <w:start w:val="6"/>
    </w:lvl>
  </w:abstractNum>
  <w:abstractNum w:abstractNumId="73">
    <w:nsid w:val="5204A191"/>
    <w:multiLevelType w:val="hybridMultilevel"/>
    <w:lvl w:ilvl="0">
      <w:lvlJc w:val="left"/>
      <w:lvlText w:val="(%1)"/>
      <w:numFmt w:val="lowerLetter"/>
      <w:start w:val="2"/>
    </w:lvl>
    <w:lvl w:ilvl="1">
      <w:lvlJc w:val="left"/>
      <w:lvlText w:val="%2"/>
      <w:numFmt w:val="lowerRoman"/>
      <w:start w:val="1"/>
    </w:lvl>
  </w:abstractNum>
  <w:abstractNum w:abstractNumId="74">
    <w:nsid w:val="4C73A9C6"/>
    <w:multiLevelType w:val="hybridMultilevel"/>
    <w:lvl w:ilvl="0">
      <w:lvlJc w:val="left"/>
      <w:lvlText w:val="(%1)"/>
      <w:numFmt w:val="lowerLetter"/>
      <w:start w:val="1"/>
    </w:lvl>
  </w:abstractNum>
  <w:abstractNum w:abstractNumId="75">
    <w:nsid w:val="1C7E3C01"/>
    <w:multiLevelType w:val="hybridMultilevel"/>
    <w:lvl w:ilvl="0">
      <w:lvlJc w:val="left"/>
      <w:lvlText w:val="(%1)"/>
      <w:numFmt w:val="lowerLetter"/>
      <w:start w:val="2"/>
    </w:lvl>
    <w:lvl w:ilvl="1">
      <w:lvlJc w:val="left"/>
      <w:lvlText w:val="(%2)"/>
      <w:numFmt w:val="lowerRoman"/>
      <w:start w:val="1"/>
    </w:lvl>
  </w:abstractNum>
  <w:abstractNum w:abstractNumId="76">
    <w:nsid w:val="1C2201FF"/>
    <w:multiLevelType w:val="hybridMultilevel"/>
    <w:lvl w:ilvl="0">
      <w:lvlJc w:val="left"/>
      <w:lvlText w:val="(%1)"/>
      <w:numFmt w:val="lowerLetter"/>
      <w:start w:val="3"/>
    </w:lvl>
  </w:abstractNum>
  <w:abstractNum w:abstractNumId="77">
    <w:nsid w:val="50ABCEC9"/>
    <w:multiLevelType w:val="hybridMultilevel"/>
    <w:lvl w:ilvl="0">
      <w:lvlJc w:val="left"/>
      <w:lvlText w:val="%1"/>
      <w:numFmt w:val="lowerLetter"/>
      <w:start w:val="1"/>
    </w:lvl>
    <w:lvl w:ilvl="1">
      <w:lvlJc w:val="left"/>
      <w:lvlText w:val="(%2)"/>
      <w:numFmt w:val="lowerLetter"/>
      <w:start w:val="1"/>
    </w:lvl>
  </w:abstractNum>
  <w:abstractNum w:abstractNumId="78">
    <w:nsid w:val="7635AA2A"/>
    <w:multiLevelType w:val="hybridMultilevel"/>
    <w:lvl w:ilvl="0">
      <w:lvlJc w:val="left"/>
      <w:lvlText w:val="(%1)"/>
      <w:numFmt w:val="lowerLetter"/>
      <w:start w:val="9"/>
    </w:lvl>
    <w:lvl w:ilvl="1">
      <w:lvlJc w:val="left"/>
      <w:lvlText w:val="(%2)"/>
      <w:numFmt w:val="lowerLetter"/>
      <w:start w:val="2"/>
    </w:lvl>
  </w:abstractNum>
  <w:abstractNum w:abstractNumId="79">
    <w:nsid w:val="5E74C4D9"/>
    <w:multiLevelType w:val="hybridMultilevel"/>
    <w:lvl w:ilvl="0">
      <w:lvlJc w:val="left"/>
      <w:lvlText w:val="(%1)"/>
      <w:numFmt w:val="lowerLetter"/>
      <w:start w:val="3"/>
    </w:lvl>
  </w:abstractNum>
  <w:abstractNum w:abstractNumId="80">
    <w:nsid w:val="3B3EBE15"/>
    <w:multiLevelType w:val="hybridMultilevel"/>
    <w:lvl w:ilvl="0">
      <w:lvlJc w:val="left"/>
      <w:lvlText w:val="(%1)"/>
      <w:numFmt w:val="lowerLetter"/>
      <w:start w:val="1"/>
    </w:lvl>
  </w:abstractNum>
  <w:abstractNum w:abstractNumId="81">
    <w:nsid w:val="3822CB01"/>
    <w:multiLevelType w:val="hybridMultilevel"/>
    <w:lvl w:ilvl="0">
      <w:lvlJc w:val="left"/>
      <w:lvlText w:val="(%1)"/>
      <w:numFmt w:val="lowerLetter"/>
      <w:start w:val="2"/>
    </w:lvl>
  </w:abstractNum>
  <w:abstractNum w:abstractNumId="82">
    <w:nsid w:val="6CE00443"/>
    <w:multiLevelType w:val="hybridMultilevel"/>
    <w:lvl w:ilvl="0">
      <w:lvlJc w:val="left"/>
      <w:lvlText w:val="(%1)"/>
      <w:numFmt w:val="lowerLetter"/>
      <w:start w:val="1"/>
    </w:lvl>
  </w:abstractNum>
  <w:abstractNum w:abstractNumId="83">
    <w:nsid w:val="79F0D62F"/>
    <w:multiLevelType w:val="hybridMultilevel"/>
    <w:lvl w:ilvl="0">
      <w:lvlJc w:val="left"/>
      <w:lvlText w:val="%1"/>
      <w:numFmt w:val="lowerLetter"/>
      <w:start w:val="1"/>
    </w:lvl>
    <w:lvl w:ilvl="1">
      <w:lvlJc w:val="left"/>
      <w:lvlText w:val="(%2)"/>
      <w:numFmt w:val="lowerLetter"/>
      <w:start w:val="2"/>
    </w:lvl>
  </w:abstractNum>
  <w:abstractNum w:abstractNumId="84">
    <w:nsid w:val="7975E8EE"/>
    <w:multiLevelType w:val="hybridMultilevel"/>
    <w:lvl w:ilvl="0">
      <w:lvlJc w:val="left"/>
      <w:lvlText w:val="(%1)"/>
      <w:numFmt w:val="lowerLetter"/>
      <w:start w:val="61"/>
    </w:lvl>
    <w:lvl w:ilvl="1">
      <w:lvlJc w:val="left"/>
      <w:lvlText w:val="%2"/>
      <w:numFmt w:val="lowerLetter"/>
      <w:start w:val="1"/>
    </w:lvl>
  </w:abstractNum>
  <w:abstractNum w:abstractNumId="85">
    <w:nsid w:val="73154115"/>
    <w:multiLevelType w:val="hybridMultilevel"/>
    <w:lvl w:ilvl="0">
      <w:lvlJc w:val="left"/>
      <w:lvlText w:val="(%1)"/>
      <w:numFmt w:val="lowerLetter"/>
      <w:start w:val="1"/>
    </w:lvl>
  </w:abstractNum>
  <w:abstractNum w:abstractNumId="86">
    <w:nsid w:val="622D8102"/>
    <w:multiLevelType w:val="hybridMultilevel"/>
    <w:lvl w:ilvl="0">
      <w:lvlJc w:val="left"/>
      <w:lvlText w:val="(%1)"/>
      <w:numFmt w:val="lowerLetter"/>
      <w:start w:val="3"/>
    </w:lvl>
  </w:abstractNum>
  <w:abstractNum w:abstractNumId="87">
    <w:nsid w:val="2AB26587"/>
    <w:multiLevelType w:val="hybridMultilevel"/>
    <w:lvl w:ilvl="0">
      <w:lvlJc w:val="left"/>
      <w:lvlText w:val="(%1)"/>
      <w:numFmt w:val="lowerLetter"/>
      <w:start w:val="1"/>
    </w:lvl>
  </w:abstractNum>
  <w:abstractNum w:abstractNumId="88">
    <w:nsid w:val="44B3FA61"/>
    <w:multiLevelType w:val="hybridMultilevel"/>
    <w:lvl w:ilvl="0">
      <w:lvlJc w:val="left"/>
      <w:lvlText w:val="(%1)"/>
      <w:numFmt w:val="lowerLetter"/>
      <w:start w:val="2"/>
    </w:lvl>
  </w:abstractNum>
  <w:abstractNum w:abstractNumId="89">
    <w:nsid w:val="1C0CA67C"/>
    <w:multiLevelType w:val="hybridMultilevel"/>
    <w:lvl w:ilvl="0">
      <w:lvlJc w:val="left"/>
      <w:lvlText w:val="(%1)"/>
      <w:numFmt w:val="lowerLetter"/>
      <w:start w:val="1"/>
    </w:lvl>
    <w:lvl w:ilvl="1">
      <w:lvlJc w:val="left"/>
      <w:lvlText w:val="(%2)"/>
      <w:numFmt w:val="lowerLetter"/>
      <w:start w:val="9"/>
    </w:lvl>
  </w:abstractNum>
  <w:abstractNum w:abstractNumId="90">
    <w:nsid w:val="3D206613"/>
    <w:multiLevelType w:val="hybridMultilevel"/>
    <w:lvl w:ilvl="0">
      <w:lvlJc w:val="left"/>
      <w:lvlText w:val="(%1)"/>
      <w:numFmt w:val="lowerRoman"/>
      <w:start w:val="2"/>
    </w:lvl>
  </w:abstractNum>
  <w:abstractNum w:abstractNumId="91">
    <w:nsid w:val="7993B662"/>
    <w:multiLevelType w:val="hybridMultilevel"/>
    <w:lvl w:ilvl="0">
      <w:lvlJc w:val="left"/>
      <w:lvlText w:val="(%1)"/>
      <w:numFmt w:val="lowerLetter"/>
      <w:start w:val="2"/>
    </w:lvl>
  </w:abstractNum>
  <w:abstractNum w:abstractNumId="92">
    <w:nsid w:val="3BAB699E"/>
    <w:multiLevelType w:val="hybridMultilevel"/>
    <w:lvl w:ilvl="0">
      <w:lvlJc w:val="left"/>
      <w:lvlText w:val="(%1)"/>
      <w:numFmt w:val="lowerLetter"/>
      <w:start w:val="1"/>
    </w:lvl>
  </w:abstractNum>
  <w:abstractNum w:abstractNumId="93">
    <w:nsid w:val="71315369"/>
    <w:multiLevelType w:val="hybridMultilevel"/>
    <w:lvl w:ilvl="0">
      <w:lvlJc w:val="left"/>
      <w:lvlText w:val="(%1)"/>
      <w:numFmt w:val="lowerLetter"/>
      <w:start w:val="2"/>
    </w:lvl>
  </w:abstractNum>
  <w:abstractNum w:abstractNumId="94">
    <w:nsid w:val="7BCFBAFC"/>
    <w:multiLevelType w:val="hybridMultilevel"/>
    <w:lvl w:ilvl="0">
      <w:lvlJc w:val="left"/>
      <w:lvlText w:val="(%1)"/>
      <w:numFmt w:val="lowerLetter"/>
      <w:start w:val="1"/>
    </w:lvl>
  </w:abstractNum>
  <w:abstractNum w:abstractNumId="95">
    <w:nsid w:val="17859F72"/>
    <w:multiLevelType w:val="hybridMultilevel"/>
    <w:lvl w:ilvl="0">
      <w:lvlJc w:val="left"/>
      <w:lvlText w:val="(%1)"/>
      <w:numFmt w:val="upperLetter"/>
      <w:start w:val="2"/>
    </w:lvl>
    <w:lvl w:ilvl="1">
      <w:lvlJc w:val="left"/>
      <w:lvlText w:val="(%2)"/>
      <w:numFmt w:val="lowerLetter"/>
      <w:start w:val="2"/>
    </w:lvl>
  </w:abstractNum>
  <w:abstractNum w:abstractNumId="96">
    <w:nsid w:val="3AA10581"/>
    <w:multiLevelType w:val="hybridMultilevel"/>
    <w:lvl w:ilvl="0">
      <w:lvlJc w:val="left"/>
      <w:lvlText w:val="(%1)"/>
      <w:numFmt w:val="lowerRoman"/>
      <w:start w:val="1"/>
    </w:lvl>
  </w:abstractNum>
  <w:abstractNum w:abstractNumId="97">
    <w:nsid w:val="63DE60CD"/>
    <w:multiLevelType w:val="hybridMultilevel"/>
    <w:lvl w:ilvl="0">
      <w:lvlJc w:val="left"/>
      <w:lvlText w:val="%1"/>
      <w:numFmt w:val="lowerLetter"/>
      <w:start w:val="1"/>
    </w:lvl>
    <w:lvl w:ilvl="1">
      <w:lvlJc w:val="left"/>
      <w:lvlText w:val="(%2)"/>
      <w:numFmt w:val="lowerRoman"/>
      <w:start w:val="4"/>
    </w:lvl>
  </w:abstractNum>
  <w:abstractNum w:abstractNumId="98">
    <w:nsid w:val="621AF471"/>
    <w:multiLevelType w:val="hybridMultilevel"/>
    <w:lvl w:ilvl="0">
      <w:lvlJc w:val="left"/>
      <w:lvlText w:val="(%1)"/>
      <w:numFmt w:val="lowerLetter"/>
      <w:start w:val="3"/>
    </w:lvl>
    <w:lvl w:ilvl="1">
      <w:lvlJc w:val="left"/>
      <w:lvlText w:val="%2"/>
      <w:numFmt w:val="lowerRoman"/>
      <w:start w:val="1"/>
    </w:lvl>
  </w:abstractNum>
  <w:abstractNum w:abstractNumId="99">
    <w:nsid w:val="73CFE165"/>
    <w:multiLevelType w:val="hybridMultilevel"/>
    <w:lvl w:ilvl="0">
      <w:lvlJc w:val="left"/>
      <w:lvlText w:val="(%1)"/>
      <w:numFmt w:val="lowerRoman"/>
      <w:start w:val="1"/>
    </w:lvl>
  </w:abstractNum>
  <w:abstractNum w:abstractNumId="100">
    <w:nsid w:val="20F88EA6"/>
    <w:multiLevelType w:val="hybridMultilevel"/>
    <w:lvl w:ilvl="0">
      <w:lvlJc w:val="left"/>
      <w:lvlText w:val="(%1)"/>
      <w:numFmt w:val="lowerRoman"/>
      <w:start w:val="1"/>
    </w:lvl>
  </w:abstractNum>
  <w:abstractNum w:abstractNumId="101">
    <w:nsid w:val="617C843E"/>
    <w:multiLevelType w:val="hybridMultilevel"/>
    <w:lvl w:ilvl="0">
      <w:lvlJc w:val="left"/>
      <w:lvlText w:val="(%1)"/>
      <w:numFmt w:val="lowerRoman"/>
      <w:start w:val="3"/>
    </w:lvl>
  </w:abstractNum>
  <w:abstractNum w:abstractNumId="102">
    <w:nsid w:val="7B541FAB"/>
    <w:multiLevelType w:val="hybridMultilevel"/>
    <w:lvl w:ilvl="0">
      <w:lvlJc w:val="left"/>
      <w:lvlText w:val="(%1)"/>
      <w:numFmt w:val="lowerLetter"/>
      <w:start w:val="1"/>
    </w:lvl>
  </w:abstractNum>
  <w:abstractNum w:abstractNumId="103">
    <w:nsid w:val="2A79EC49"/>
    <w:multiLevelType w:val="hybridMultilevel"/>
    <w:lvl w:ilvl="0">
      <w:lvlJc w:val="left"/>
      <w:lvlText w:val="%1"/>
      <w:numFmt w:val="lowerRoman"/>
      <w:start w:val="1"/>
    </w:lvl>
    <w:lvl w:ilvl="1">
      <w:lvlJc w:val="left"/>
      <w:lvlText w:val="(%2)"/>
      <w:numFmt w:val="lowerLetter"/>
      <w:start w:val="2"/>
    </w:lvl>
  </w:abstractNum>
  <w:abstractNum w:abstractNumId="104">
    <w:nsid w:val="338125CF"/>
    <w:multiLevelType w:val="hybridMultilevel"/>
    <w:lvl w:ilvl="0">
      <w:lvlJc w:val="left"/>
      <w:lvlText w:val="(%1)"/>
      <w:numFmt w:val="lowerRoman"/>
      <w:start w:val="1"/>
    </w:lvl>
    <w:lvl w:ilvl="1">
      <w:lvlJc w:val="left"/>
      <w:lvlText w:val="(%2)"/>
      <w:numFmt w:val="lowerLetter"/>
      <w:start w:val="4"/>
    </w:lvl>
  </w:abstractNum>
  <w:abstractNum w:abstractNumId="105">
    <w:nsid w:val="47C7C971"/>
    <w:multiLevelType w:val="hybridMultilevel"/>
    <w:lvl w:ilvl="0">
      <w:lvlJc w:val="left"/>
      <w:lvlText w:val="(%1)"/>
      <w:numFmt w:val="lowerLetter"/>
      <w:start w:val="1"/>
    </w:lvl>
  </w:abstractNum>
  <w:abstractNum w:abstractNumId="106">
    <w:nsid w:val="46F8284B"/>
    <w:multiLevelType w:val="hybridMultilevel"/>
    <w:lvl w:ilvl="0">
      <w:lvlJc w:val="left"/>
      <w:lvlText w:val="(%1)"/>
      <w:numFmt w:val="lowerLetter"/>
      <w:start w:val="2"/>
    </w:lvl>
  </w:abstractNum>
  <w:abstractNum w:abstractNumId="107">
    <w:nsid w:val="4FA327CE"/>
    <w:multiLevelType w:val="hybridMultilevel"/>
    <w:lvl w:ilvl="0">
      <w:lvlJc w:val="left"/>
      <w:lvlText w:val="(%1)"/>
      <w:numFmt w:val="lowerLetter"/>
      <w:start w:val="1"/>
    </w:lvl>
  </w:abstractNum>
  <w:abstractNum w:abstractNumId="108">
    <w:nsid w:val="1873983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9">
    <w:nsid w:val="3D2DD275"/>
    <w:multiLevelType w:val="hybridMultilevel"/>
    <w:lvl w:ilvl="0">
      <w:lvlJc w:val="left"/>
      <w:lvlText w:val="%1"/>
      <w:numFmt w:val="upperLetter"/>
      <w:start w:val="1"/>
    </w:lvl>
    <w:lvl w:ilvl="1">
      <w:lvlJc w:val="left"/>
      <w:lvlText w:val="(%2)"/>
      <w:numFmt w:val="upperLetter"/>
      <w:start w:val="2"/>
    </w:lvl>
  </w:abstractNum>
  <w:abstractNum w:abstractNumId="110">
    <w:nsid w:val="2E17ECA7"/>
    <w:multiLevelType w:val="hybridMultilevel"/>
    <w:lvl w:ilvl="0">
      <w:lvlJc w:val="left"/>
      <w:lvlText w:val="(%1)"/>
      <w:numFmt w:val="upperLetter"/>
      <w:start w:val="35"/>
    </w:lvl>
    <w:lvl w:ilvl="1">
      <w:lvlJc w:val="left"/>
      <w:lvlText w:val="(%2)"/>
      <w:numFmt w:val="upperLetter"/>
      <w:start w:val="3"/>
    </w:lvl>
  </w:abstractNum>
  <w:abstractNum w:abstractNumId="111">
    <w:nsid w:val="53B2564F"/>
    <w:multiLevelType w:val="hybridMultilevel"/>
    <w:lvl w:ilvl="0">
      <w:lvlJc w:val="left"/>
      <w:lvlText w:val="%1"/>
      <w:numFmt w:val="lowerRoman"/>
      <w:start w:val="1"/>
    </w:lvl>
    <w:lvl w:ilvl="1">
      <w:lvlJc w:val="left"/>
      <w:lvlText w:val="(%2)"/>
      <w:numFmt w:val="upperLetter"/>
      <w:start w:val="4"/>
    </w:lvl>
  </w:abstractNum>
  <w:abstractNum w:abstractNumId="112">
    <w:nsid w:val="75509D76"/>
    <w:multiLevelType w:val="hybridMultilevel"/>
    <w:lvl w:ilvl="0">
      <w:lvlJc w:val="left"/>
      <w:lvlText w:val="(%1)"/>
      <w:numFmt w:val="lowerRoman"/>
      <w:start w:val="1"/>
    </w:lvl>
    <w:lvl w:ilvl="1">
      <w:lvlJc w:val="left"/>
      <w:lvlText w:val="(%2)"/>
      <w:numFmt w:val="upperLetter"/>
      <w:start w:val="6"/>
    </w:lvl>
  </w:abstractNum>
  <w:abstractNum w:abstractNumId="113">
    <w:nsid w:val="1AF7F0EA"/>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14">
    <w:nsid w:val="4DA32C7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115">
    <w:nsid w:val="6EC68664"/>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116">
    <w:nsid w:val="E0D31FF"/>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17">
    <w:nsid w:val="2FD0AD81"/>
    <w:multiLevelType w:val="hybridMultilevel"/>
    <w:lvl w:ilvl="0">
      <w:lvlJc w:val="left"/>
      <w:lvlText w:val="(%1)"/>
      <w:numFmt w:val="lowerRoman"/>
      <w:start w:val="5"/>
    </w:lvl>
    <w:lvl w:ilvl="1">
      <w:lvlJc w:val="left"/>
      <w:lvlText w:val="(%2)"/>
      <w:numFmt w:val="upperLetter"/>
      <w:start w:val="1"/>
    </w:lvl>
  </w:abstractNum>
  <w:abstractNum w:abstractNumId="118">
    <w:nsid w:val="1978EBEB"/>
    <w:multiLevelType w:val="hybridMultilevel"/>
    <w:lvl w:ilvl="0">
      <w:lvlJc w:val="left"/>
      <w:lvlText w:val="(%1)"/>
      <w:numFmt w:val="lowerRoman"/>
      <w:start w:val="6"/>
    </w:lvl>
    <w:lvl w:ilvl="1">
      <w:lvlJc w:val="left"/>
      <w:lvlText w:val="(%2)"/>
      <w:numFmt w:val="upperLetter"/>
      <w:start w:val="1"/>
    </w:lvl>
  </w:abstractNum>
  <w:abstractNum w:abstractNumId="119">
    <w:nsid w:val="52C12C61"/>
    <w:multiLevelType w:val="hybridMultilevel"/>
    <w:lvl w:ilvl="0">
      <w:lvlJc w:val="left"/>
      <w:lvlText w:val="(%1)"/>
      <w:numFmt w:val="upperLetter"/>
      <w:start w:val="2"/>
    </w:lvl>
  </w:abstractNum>
  <w:abstractNum w:abstractNumId="120">
    <w:nsid w:val="4BDD53FD"/>
    <w:multiLevelType w:val="hybridMultilevel"/>
    <w:lvl w:ilvl="0">
      <w:lvlJc w:val="left"/>
      <w:lvlText w:val="(%1)"/>
      <w:numFmt w:val="decimal"/>
      <w:start w:val="1"/>
    </w:lvl>
  </w:abstractNum>
  <w:abstractNum w:abstractNumId="121">
    <w:nsid w:val="569951F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22">
    <w:nsid w:val="4C54E2C3"/>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123">
    <w:nsid w:val="788BD9B"/>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124">
    <w:nsid w:val="47CAA567"/>
    <w:multiLevelType w:val="hybridMultilevel"/>
    <w:lvl w:ilvl="0">
      <w:lvlJc w:val="left"/>
      <w:lvlText w:val="(%1)"/>
      <w:numFmt w:val="upperLetter"/>
      <w:start w:val="5"/>
    </w:lvl>
  </w:abstractNum>
  <w:abstractNum w:abstractNumId="125">
    <w:nsid w:val="48249DBF"/>
    <w:multiLevelType w:val="hybridMultilevel"/>
    <w:lvl w:ilvl="0">
      <w:lvlJc w:val="left"/>
      <w:lvlText w:val="(%1)"/>
      <w:numFmt w:val="upperLetter"/>
      <w:start w:val="6"/>
    </w:lvl>
    <w:lvl w:ilvl="1">
      <w:lvlJc w:val="left"/>
      <w:lvlText w:val="(%2)"/>
      <w:numFmt w:val="decimal"/>
      <w:start w:val="1"/>
    </w:lvl>
  </w:abstractNum>
  <w:abstractNum w:abstractNumId="126">
    <w:nsid w:val="1F0E5D0D"/>
    <w:multiLevelType w:val="hybridMultilevel"/>
    <w:lvl w:ilvl="0">
      <w:lvlJc w:val="left"/>
      <w:lvlText w:val="(%1)"/>
      <w:numFmt w:val="lowerRoman"/>
      <w:start w:val="7"/>
    </w:lvl>
    <w:lvl w:ilvl="1">
      <w:lvlJc w:val="left"/>
      <w:lvlText w:val="(%2)"/>
      <w:numFmt w:val="upperLetter"/>
      <w:start w:val="1"/>
    </w:lvl>
  </w:abstractNum>
  <w:abstractNum w:abstractNumId="127">
    <w:nsid w:val="26BAAE9"/>
    <w:multiLevelType w:val="hybridMultilevel"/>
    <w:lvl w:ilvl="0">
      <w:lvlJc w:val="left"/>
      <w:lvlText w:val="(%1)"/>
      <w:numFmt w:val="decimal"/>
      <w:start w:val="2"/>
    </w:lvl>
    <w:lvl w:ilvl="1">
      <w:lvlJc w:val="left"/>
      <w:lvlText w:val="(%2)"/>
      <w:numFmt w:val="upperLetter"/>
      <w:start w:val="2"/>
    </w:lvl>
  </w:abstractNum>
  <w:abstractNum w:abstractNumId="128">
    <w:nsid w:val="2C02FE8C"/>
    <w:multiLevelType w:val="hybridMultilevel"/>
    <w:lvl w:ilvl="0">
      <w:lvlJc w:val="left"/>
      <w:lvlText w:val="(%1)"/>
      <w:numFmt w:val="decimal"/>
      <w:start w:val="1"/>
    </w:lvl>
  </w:abstractNum>
  <w:abstractNum w:abstractNumId="129">
    <w:nsid w:val="129517E"/>
    <w:multiLevelType w:val="hybridMultilevel"/>
    <w:lvl w:ilvl="0">
      <w:lvlJc w:val="left"/>
      <w:lvlText w:val="%1"/>
      <w:numFmt w:val="lowerRoman"/>
      <w:start w:val="1"/>
    </w:lvl>
    <w:lvl w:ilvl="1">
      <w:lvlJc w:val="left"/>
      <w:lvlText w:val="%2."/>
      <w:numFmt w:val="lowerLetter"/>
      <w:start w:val="1"/>
    </w:lvl>
  </w:abstractNum>
  <w:abstractNum w:abstractNumId="130">
    <w:nsid w:val="763B8C4E"/>
    <w:multiLevelType w:val="hybridMultilevel"/>
    <w:lvl w:ilvl="0">
      <w:lvlJc w:val="left"/>
      <w:lvlText w:val="(%1)"/>
      <w:numFmt w:val="lowerRoman"/>
      <w:start w:val="2"/>
    </w:lvl>
    <w:lvl w:ilvl="1">
      <w:lvlJc w:val="left"/>
      <w:lvlText w:val="%2"/>
      <w:numFmt w:val="lowerLetter"/>
      <w:start w:val="1"/>
    </w:lvl>
  </w:abstractNum>
  <w:abstractNum w:abstractNumId="131">
    <w:nsid w:val="4CFB8D3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132">
    <w:nsid w:val="62A5D5BD"/>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133">
    <w:nsid w:val="718FABF9"/>
    <w:multiLevelType w:val="hybridMultilevel"/>
    <w:lvl w:ilvl="0">
      <w:lvlJc w:val="left"/>
      <w:lvlText w:val="(%1)"/>
      <w:numFmt w:val="upperLetter"/>
      <w:start w:val="2"/>
    </w:lvl>
  </w:abstractNum>
  <w:abstractNum w:abstractNumId="134">
    <w:nsid w:val="7775797C"/>
    <w:multiLevelType w:val="hybridMultilevel"/>
    <w:lvl w:ilvl="0">
      <w:lvlJc w:val="left"/>
      <w:lvlText w:val="(%1)"/>
      <w:numFmt w:val="lowerRoman"/>
      <w:start w:val="9"/>
    </w:lvl>
    <w:lvl w:ilvl="1">
      <w:lvlJc w:val="left"/>
      <w:lvlText w:val="(%2)"/>
      <w:numFmt w:val="upperLetter"/>
      <w:start w:val="1"/>
    </w:lvl>
  </w:abstractNum>
  <w:abstractNum w:abstractNumId="135">
    <w:nsid w:val="1626FB8C"/>
    <w:multiLevelType w:val="hybridMultilevel"/>
    <w:lvl w:ilvl="0">
      <w:lvlJc w:val="left"/>
      <w:lvlText w:val="(%1)"/>
      <w:numFmt w:val="lowerRoman"/>
      <w:start w:val="11"/>
    </w:lvl>
  </w:abstractNum>
  <w:abstractNum w:abstractNumId="136">
    <w:nsid w:val="3957756A"/>
    <w:multiLevelType w:val="hybridMultilevel"/>
    <w:lvl w:ilvl="0">
      <w:lvlJc w:val="left"/>
      <w:lvlText w:val="(%1)"/>
      <w:numFmt w:val="lowerRoman"/>
      <w:start w:val="12"/>
    </w:lvl>
  </w:abstractNum>
  <w:abstractNum w:abstractNumId="137">
    <w:nsid w:val="3E6DA1C7"/>
    <w:multiLevelType w:val="hybridMultilevel"/>
    <w:lvl w:ilvl="0">
      <w:lvlJc w:val="left"/>
      <w:lvlText w:val="(%1)"/>
      <w:numFmt w:val="lowerLetter"/>
      <w:start w:val="1"/>
    </w:lvl>
    <w:lvl w:ilvl="1">
      <w:lvlJc w:val="left"/>
      <w:lvlText w:val="(%2)"/>
      <w:numFmt w:val="lowerRoman"/>
      <w:start w:val="1"/>
    </w:lvl>
  </w:abstractNum>
  <w:abstractNum w:abstractNumId="138">
    <w:nsid w:val="65CA235B"/>
    <w:multiLevelType w:val="hybridMultilevel"/>
    <w:lvl w:ilvl="0">
      <w:lvlJc w:val="left"/>
      <w:lvlText w:val="%1"/>
      <w:numFmt w:val="lowerRoman"/>
      <w:start w:val="1"/>
    </w:lvl>
    <w:lvl w:ilvl="1">
      <w:lvlJc w:val="left"/>
      <w:lvlText w:val="(%2)"/>
      <w:numFmt w:val="lowerRoman"/>
      <w:start w:val="1"/>
    </w:lvl>
  </w:abstractNum>
  <w:abstractNum w:abstractNumId="139">
    <w:nsid w:val="51CB0DA4"/>
    <w:multiLevelType w:val="hybridMultilevel"/>
    <w:lvl w:ilvl="0">
      <w:lvlJc w:val="left"/>
      <w:lvlText w:val="(%1)"/>
      <w:numFmt w:val="lowerRoman"/>
      <w:start w:val="6"/>
    </w:lvl>
    <w:lvl w:ilvl="1">
      <w:lvlJc w:val="left"/>
      <w:lvlText w:val="%2"/>
      <w:numFmt w:val="lowerRoman"/>
      <w:start w:val="1"/>
    </w:lvl>
  </w:abstractNum>
  <w:abstractNum w:abstractNumId="140">
    <w:nsid w:val="7B9B743C"/>
    <w:multiLevelType w:val="hybridMultilevel"/>
    <w:lvl w:ilvl="0">
      <w:lvlJc w:val="left"/>
      <w:lvlText w:val="(%1)"/>
      <w:numFmt w:val="lowerRoman"/>
      <w:start w:val="2"/>
    </w:lvl>
  </w:abstractNum>
  <w:abstractNum w:abstractNumId="141">
    <w:nsid w:val="13E21002"/>
    <w:multiLevelType w:val="hybridMultilevel"/>
    <w:lvl w:ilvl="0">
      <w:lvlJc w:val="left"/>
      <w:lvlText w:val="(%1)"/>
      <w:numFmt w:val="lowerRoman"/>
      <w:start w:val="5"/>
    </w:lvl>
  </w:abstractNum>
  <w:abstractNum w:abstractNumId="142">
    <w:nsid w:val="257D63F4"/>
    <w:multiLevelType w:val="hybridMultilevel"/>
    <w:lvl w:ilvl="0">
      <w:lvlJc w:val="left"/>
      <w:lvlText w:val="(%1)"/>
      <w:numFmt w:val="lowerRoman"/>
      <w:start w:val="10"/>
    </w:lvl>
    <w:lvl w:ilvl="1">
      <w:lvlJc w:val="left"/>
      <w:lvlText w:val="(%2)"/>
      <w:numFmt w:val="upperLetter"/>
      <w:start w:val="1"/>
    </w:lvl>
  </w:abstractNum>
  <w:abstractNum w:abstractNumId="143">
    <w:nsid w:val="70EC11B2"/>
    <w:multiLevelType w:val="hybridMultilevel"/>
    <w:lvl w:ilvl="0">
      <w:lvlJc w:val="left"/>
      <w:lvlText w:val="(%1)"/>
      <w:numFmt w:val="upperLetter"/>
      <w:start w:val="2"/>
    </w:lvl>
  </w:abstractNum>
  <w:abstractNum w:abstractNumId="144">
    <w:nsid w:val="2EDA00ED"/>
    <w:multiLevelType w:val="hybridMultilevel"/>
    <w:lvl w:ilvl="0">
      <w:lvlJc w:val="left"/>
      <w:lvlText w:val="(%1)"/>
      <w:numFmt w:val="lowerRoman"/>
      <w:start w:val="11"/>
    </w:lvl>
    <w:lvl w:ilvl="1">
      <w:lvlJc w:val="left"/>
      <w:lvlText w:val="(%2)"/>
      <w:numFmt w:val="upperLetter"/>
      <w:start w:val="1"/>
    </w:lvl>
  </w:abstractNum>
  <w:abstractNum w:abstractNumId="145">
    <w:nsid w:val="73209072"/>
    <w:multiLevelType w:val="hybridMultilevel"/>
    <w:lvl w:ilvl="0">
      <w:lvlJc w:val="left"/>
      <w:lvlText w:val="(%1)"/>
      <w:numFmt w:val="decimal"/>
      <w:start w:val="2"/>
    </w:lvl>
  </w:abstractNum>
  <w:abstractNum w:abstractNumId="146">
    <w:nsid w:val="5FB29816"/>
    <w:multiLevelType w:val="hybridMultilevel"/>
    <w:lvl w:ilvl="0">
      <w:lvlJc w:val="left"/>
      <w:lvlText w:val="(%1)"/>
      <w:numFmt w:val="lowerRoman"/>
      <w:start w:val="12"/>
    </w:lvl>
    <w:lvl w:ilvl="1">
      <w:lvlJc w:val="left"/>
      <w:lvlText w:val="(%2)"/>
      <w:numFmt w:val="upperLetter"/>
      <w:start w:val="1"/>
    </w:lvl>
  </w:abstractNum>
  <w:abstractNum w:abstractNumId="147">
    <w:nsid w:val="3CE732EC"/>
    <w:multiLevelType w:val="hybridMultilevel"/>
    <w:lvl w:ilvl="0">
      <w:lvlJc w:val="left"/>
      <w:lvlText w:val="(%1)"/>
      <w:numFmt w:val="lowerLetter"/>
      <w:start w:val="1"/>
    </w:lvl>
    <w:lvl w:ilvl="1">
      <w:lvlJc w:val="left"/>
      <w:lvlText w:val="(%2)"/>
      <w:numFmt w:val="lowerRoman"/>
      <w:start w:val="1"/>
    </w:lvl>
  </w:abstractNum>
  <w:abstractNum w:abstractNumId="148">
    <w:nsid w:val="22F13DF3"/>
    <w:multiLevelType w:val="hybridMultilevel"/>
    <w:lvl w:ilvl="0">
      <w:lvlJc w:val="left"/>
      <w:lvlText w:val="(%1)"/>
      <w:numFmt w:val="upperLetter"/>
      <w:start w:val="2"/>
    </w:lvl>
    <w:lvl w:ilvl="1">
      <w:lvlJc w:val="left"/>
      <w:lvlText w:val="(%2)"/>
      <w:numFmt w:val="lowerRoman"/>
      <w:start w:val="3"/>
    </w:lvl>
  </w:abstractNum>
  <w:abstractNum w:abstractNumId="149">
    <w:nsid w:val="792B8401"/>
    <w:multiLevelType w:val="hybridMultilevel"/>
    <w:lvl w:ilvl="0">
      <w:lvlJc w:val="left"/>
      <w:lvlText w:val="(%1)"/>
      <w:numFmt w:val="lowerLetter"/>
      <w:start w:val="3"/>
    </w:lvl>
  </w:abstractNum>
  <w:abstractNum w:abstractNumId="150">
    <w:nsid w:val="FA85F4D"/>
    <w:multiLevelType w:val="hybridMultilevel"/>
    <w:lvl w:ilvl="0">
      <w:lvlJc w:val="left"/>
      <w:lvlText w:val="(%1)"/>
      <w:numFmt w:val="lowerLetter"/>
      <w:start w:val="6"/>
    </w:lvl>
  </w:abstractNum>
  <w:abstractNum w:abstractNumId="151">
    <w:nsid w:val="6ECE91F0"/>
    <w:multiLevelType w:val="hybridMultilevel"/>
    <w:lvl w:ilvl="0">
      <w:lvlJc w:val="left"/>
      <w:lvlText w:val="(%1)"/>
      <w:numFmt w:val="lowerRoman"/>
      <w:start w:val="1"/>
    </w:lvl>
  </w:abstractNum>
  <w:abstractNum w:abstractNumId="152">
    <w:nsid w:val="4FC4D600"/>
    <w:multiLevelType w:val="hybridMultilevel"/>
    <w:lvl w:ilvl="0">
      <w:lvlJc w:val="left"/>
      <w:lvlText w:val="(%1)"/>
      <w:numFmt w:val="lowerLetter"/>
      <w:start w:val="1"/>
    </w:lvl>
  </w:abstractNum>
  <w:abstractNum w:abstractNumId="153">
    <w:nsid w:val="5BFD4210"/>
    <w:multiLevelType w:val="hybridMultilevel"/>
    <w:lvl w:ilvl="0">
      <w:lvlJc w:val="left"/>
      <w:lvlText w:val="(%1)"/>
      <w:numFmt w:val="lowerLetter"/>
      <w:start w:val="2"/>
    </w:lvl>
  </w:abstractNum>
  <w:abstractNum w:abstractNumId="154">
    <w:nsid w:val="76574F8B"/>
    <w:multiLevelType w:val="hybridMultilevel"/>
    <w:lvl w:ilvl="0">
      <w:lvlJc w:val="left"/>
      <w:lvlText w:val="(%1)"/>
      <w:numFmt w:val="lowerLetter"/>
      <w:start w:val="1"/>
    </w:lvl>
  </w:abstractNum>
  <w:abstractNum w:abstractNumId="155">
    <w:nsid w:val="178F7B67"/>
    <w:multiLevelType w:val="hybridMultilevel"/>
    <w:lvl w:ilvl="0">
      <w:lvlJc w:val="left"/>
      <w:lvlText w:val="(%1)"/>
      <w:numFmt w:val="lowerRoman"/>
      <w:start w:val="1"/>
    </w:lvl>
  </w:abstractNum>
  <w:abstractNum w:abstractNumId="156">
    <w:nsid w:val="2421DFCF"/>
    <w:multiLevelType w:val="hybridMultilevel"/>
    <w:lvl w:ilvl="0">
      <w:lvlJc w:val="left"/>
      <w:lvlText w:val="(%1)"/>
      <w:numFmt w:val="lowerRoman"/>
      <w:start w:val="7"/>
    </w:lvl>
  </w:abstractNum>
  <w:abstractNum w:abstractNumId="157">
    <w:nsid w:val="1565AC9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158">
    <w:nsid w:val="19FB265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9">
    <w:nsid w:val="5024DE5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0">
    <w:nsid w:val="168EFE17"/>
    <w:multiLevelType w:val="hybridMultilevel"/>
    <w:lvl w:ilvl="0">
      <w:lvlJc w:val="left"/>
      <w:lvlText w:val="(%1)"/>
      <w:numFmt w:val="lowerLetter"/>
      <w:start w:val="1"/>
    </w:lvl>
  </w:abstractNum>
  <w:abstractNum w:abstractNumId="161">
    <w:nsid w:val="1036B29F"/>
    <w:multiLevelType w:val="hybridMultilevel"/>
    <w:lvl w:ilvl="0">
      <w:lvlJc w:val="left"/>
      <w:lvlText w:val="(%1)"/>
      <w:numFmt w:val="lowerLetter"/>
      <w:start w:val="1"/>
    </w:lvl>
  </w:abstractNum>
  <w:abstractNum w:abstractNumId="162">
    <w:nsid w:val="1D206B8E"/>
    <w:multiLevelType w:val="hybridMultilevel"/>
    <w:lvl w:ilvl="0">
      <w:lvlJc w:val="left"/>
      <w:lvlText w:val="%1"/>
      <w:numFmt w:val="lowerLetter"/>
      <w:start w:val="1"/>
    </w:lvl>
    <w:lvl w:ilvl="1">
      <w:lvlJc w:val="left"/>
      <w:lvlText w:val="(%2)"/>
      <w:numFmt w:val="lowerLetter"/>
      <w:start w:val="1"/>
    </w:lvl>
  </w:abstractNum>
  <w:abstractNum w:abstractNumId="163">
    <w:nsid w:val="7934D3D4"/>
    <w:multiLevelType w:val="hybridMultilevel"/>
    <w:lvl w:ilvl="0">
      <w:lvlJc w:val="left"/>
      <w:lvlText w:val="(%1)"/>
      <w:numFmt w:val="lowerLetter"/>
      <w:start w:val="35"/>
    </w:lvl>
    <w:lvl w:ilvl="1">
      <w:lvlJc w:val="left"/>
      <w:lvlText w:val="(%2)"/>
      <w:numFmt w:val="lowerLetter"/>
      <w:start w:val="2"/>
    </w:lvl>
  </w:abstractNum>
  <w:abstractNum w:abstractNumId="164">
    <w:nsid w:val="1C65E98"/>
    <w:multiLevelType w:val="hybridMultilevel"/>
    <w:lvl w:ilvl="0">
      <w:lvlJc w:val="left"/>
      <w:lvlText w:val="(%1)"/>
      <w:numFmt w:val="lowerLetter"/>
      <w:start w:val="6"/>
    </w:lvl>
  </w:abstractNum>
  <w:abstractNum w:abstractNumId="165">
    <w:nsid w:val="1495E50A"/>
    <w:multiLevelType w:val="hybridMultilevel"/>
    <w:lvl w:ilvl="0">
      <w:lvlJc w:val="left"/>
      <w:lvlText w:val="(%1)"/>
      <w:numFmt w:val="lowerLetter"/>
      <w:start w:val="1"/>
    </w:lvl>
  </w:abstractNum>
  <w:abstractNum w:abstractNumId="166">
    <w:nsid w:val="F5BCF61"/>
    <w:multiLevelType w:val="hybridMultilevel"/>
    <w:lvl w:ilvl="0">
      <w:lvlJc w:val="left"/>
      <w:lvlText w:val="(%1)"/>
      <w:numFmt w:val="lowerLetter"/>
      <w:start w:val="5"/>
    </w:lvl>
  </w:abstractNum>
  <w:abstractNum w:abstractNumId="167">
    <w:nsid w:val="3B1DD403"/>
    <w:multiLevelType w:val="hybridMultilevel"/>
    <w:lvl w:ilvl="0">
      <w:lvlJc w:val="left"/>
      <w:lvlText w:val="(%1)"/>
      <w:numFmt w:val="lowerLetter"/>
      <w:start w:val="1"/>
    </w:lvl>
  </w:abstractNum>
  <w:abstractNum w:abstractNumId="168">
    <w:nsid w:val="530386D1"/>
    <w:multiLevelType w:val="hybridMultilevel"/>
    <w:lvl w:ilvl="0">
      <w:lvlJc w:val="left"/>
      <w:lvlText w:val="(%1)"/>
      <w:numFmt w:val="lowerLetter"/>
      <w:start w:val="2"/>
    </w:lvl>
  </w:abstractNum>
  <w:abstractNum w:abstractNumId="169">
    <w:nsid w:val="7525F2BC"/>
    <w:multiLevelType w:val="hybridMultilevel"/>
    <w:lvl w:ilvl="0">
      <w:lvlJc w:val="left"/>
      <w:lvlText w:val="(%1)"/>
      <w:numFmt w:val="lowerLetter"/>
      <w:start w:val="8"/>
    </w:lvl>
  </w:abstractNum>
  <w:abstractNum w:abstractNumId="170">
    <w:nsid w:val="CE8E1A7"/>
    <w:multiLevelType w:val="hybridMultilevel"/>
    <w:lvl w:ilvl="0">
      <w:lvlJc w:val="left"/>
      <w:lvlText w:val="(%1)"/>
      <w:numFmt w:val="lowerLetter"/>
      <w:start w:val="1"/>
    </w:lvl>
  </w:abstractNum>
  <w:abstractNum w:abstractNumId="171">
    <w:nsid w:val="4E9EFB0D"/>
    <w:multiLevelType w:val="hybridMultilevel"/>
    <w:lvl w:ilvl="0">
      <w:lvlJc w:val="left"/>
      <w:lvlText w:val="%1"/>
      <w:numFmt w:val="lowerLetter"/>
      <w:start w:val="1"/>
    </w:lvl>
    <w:lvl w:ilvl="1">
      <w:lvlJc w:val="left"/>
      <w:lvlText w:val="(%2)"/>
      <w:numFmt w:val="lowerLetter"/>
      <w:start w:val="1"/>
    </w:lvl>
  </w:abstractNum>
  <w:abstractNum w:abstractNumId="172">
    <w:nsid w:val="90802BE"/>
    <w:multiLevelType w:val="hybridMultilevel"/>
    <w:lvl w:ilvl="0">
      <w:lvlJc w:val="left"/>
      <w:lvlText w:val="(%1)"/>
      <w:numFmt w:val="lowerLetter"/>
      <w:start w:val="35"/>
    </w:lvl>
    <w:lvl w:ilvl="1">
      <w:lvlJc w:val="left"/>
      <w:lvlText w:val="(%2)"/>
      <w:numFmt w:val="lowerLetter"/>
      <w:start w:val="2"/>
    </w:lvl>
  </w:abstractNum>
  <w:abstractNum w:abstractNumId="173">
    <w:nsid w:val="3266459B"/>
    <w:multiLevelType w:val="hybridMultilevel"/>
    <w:lvl w:ilvl="0">
      <w:lvlJc w:val="left"/>
      <w:lvlText w:val="(%1)"/>
      <w:numFmt w:val="lowerLetter"/>
      <w:start w:val="3"/>
    </w:lvl>
  </w:abstractNum>
  <w:abstractNum w:abstractNumId="174">
    <w:nsid w:val="3F8B0CBF"/>
    <w:multiLevelType w:val="hybridMultilevel"/>
    <w:lvl w:ilvl="0">
      <w:lvlJc w:val="left"/>
      <w:lvlText w:val="(%1)"/>
      <w:numFmt w:val="lowerLetter"/>
      <w:start w:val="1"/>
    </w:lvl>
  </w:abstractNum>
  <w:abstractNum w:abstractNumId="175">
    <w:nsid w:val="37E203AB"/>
    <w:multiLevelType w:val="hybridMultilevel"/>
    <w:lvl w:ilvl="0">
      <w:lvlJc w:val="left"/>
      <w:lvlText w:val="(%1)"/>
      <w:numFmt w:val="lowerLetter"/>
      <w:start w:val="1"/>
    </w:lvl>
  </w:abstractNum>
  <w:abstractNum w:abstractNumId="176">
    <w:nsid w:val="2586D60E"/>
    <w:multiLevelType w:val="hybridMultilevel"/>
    <w:lvl w:ilvl="0">
      <w:lvlJc w:val="left"/>
      <w:lvlText w:val="(%1)"/>
      <w:numFmt w:val="lowerLetter"/>
      <w:start w:val="3"/>
    </w:lvl>
  </w:abstractNum>
  <w:abstractNum w:abstractNumId="177">
    <w:nsid w:val="1F3DA4D5"/>
    <w:multiLevelType w:val="hybridMultilevel"/>
    <w:lvl w:ilvl="0">
      <w:lvlJc w:val="left"/>
      <w:lvlText w:val="(%1)"/>
      <w:numFmt w:val="lowerLetter"/>
      <w:start w:val="5"/>
    </w:lvl>
  </w:abstractNum>
  <w:abstractNum w:abstractNumId="178">
    <w:nsid w:val="74C93698"/>
    <w:multiLevelType w:val="hybridMultilevel"/>
    <w:lvl w:ilvl="0">
      <w:lvlJc w:val="left"/>
      <w:lvlText w:val="(%1)"/>
      <w:numFmt w:val="lowerLetter"/>
      <w:start w:val="1"/>
    </w:lvl>
  </w:abstractNum>
  <w:abstractNum w:abstractNumId="179">
    <w:nsid w:val="48781401"/>
    <w:multiLevelType w:val="hybridMultilevel"/>
    <w:lvl w:ilvl="0">
      <w:lvlJc w:val="left"/>
      <w:lvlText w:val="(%1)"/>
      <w:numFmt w:val="lowerLetter"/>
      <w:start w:val="1"/>
    </w:lvl>
  </w:abstractNum>
  <w:abstractNum w:abstractNumId="180">
    <w:nsid w:val="186928D6"/>
    <w:multiLevelType w:val="hybridMultilevel"/>
    <w:lvl w:ilvl="0">
      <w:lvlJc w:val="left"/>
      <w:lvlText w:val="(%1)"/>
      <w:numFmt w:val="lowerLetter"/>
      <w:start w:val="2"/>
    </w:lvl>
  </w:abstractNum>
  <w:abstractNum w:abstractNumId="181">
    <w:nsid w:val="47195E5"/>
    <w:multiLevelType w:val="hybridMultilevel"/>
    <w:lvl w:ilvl="0">
      <w:lvlJc w:val="left"/>
      <w:lvlText w:val="(%1)"/>
      <w:numFmt w:val="lowerLetter"/>
      <w:start w:val="1"/>
    </w:lvl>
  </w:abstractNum>
  <w:abstractNum w:abstractNumId="182">
    <w:nsid w:val="3746A5F2"/>
    <w:multiLevelType w:val="hybridMultilevel"/>
    <w:lvl w:ilvl="0">
      <w:lvlJc w:val="left"/>
      <w:lvlText w:val="(%1)"/>
      <w:numFmt w:val="lowerLetter"/>
      <w:start w:val="1"/>
    </w:lvl>
    <w:lvl w:ilvl="1">
      <w:lvlJc w:val="left"/>
      <w:lvlText w:val="(%2)"/>
      <w:numFmt w:val="lowerRoman"/>
      <w:start w:val="1"/>
    </w:lvl>
  </w:abstractNum>
  <w:abstractNum w:abstractNumId="183">
    <w:nsid w:val="682DFED6"/>
    <w:multiLevelType w:val="hybridMultilevel"/>
    <w:lvl w:ilvl="0">
      <w:lvlJc w:val="left"/>
      <w:lvlText w:val="(%1)"/>
      <w:numFmt w:val="lowerRoman"/>
      <w:start w:val="3"/>
    </w:lvl>
  </w:abstractNum>
  <w:abstractNum w:abstractNumId="184">
    <w:nsid w:val="606ED7F6"/>
    <w:multiLevelType w:val="hybridMultilevel"/>
    <w:lvl w:ilvl="0">
      <w:lvlJc w:val="left"/>
      <w:lvlText w:val="(%1)"/>
      <w:numFmt w:val="lowerLetter"/>
      <w:start w:val="2"/>
    </w:lvl>
  </w:abstractNum>
  <w:abstractNum w:abstractNumId="185">
    <w:nsid w:val="2D9DF57D"/>
    <w:multiLevelType w:val="hybridMultilevel"/>
    <w:lvl w:ilvl="0">
      <w:lvlJc w:val="left"/>
      <w:lvlText w:val="(%1)"/>
      <w:numFmt w:val="lowerLetter"/>
      <w:start w:val="1"/>
    </w:lvl>
  </w:abstractNum>
  <w:abstractNum w:abstractNumId="186">
    <w:nsid w:val="7FBD7A3E"/>
    <w:multiLevelType w:val="hybridMultilevel"/>
    <w:lvl w:ilvl="0">
      <w:lvlJc w:val="left"/>
      <w:lvlText w:val="(%1)"/>
      <w:numFmt w:val="lowerLetter"/>
      <w:start w:val="2"/>
    </w:lvl>
  </w:abstractNum>
  <w:abstractNum w:abstractNumId="187">
    <w:nsid w:val="490B7C5"/>
    <w:multiLevelType w:val="hybridMultilevel"/>
    <w:lvl w:ilvl="0">
      <w:lvlJc w:val="left"/>
      <w:lvlText w:val="(%1)"/>
      <w:numFmt w:val="lowerLetter"/>
      <w:start w:val="1"/>
    </w:lvl>
  </w:abstractNum>
  <w:abstractNum w:abstractNumId="188">
    <w:nsid w:val="4303A216"/>
    <w:multiLevelType w:val="hybridMultilevel"/>
    <w:lvl w:ilvl="0">
      <w:lvlJc w:val="left"/>
      <w:lvlText w:val="(%1)"/>
      <w:numFmt w:val="lowerRoman"/>
      <w:start w:val="1"/>
    </w:lvl>
  </w:abstractNum>
  <w:abstractNum w:abstractNumId="189">
    <w:nsid w:val="19B8A08E"/>
    <w:multiLevelType w:val="hybridMultilevel"/>
    <w:lvl w:ilvl="0">
      <w:lvlJc w:val="left"/>
      <w:lvlText w:val="(%1)"/>
      <w:numFmt w:val="lowerRoman"/>
      <w:start w:val="2"/>
    </w:lvl>
  </w:abstractNum>
  <w:abstractNum w:abstractNumId="190">
    <w:nsid w:val="54B59621"/>
    <w:multiLevelType w:val="hybridMultilevel"/>
    <w:lvl w:ilvl="0">
      <w:lvlJc w:val="left"/>
      <w:lvlText w:val="(%1)"/>
      <w:numFmt w:val="lowerLetter"/>
      <w:start w:val="1"/>
    </w:lvl>
  </w:abstractNum>
  <w:abstractNum w:abstractNumId="191">
    <w:nsid w:val="5992A02E"/>
    <w:multiLevelType w:val="hybridMultilevel"/>
    <w:lvl w:ilvl="0">
      <w:lvlJc w:val="left"/>
      <w:lvlText w:val="(%1)"/>
      <w:numFmt w:val="lowerLetter"/>
      <w:start w:val="1"/>
    </w:lvl>
  </w:abstractNum>
  <w:abstractNum w:abstractNumId="192">
    <w:nsid w:val="29EF532D"/>
    <w:multiLevelType w:val="hybridMultilevel"/>
    <w:lvl w:ilvl="0">
      <w:lvlJc w:val="left"/>
      <w:lvlText w:val="%1"/>
      <w:numFmt w:val="lowerLetter"/>
      <w:start w:val="1"/>
    </w:lvl>
    <w:lvl w:ilvl="1">
      <w:lvlJc w:val="left"/>
      <w:lvlText w:val="(%2)"/>
      <w:numFmt w:val="lowerLetter"/>
      <w:start w:val="4"/>
    </w:lvl>
  </w:abstractNum>
  <w:abstractNum w:abstractNumId="193">
    <w:nsid w:val="71D601AF"/>
    <w:multiLevelType w:val="hybridMultilevel"/>
    <w:lvl w:ilvl="0">
      <w:lvlJc w:val="left"/>
      <w:lvlText w:val="(%1)"/>
      <w:numFmt w:val="lowerLetter"/>
      <w:start w:val="35"/>
    </w:lvl>
    <w:lvl w:ilvl="1">
      <w:lvlJc w:val="left"/>
      <w:lvlText w:val="%2"/>
      <w:numFmt w:val="lowerLetter"/>
      <w:start w:val="1"/>
    </w:lvl>
  </w:abstractNum>
  <w:abstractNum w:abstractNumId="194">
    <w:nsid w:val="52C77402"/>
    <w:multiLevelType w:val="hybridMultilevel"/>
    <w:lvl w:ilvl="0">
      <w:lvlJc w:val="left"/>
      <w:lvlText w:val="(%1)"/>
      <w:numFmt w:val="lowerLetter"/>
      <w:start w:val="5"/>
    </w:lvl>
  </w:abstractNum>
  <w:abstractNum w:abstractNumId="195">
    <w:nsid w:val="2BB5B1C6"/>
    <w:multiLevelType w:val="hybridMultilevel"/>
    <w:lvl w:ilvl="0">
      <w:lvlJc w:val="left"/>
      <w:lvlText w:val="%1"/>
      <w:numFmt w:val="lowerLetter"/>
      <w:start w:val="1"/>
    </w:lvl>
    <w:lvl w:ilvl="1">
      <w:lvlJc w:val="left"/>
      <w:lvlText w:val="(%2)"/>
      <w:numFmt w:val="lowerLetter"/>
      <w:start w:val="1"/>
    </w:lvl>
  </w:abstractNum>
  <w:abstractNum w:abstractNumId="196">
    <w:nsid w:val="66BE6B9"/>
    <w:multiLevelType w:val="hybridMultilevel"/>
    <w:lvl w:ilvl="0">
      <w:lvlJc w:val="left"/>
      <w:lvlText w:val="(%1)"/>
      <w:numFmt w:val="lowerLetter"/>
      <w:start w:val="35"/>
    </w:lvl>
    <w:lvl w:ilvl="1">
      <w:lvlJc w:val="left"/>
      <w:lvlText w:val="(%2)"/>
      <w:numFmt w:val="lowerLetter"/>
      <w:start w:val="3"/>
    </w:lvl>
  </w:abstractNum>
  <w:abstractNum w:abstractNumId="197">
    <w:nsid w:val="62234363"/>
    <w:multiLevelType w:val="hybridMultilevel"/>
    <w:lvl w:ilvl="0">
      <w:lvlJc w:val="left"/>
      <w:lvlText w:val="(%1)"/>
      <w:numFmt w:val="lowerLetter"/>
      <w:start w:val="4"/>
    </w:lvl>
  </w:abstractNum>
  <w:abstractNum w:abstractNumId="198">
    <w:nsid w:val="66D385C9"/>
    <w:multiLevelType w:val="hybridMultilevel"/>
    <w:lvl w:ilvl="0">
      <w:lvlJc w:val="left"/>
      <w:lvlText w:val="(%1)"/>
      <w:numFmt w:val="lowerLetter"/>
      <w:start w:val="1"/>
    </w:lvl>
  </w:abstractNum>
  <w:abstractNum w:abstractNumId="199">
    <w:nsid w:val="596F6D8A"/>
    <w:multiLevelType w:val="hybridMultilevel"/>
    <w:lvl w:ilvl="0">
      <w:lvlJc w:val="left"/>
      <w:lvlText w:val="(%1)"/>
      <w:numFmt w:val="lowerLetter"/>
      <w:start w:val="3"/>
    </w:lvl>
  </w:abstractNum>
  <w:abstractNum w:abstractNumId="200">
    <w:nsid w:val="5749361F"/>
    <w:multiLevelType w:val="hybridMultilevel"/>
    <w:lvl w:ilvl="0">
      <w:lvlJc w:val="left"/>
      <w:lvlText w:val="(%1)"/>
      <w:numFmt w:val="lowerLetter"/>
      <w:start w:val="1"/>
    </w:lvl>
  </w:abstractNum>
  <w:abstractNum w:abstractNumId="201">
    <w:nsid w:val="73BC6770"/>
    <w:multiLevelType w:val="hybridMultilevel"/>
    <w:lvl w:ilvl="0">
      <w:lvlJc w:val="left"/>
      <w:lvlText w:val="(%1)"/>
      <w:numFmt w:val="lowerLetter"/>
      <w:start w:val="1"/>
    </w:lvl>
  </w:abstractNum>
  <w:abstractNum w:abstractNumId="202">
    <w:nsid w:val="280E6897"/>
    <w:multiLevelType w:val="hybridMultilevel"/>
    <w:lvl w:ilvl="0">
      <w:lvlJc w:val="left"/>
      <w:lvlText w:val="(%1)"/>
      <w:numFmt w:val="lowerLetter"/>
      <w:start w:val="5"/>
    </w:lvl>
  </w:abstractNum>
  <w:abstractNum w:abstractNumId="203">
    <w:nsid w:val="605138DE"/>
    <w:multiLevelType w:val="hybridMultilevel"/>
    <w:lvl w:ilvl="0">
      <w:lvlJc w:val="left"/>
      <w:lvlText w:val="(%1)"/>
      <w:numFmt w:val="lowerLetter"/>
      <w:start w:val="1"/>
    </w:lvl>
  </w:abstractNum>
  <w:abstractNum w:abstractNumId="204">
    <w:nsid w:val="2622AD0C"/>
    <w:multiLevelType w:val="hybridMultilevel"/>
    <w:lvl w:ilvl="0">
      <w:lvlJc w:val="left"/>
      <w:lvlText w:val="(%1)"/>
      <w:numFmt w:val="lowerLetter"/>
      <w:start w:val="4"/>
    </w:lvl>
  </w:abstractNum>
  <w:abstractNum w:abstractNumId="205">
    <w:nsid w:val="67997556"/>
    <w:multiLevelType w:val="hybridMultilevel"/>
    <w:lvl w:ilvl="0">
      <w:lvlJc w:val="left"/>
      <w:lvlText w:val="(%1)"/>
      <w:numFmt w:val="lowerLetter"/>
      <w:start w:val="1"/>
    </w:lvl>
    <w:lvl w:ilvl="1">
      <w:lvlJc w:val="left"/>
      <w:lvlText w:val="(%2)"/>
      <w:numFmt w:val="lowerRoman"/>
      <w:start w:val="1"/>
    </w:lvl>
  </w:abstractNum>
  <w:abstractNum w:abstractNumId="206">
    <w:nsid w:val="18333C89"/>
    <w:multiLevelType w:val="hybridMultilevel"/>
    <w:lvl w:ilvl="0">
      <w:lvlJc w:val="left"/>
      <w:lvlText w:val="(%1)"/>
      <w:numFmt w:val="lowerLetter"/>
      <w:start w:val="2"/>
    </w:lvl>
  </w:abstractNum>
  <w:abstractNum w:abstractNumId="207">
    <w:nsid w:val="4BA9831A"/>
    <w:multiLevelType w:val="hybridMultilevel"/>
    <w:lvl w:ilvl="0">
      <w:lvlJc w:val="left"/>
      <w:lvlText w:val="(%1)"/>
      <w:numFmt w:val="lowerLetter"/>
      <w:start w:val="1"/>
    </w:lvl>
  </w:abstractNum>
  <w:abstractNum w:abstractNumId="208">
    <w:nsid w:val="6D71A2B"/>
    <w:multiLevelType w:val="hybridMultilevel"/>
    <w:lvl w:ilvl="0">
      <w:lvlJc w:val="left"/>
      <w:lvlText w:val="(%1)"/>
      <w:numFmt w:val="lowerLetter"/>
      <w:start w:val="2"/>
    </w:lvl>
  </w:abstractNum>
  <w:abstractNum w:abstractNumId="209">
    <w:nsid w:val="CFC7321"/>
    <w:multiLevelType w:val="hybridMultilevel"/>
    <w:lvl w:ilvl="0">
      <w:lvlJc w:val="left"/>
      <w:lvlText w:val="(%1)"/>
      <w:numFmt w:val="lowerLetter"/>
      <w:start w:val="3"/>
    </w:lvl>
  </w:abstractNum>
  <w:abstractNum w:abstractNumId="210">
    <w:nsid w:val="1421971B"/>
    <w:multiLevelType w:val="hybridMultilevel"/>
    <w:lvl w:ilvl="0">
      <w:lvlJc w:val="left"/>
      <w:lvlText w:val="(%1)"/>
      <w:numFmt w:val="lowerLetter"/>
      <w:start w:val="1"/>
    </w:lvl>
    <w:lvl w:ilvl="1">
      <w:lvlJc w:val="left"/>
      <w:lvlText w:val="(%2)"/>
      <w:numFmt w:val="lowerLetter"/>
      <w:start w:val="9"/>
    </w:lvl>
  </w:abstractNum>
  <w:abstractNum w:abstractNumId="211">
    <w:nsid w:val="1F404301"/>
    <w:multiLevelType w:val="hybridMultilevel"/>
    <w:lvl w:ilvl="0">
      <w:lvlJc w:val="left"/>
      <w:lvlText w:val="%1"/>
      <w:numFmt w:val="upperLetter"/>
      <w:start w:val="1"/>
    </w:lvl>
    <w:lvl w:ilvl="1">
      <w:lvlJc w:val="left"/>
      <w:lvlText w:val="(%2)"/>
      <w:numFmt w:val="lowerRoman"/>
      <w:start w:val="2"/>
    </w:lvl>
  </w:abstractNum>
  <w:abstractNum w:abstractNumId="212">
    <w:nsid w:val="116E0907"/>
    <w:multiLevelType w:val="hybridMultilevel"/>
    <w:lvl w:ilvl="0">
      <w:lvlJc w:val="left"/>
      <w:lvlText w:val="(%1)"/>
      <w:numFmt w:val="upperLetter"/>
      <w:start w:val="3"/>
    </w:lvl>
    <w:lvl w:ilvl="1">
      <w:lvlJc w:val="left"/>
      <w:lvlText w:val="(%2)"/>
      <w:numFmt w:val="lowerRoman"/>
      <w:start w:val="4"/>
    </w:lvl>
  </w:abstractNum>
  <w:abstractNum w:abstractNumId="213">
    <w:nsid w:val="4B683D0D"/>
    <w:multiLevelType w:val="hybridMultilevel"/>
    <w:lvl w:ilvl="0">
      <w:lvlJc w:val="left"/>
      <w:lvlText w:val="o"/>
      <w:numFmt w:val="bullet"/>
      <w:start w:val="1"/>
    </w:lvl>
  </w:abstractNum>
  <w:abstractNum w:abstractNumId="214">
    <w:nsid w:val="76E41D8"/>
    <w:multiLevelType w:val="hybridMultilevel"/>
    <w:lvl w:ilvl="0">
      <w:lvlJc w:val="left"/>
      <w:lvlText w:val="%1."/>
      <w:numFmt w:val="upperLetter"/>
      <w:start w:val="1"/>
    </w:lvl>
    <w:lvl w:ilvl="1">
      <w:lvlJc w:val="left"/>
      <w:lvlText w:val="%2."/>
      <w:numFmt w:val="decimal"/>
      <w:start w:val="1"/>
    </w:lvl>
  </w:abstractNum>
  <w:abstractNum w:abstractNumId="215">
    <w:nsid w:val="71DCE0FD"/>
    <w:multiLevelType w:val="hybridMultilevel"/>
    <w:lvl w:ilvl="0">
      <w:lvlJc w:val="left"/>
      <w:lvlText w:val="%1."/>
      <w:numFmt w:val="upperLetter"/>
      <w:start w:val="2"/>
    </w:lvl>
  </w:abstractNum>
  <w:abstractNum w:abstractNumId="216">
    <w:nsid w:val="7906328B"/>
    <w:multiLevelType w:val="hybridMultilevel"/>
    <w:lvl w:ilvl="0">
      <w:lvlJc w:val="left"/>
      <w:lvlText w:val="%1."/>
      <w:numFmt w:val="decimal"/>
      <w:start w:val="1"/>
    </w:lvl>
  </w:abstractNum>
  <w:abstractNum w:abstractNumId="217">
    <w:nsid w:val="72BBC16"/>
    <w:multiLevelType w:val="hybridMultilevel"/>
    <w:lvl w:ilvl="0">
      <w:lvlJc w:val="left"/>
      <w:lvlText w:val="(%1)"/>
      <w:numFmt w:val="lowerLetter"/>
      <w:start w:val="1"/>
    </w:lvl>
  </w:abstractNum>
  <w:abstractNum w:abstractNumId="218">
    <w:nsid w:val="766D98C2"/>
    <w:multiLevelType w:val="hybridMultilevel"/>
    <w:lvl w:ilvl="0">
      <w:lvlJc w:val="left"/>
      <w:lvlText w:val="(%1)"/>
      <w:numFmt w:val="lowerLetter"/>
      <w:start w:val="1"/>
    </w:lvl>
  </w:abstractNum>
  <w:abstractNum w:abstractNumId="219">
    <w:nsid w:val="3C09D4A1"/>
    <w:multiLevelType w:val="hybridMultilevel"/>
    <w:lvl w:ilvl="0">
      <w:lvlJc w:val="left"/>
      <w:lvlText w:val="(%1)"/>
      <w:numFmt w:val="lowerRoman"/>
      <w:start w:val="1"/>
    </w:lvl>
  </w:abstractNum>
  <w:abstractNum w:abstractNumId="220">
    <w:nsid w:val="20E45CA4"/>
    <w:multiLevelType w:val="hybridMultilevel"/>
    <w:lvl w:ilvl="0">
      <w:lvlJc w:val="left"/>
      <w:lvlText w:val="(%1)"/>
      <w:numFmt w:val="lowerLetter"/>
      <w:start w:val="1"/>
    </w:lvl>
  </w:abstractNum>
  <w:abstractNum w:abstractNumId="221">
    <w:nsid w:val="4B232EE3"/>
    <w:multiLevelType w:val="hybridMultilevel"/>
    <w:lvl w:ilvl="0">
      <w:lvlJc w:val="left"/>
      <w:lvlText w:val="(%1)"/>
      <w:numFmt w:val="lowerLetter"/>
      <w:start w:val="1"/>
    </w:lvl>
  </w:abstractNum>
  <w:abstractNum w:abstractNumId="222">
    <w:nsid w:val="159C74CF"/>
    <w:multiLevelType w:val="hybridMultilevel"/>
    <w:lvl w:ilvl="0">
      <w:lvlJc w:val="left"/>
      <w:lvlText w:val="(%1)"/>
      <w:numFmt w:val="lowerLetter"/>
      <w:start w:val="3"/>
    </w:lvl>
  </w:abstractNum>
  <w:abstractNum w:abstractNumId="223">
    <w:nsid w:val="4AD3AFD2"/>
    <w:multiLevelType w:val="hybridMultilevel"/>
    <w:lvl w:ilvl="0">
      <w:lvlJc w:val="left"/>
      <w:lvlText w:val="(%1)"/>
      <w:numFmt w:val="lowerLetter"/>
      <w:start w:val="1"/>
    </w:lvl>
  </w:abstractNum>
  <w:abstractNum w:abstractNumId="224">
    <w:nsid w:val="3CF93092"/>
    <w:multiLevelType w:val="hybridMultilevel"/>
    <w:lvl w:ilvl="0">
      <w:lvlJc w:val="left"/>
      <w:lvlText w:val="(%1)"/>
      <w:numFmt w:val="lowerLetter"/>
      <w:start w:val="2"/>
    </w:lvl>
  </w:abstractNum>
  <w:abstractNum w:abstractNumId="225">
    <w:nsid w:val="6863E8D2"/>
    <w:multiLevelType w:val="hybridMultilevel"/>
    <w:lvl w:ilvl="0">
      <w:lvlJc w:val="left"/>
      <w:lvlText w:val="(%1)"/>
      <w:numFmt w:val="lowerLetter"/>
      <w:start w:val="6"/>
    </w:lvl>
  </w:abstractNum>
  <w:abstractNum w:abstractNumId="226">
    <w:nsid w:val="76896198"/>
    <w:multiLevelType w:val="hybridMultilevel"/>
    <w:lvl w:ilvl="0">
      <w:lvlJc w:val="left"/>
      <w:lvlText w:val="%1"/>
      <w:numFmt w:val="upperLetter"/>
      <w:start w:val="1"/>
    </w:lvl>
    <w:lvl w:ilvl="1">
      <w:lvlJc w:val="left"/>
      <w:lvlText w:val="(%2)"/>
      <w:numFmt w:val="lowerLetter"/>
      <w:start w:val="1"/>
    </w:lvl>
  </w:abstractNum>
  <w:abstractNum w:abstractNumId="227">
    <w:nsid w:val="4365174B"/>
    <w:multiLevelType w:val="hybridMultilevel"/>
    <w:lvl w:ilvl="0">
      <w:lvlJc w:val="left"/>
      <w:lvlText w:val="(%1)"/>
      <w:numFmt w:val="upperLetter"/>
      <w:start w:val="2"/>
    </w:lvl>
    <w:lvl w:ilvl="1">
      <w:lvlJc w:val="left"/>
      <w:lvlText w:val="(%2)"/>
      <w:numFmt w:val="lowerLetter"/>
      <w:start w:val="3"/>
    </w:lvl>
  </w:abstractNum>
  <w:abstractNum w:abstractNumId="228">
    <w:nsid w:val="4A872C35"/>
    <w:multiLevelType w:val="hybridMultilevel"/>
    <w:lvl w:ilvl="0">
      <w:lvlJc w:val="left"/>
      <w:lvlText w:val="(%1)"/>
      <w:numFmt w:val="lowerLetter"/>
      <w:start w:val="7"/>
    </w:lvl>
  </w:abstractNum>
  <w:abstractNum w:abstractNumId="229">
    <w:nsid w:val="5D5CE761"/>
    <w:multiLevelType w:val="hybridMultilevel"/>
    <w:lvl w:ilvl="0">
      <w:lvlJc w:val="left"/>
      <w:lvlText w:val="(%1)"/>
      <w:numFmt w:val="decimal"/>
      <w:start w:val="1"/>
    </w:lvl>
  </w:abstractNum>
  <w:abstractNum w:abstractNumId="230">
    <w:nsid w:val="1CD484D5"/>
    <w:multiLevelType w:val="hybridMultilevel"/>
    <w:lvl w:ilvl="0">
      <w:lvlJc w:val="left"/>
      <w:lvlText w:val="(%1)"/>
      <w:numFmt w:val="lowerLetter"/>
      <w:start w:val="1"/>
    </w:lvl>
  </w:abstractNum>
  <w:abstractNum w:abstractNumId="231">
    <w:nsid w:val="21D06255"/>
    <w:multiLevelType w:val="hybridMultilevel"/>
    <w:lvl w:ilvl="0">
      <w:lvlJc w:val="left"/>
      <w:lvlText w:val="(%1)"/>
      <w:numFmt w:val="lowerLetter"/>
      <w:start w:val="1"/>
    </w:lvl>
  </w:abstractNum>
  <w:abstractNum w:abstractNumId="232">
    <w:nsid w:val="51194ED1"/>
    <w:multiLevelType w:val="hybridMultilevel"/>
    <w:lvl w:ilvl="0">
      <w:lvlJc w:val="left"/>
      <w:lvlText w:val="(%1)"/>
      <w:numFmt w:val="lowerLetter"/>
      <w:start w:val="1"/>
    </w:lvl>
    <w:lvl w:ilvl="1">
      <w:lvlJc w:val="left"/>
      <w:lvlText w:val="(%2)"/>
      <w:numFmt w:val="lowerRoman"/>
      <w:start w:val="1"/>
    </w:lvl>
  </w:abstractNum>
  <w:abstractNum w:abstractNumId="233">
    <w:nsid w:val="44E2ED6C"/>
    <w:multiLevelType w:val="hybridMultilevel"/>
    <w:lvl w:ilvl="0">
      <w:lvlJc w:val="left"/>
      <w:lvlText w:val="%1"/>
      <w:numFmt w:val="lowerLetter"/>
      <w:start w:val="1"/>
    </w:lvl>
    <w:lvl w:ilvl="1">
      <w:lvlJc w:val="left"/>
      <w:lvlText w:val="(%2)"/>
      <w:numFmt w:val="lowerRoman"/>
      <w:start w:val="3"/>
    </w:lvl>
  </w:abstractNum>
  <w:abstractNum w:abstractNumId="234">
    <w:nsid w:val="2219B33"/>
    <w:multiLevelType w:val="hybridMultilevel"/>
    <w:lvl w:ilvl="0">
      <w:lvlJc w:val="left"/>
      <w:lvlText w:val="(%1)"/>
      <w:numFmt w:val="lowerLetter"/>
      <w:start w:val="2"/>
    </w:lvl>
    <w:lvl w:ilvl="1">
      <w:lvlJc w:val="left"/>
      <w:lvlText w:val="%2"/>
      <w:numFmt w:val="lowerRoman"/>
      <w:start w:val="1"/>
    </w:lvl>
  </w:abstractNum>
  <w:abstractNum w:abstractNumId="235">
    <w:nsid w:val="773BFBDD"/>
    <w:multiLevelType w:val="hybridMultilevel"/>
    <w:lvl w:ilvl="0">
      <w:lvlJc w:val="left"/>
      <w:lvlText w:val="(%1)"/>
      <w:numFmt w:val="lowerLetter"/>
      <w:start w:val="1"/>
    </w:lvl>
  </w:abstractNum>
  <w:abstractNum w:abstractNumId="236">
    <w:nsid w:val="2C7C62C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7">
    <w:nsid w:val="1A54D7BC"/>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238">
    <w:nsid w:val="42E57EF7"/>
    <w:multiLevelType w:val="hybridMultilevel"/>
    <w:lvl w:ilvl="0">
      <w:lvlJc w:val="left"/>
      <w:lvlText w:val="%1"/>
      <w:numFmt w:val="lowerLetter"/>
      <w:start w:val="1"/>
    </w:lvl>
    <w:lvl w:ilvl="1">
      <w:lvlJc w:val="left"/>
      <w:lvlText w:val="(%2)"/>
      <w:numFmt w:val="lowerLetter"/>
      <w:start w:val="1"/>
    </w:lvl>
  </w:abstractNum>
  <w:abstractNum w:abstractNumId="239">
    <w:nsid w:val="33537CED"/>
    <w:multiLevelType w:val="hybridMultilevel"/>
    <w:lvl w:ilvl="0">
      <w:lvlJc w:val="left"/>
      <w:lvlText w:val="(%1)"/>
      <w:numFmt w:val="lowerLetter"/>
      <w:start w:val="35"/>
    </w:lvl>
    <w:lvl w:ilvl="1">
      <w:lvlJc w:val="left"/>
      <w:lvlText w:val="(%2)"/>
      <w:numFmt w:val="lowerLetter"/>
      <w:start w:val="2"/>
    </w:lvl>
  </w:abstractNum>
  <w:abstractNum w:abstractNumId="240">
    <w:nsid w:val="27514ADE"/>
    <w:multiLevelType w:val="hybridMultilevel"/>
    <w:lvl w:ilvl="0">
      <w:lvlJc w:val="left"/>
      <w:lvlText w:val="(%1)"/>
      <w:numFmt w:val="lowerLetter"/>
      <w:start w:val="1"/>
    </w:lvl>
  </w:abstractNum>
  <w:abstractNum w:abstractNumId="241">
    <w:nsid w:val="57071613"/>
    <w:multiLevelType w:val="hybridMultilevel"/>
    <w:lvl w:ilvl="0">
      <w:lvlJc w:val="left"/>
      <w:lvlText w:val="(%1)"/>
      <w:numFmt w:val="lowerLetter"/>
      <w:start w:val="3"/>
    </w:lvl>
  </w:abstractNum>
  <w:abstractNum w:abstractNumId="242">
    <w:nsid w:val="5293BFEF"/>
    <w:multiLevelType w:val="hybridMultilevel"/>
    <w:lvl w:ilvl="0">
      <w:lvlJc w:val="left"/>
      <w:lvlText w:val="(%1)"/>
      <w:numFmt w:val="lowerLetter"/>
      <w:start w:val="1"/>
    </w:lvl>
  </w:abstractNum>
  <w:abstractNum w:abstractNumId="243">
    <w:nsid w:val="38BF53E5"/>
    <w:multiLevelType w:val="hybridMultilevel"/>
    <w:lvl w:ilvl="0">
      <w:lvlJc w:val="left"/>
      <w:lvlText w:val="(%1)"/>
      <w:numFmt w:val="lowerLetter"/>
      <w:start w:val="3"/>
    </w:lvl>
  </w:abstractNum>
  <w:abstractNum w:abstractNumId="244">
    <w:nsid w:val="226F5320"/>
    <w:multiLevelType w:val="hybridMultilevel"/>
    <w:lvl w:ilvl="0">
      <w:lvlJc w:val="left"/>
      <w:lvlText w:val="(%1)"/>
      <w:numFmt w:val="lowerLetter"/>
      <w:start w:val="1"/>
    </w:lvl>
  </w:abstractNum>
  <w:abstractNum w:abstractNumId="245">
    <w:nsid w:val="5A0201C7"/>
    <w:multiLevelType w:val="hybridMultilevel"/>
    <w:lvl w:ilvl="0">
      <w:lvlJc w:val="left"/>
      <w:lvlText w:val="(%1)"/>
      <w:numFmt w:val="lowerLetter"/>
      <w:start w:val="8"/>
    </w:lvl>
  </w:abstractNum>
  <w:abstractNum w:abstractNumId="246">
    <w:nsid w:val="2A9C34E2"/>
    <w:multiLevelType w:val="hybridMultilevel"/>
    <w:lvl w:ilvl="0">
      <w:lvlJc w:val="left"/>
      <w:lvlText w:val="(%1)"/>
      <w:numFmt w:val="lowerLetter"/>
      <w:start w:val="1"/>
    </w:lvl>
    <w:lvl w:ilvl="1">
      <w:lvlJc w:val="left"/>
      <w:lvlText w:val="(%2)"/>
      <w:numFmt w:val="lowerRoman"/>
      <w:start w:val="1"/>
    </w:lvl>
  </w:abstractNum>
  <w:abstractNum w:abstractNumId="247">
    <w:nsid w:val="1B7585AB"/>
    <w:multiLevelType w:val="hybridMultilevel"/>
    <w:lvl w:ilvl="0">
      <w:lvlJc w:val="left"/>
      <w:lvlText w:val="(%1)"/>
      <w:numFmt w:val="lowerRoman"/>
      <w:start w:val="3"/>
    </w:lvl>
  </w:abstractNum>
  <w:abstractNum w:abstractNumId="248">
    <w:nsid w:val="612DBDDD"/>
    <w:multiLevelType w:val="hybridMultilevel"/>
    <w:lvl w:ilvl="0">
      <w:lvlJc w:val="left"/>
      <w:lvlText w:val="(%1)"/>
      <w:numFmt w:val="lowerLetter"/>
      <w:start w:val="2"/>
    </w:lvl>
  </w:abstractNum>
  <w:abstractNum w:abstractNumId="249">
    <w:nsid w:val="2109CDA4"/>
    <w:multiLevelType w:val="hybridMultilevel"/>
    <w:lvl w:ilvl="0">
      <w:lvlJc w:val="left"/>
      <w:lvlText w:val="(%1)"/>
      <w:numFmt w:val="lowerLetter"/>
      <w:start w:val="1"/>
    </w:lvl>
  </w:abstractNum>
  <w:abstractNum w:abstractNumId="250">
    <w:nsid w:val="577F5A4D"/>
    <w:multiLevelType w:val="hybridMultilevel"/>
    <w:lvl w:ilvl="0">
      <w:lvlJc w:val="left"/>
      <w:lvlText w:val="(%1)"/>
      <w:numFmt w:val="lowerLetter"/>
      <w:start w:val="2"/>
    </w:lvl>
  </w:abstractNum>
  <w:abstractNum w:abstractNumId="251">
    <w:nsid w:val="2121A81"/>
    <w:multiLevelType w:val="hybridMultilevel"/>
    <w:lvl w:ilvl="0">
      <w:lvlJc w:val="left"/>
      <w:lvlText w:val="(%1)"/>
      <w:numFmt w:val="lowerLetter"/>
      <w:start w:val="1"/>
    </w:lvl>
  </w:abstractNum>
  <w:abstractNum w:abstractNumId="252">
    <w:nsid w:val="6C2CFC88"/>
    <w:multiLevelType w:val="hybridMultilevel"/>
    <w:lvl w:ilvl="0">
      <w:lvlJc w:val="left"/>
      <w:lvlText w:val="(%1)"/>
      <w:numFmt w:val="lowerLetter"/>
      <w:start w:val="3"/>
    </w:lvl>
  </w:abstractNum>
  <w:abstractNum w:abstractNumId="253">
    <w:nsid w:val="6D1BCF1C"/>
    <w:multiLevelType w:val="hybridMultilevel"/>
    <w:lvl w:ilvl="0">
      <w:lvlJc w:val="left"/>
      <w:lvlText w:val="(%1)"/>
      <w:numFmt w:val="lowerLetter"/>
      <w:start w:val="1"/>
    </w:lvl>
  </w:abstractNum>
  <w:abstractNum w:abstractNumId="254">
    <w:nsid w:val="4CE5CA53"/>
    <w:multiLevelType w:val="hybridMultilevel"/>
    <w:lvl w:ilvl="0">
      <w:lvlJc w:val="left"/>
      <w:lvlText w:val="(%1)"/>
      <w:numFmt w:val="lowerLetter"/>
      <w:start w:val="2"/>
    </w:lvl>
  </w:abstractNum>
  <w:abstractNum w:abstractNumId="255">
    <w:nsid w:val="29262D1A"/>
    <w:multiLevelType w:val="hybridMultilevel"/>
    <w:lvl w:ilvl="0">
      <w:lvlJc w:val="left"/>
      <w:lvlText w:val="(%1)"/>
      <w:numFmt w:val="lowerLetter"/>
      <w:start w:val="1"/>
    </w:lvl>
    <w:lvl w:ilvl="1">
      <w:lvlJc w:val="left"/>
      <w:lvlText w:val="(%2)"/>
      <w:numFmt w:val="lowerLetter"/>
      <w:start w:val="35"/>
    </w:lvl>
  </w:abstractNum>
  <w:abstractNum w:abstractNumId="256">
    <w:nsid w:val="557FB7EE"/>
    <w:multiLevelType w:val="hybridMultilevel"/>
    <w:lvl w:ilvl="0">
      <w:lvlJc w:val="left"/>
      <w:lvlText w:val="(%1)"/>
      <w:numFmt w:val="lowerLetter"/>
      <w:start w:val="4"/>
    </w:lvl>
  </w:abstractNum>
  <w:abstractNum w:abstractNumId="257">
    <w:nsid w:val="436F2BEB"/>
    <w:multiLevelType w:val="hybridMultilevel"/>
    <w:lvl w:ilvl="0">
      <w:lvlJc w:val="left"/>
      <w:lvlText w:val="(%1)"/>
      <w:numFmt w:val="lowerLetter"/>
      <w:start w:val="7"/>
    </w:lvl>
    <w:lvl w:ilvl="1">
      <w:lvlJc w:val="left"/>
      <w:lvlText w:val="(%2)"/>
      <w:numFmt w:val="lowerLetter"/>
      <w:start w:val="35"/>
    </w:lvl>
  </w:abstractNum>
  <w:abstractNum w:abstractNumId="258">
    <w:nsid w:val="6C8B4466"/>
    <w:multiLevelType w:val="hybridMultilevel"/>
    <w:lvl w:ilvl="0">
      <w:lvlJc w:val="left"/>
      <w:lvlText w:val="(%1)"/>
      <w:numFmt w:val="lowerLetter"/>
      <w:start w:val="8"/>
    </w:lvl>
  </w:abstractNum>
  <w:abstractNum w:abstractNumId="259">
    <w:nsid w:val="2006E424"/>
    <w:multiLevelType w:val="hybridMultilevel"/>
    <w:lvl w:ilvl="0">
      <w:lvlJc w:val="left"/>
      <w:lvlText w:val="(%1)"/>
      <w:numFmt w:val="lowerRoman"/>
      <w:start w:val="1"/>
    </w:lvl>
  </w:abstractNum>
  <w:abstractNum w:abstractNumId="260">
    <w:nsid w:val="20CC134C"/>
    <w:multiLevelType w:val="hybridMultilevel"/>
    <w:lvl w:ilvl="0">
      <w:lvlJc w:val="left"/>
      <w:lvlText w:val="(%1)"/>
      <w:numFmt w:val="lowerLetter"/>
      <w:start w:val="1"/>
    </w:lvl>
  </w:abstractNum>
  <w:abstractNum w:abstractNumId="261">
    <w:nsid w:val="95FC93B"/>
    <w:multiLevelType w:val="hybridMultilevel"/>
    <w:lvl w:ilvl="0">
      <w:lvlJc w:val="left"/>
      <w:lvlText w:val="(%1)"/>
      <w:numFmt w:val="lowerLetter"/>
      <w:start w:val="4"/>
    </w:lvl>
  </w:abstractNum>
  <w:abstractNum w:abstractNumId="262">
    <w:nsid w:val="41D74679"/>
    <w:multiLevelType w:val="hybridMultilevel"/>
    <w:lvl w:ilvl="0">
      <w:lvlJc w:val="left"/>
      <w:lvlText w:val="(%1)"/>
      <w:numFmt w:val="lowerLetter"/>
      <w:start w:val="1"/>
    </w:lvl>
  </w:abstractNum>
  <w:abstractNum w:abstractNumId="263">
    <w:nsid w:val="71E5621E"/>
    <w:multiLevelType w:val="hybridMultilevel"/>
    <w:lvl w:ilvl="0">
      <w:lvlJc w:val="left"/>
      <w:lvlText w:val="%1"/>
      <w:numFmt w:val="lowerLetter"/>
      <w:start w:val="1"/>
    </w:lvl>
    <w:lvl w:ilvl="1">
      <w:lvlJc w:val="left"/>
      <w:lvlText w:val="(%2)"/>
      <w:numFmt w:val="lowerLetter"/>
      <w:start w:val="3"/>
    </w:lvl>
  </w:abstractNum>
  <w:abstractNum w:abstractNumId="264">
    <w:nsid w:val="4E42B6A8"/>
    <w:multiLevelType w:val="hybridMultilevel"/>
    <w:lvl w:ilvl="0">
      <w:lvlJc w:val="left"/>
      <w:lvlText w:val="(%1)"/>
      <w:numFmt w:val="lowerLetter"/>
      <w:start w:val="61"/>
    </w:lvl>
    <w:lvl w:ilvl="1">
      <w:lvlJc w:val="left"/>
      <w:lvlText w:val="(%2)"/>
      <w:numFmt w:val="lowerLetter"/>
      <w:start w:val="4"/>
    </w:lvl>
  </w:abstractNum>
  <w:abstractNum w:abstractNumId="265">
    <w:nsid w:val="43F8E1AC"/>
    <w:multiLevelType w:val="hybridMultilevel"/>
    <w:lvl w:ilvl="0">
      <w:lvlJc w:val="left"/>
      <w:lvlText w:val="(%1)"/>
      <w:numFmt w:val="lowerLetter"/>
      <w:start w:val="1"/>
    </w:lvl>
    <w:lvl w:ilvl="1">
      <w:lvlJc w:val="left"/>
      <w:lvlText w:val="(%2)"/>
      <w:numFmt w:val="lowerRoman"/>
      <w:start w:val="1"/>
    </w:lvl>
  </w:abstractNum>
  <w:abstractNum w:abstractNumId="266">
    <w:nsid w:val="69215DFB"/>
    <w:multiLevelType w:val="hybridMultilevel"/>
    <w:lvl w:ilvl="0">
      <w:lvlJc w:val="left"/>
      <w:lvlText w:val="(%1)"/>
      <w:numFmt w:val="lowerLetter"/>
      <w:start w:val="2"/>
    </w:lvl>
  </w:abstractNum>
  <w:abstractNum w:abstractNumId="267">
    <w:nsid w:val="7ABF19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8">
    <w:nsid w:val="5E4DB968"/>
    <w:multiLevelType w:val="hybridMultilevel"/>
    <w:lvl w:ilvl="0">
      <w:lvlJc w:val="left"/>
      <w:lvlText w:val="(%1)"/>
      <w:numFmt w:val="upperLetter"/>
      <w:start w:val="2"/>
    </w:lvl>
  </w:abstractNum>
  <w:abstractNum w:abstractNumId="269">
    <w:nsid w:val="2C06DCF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70">
    <w:nsid w:val="2E129658"/>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71">
    <w:nsid w:val="59F0446"/>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272">
    <w:nsid w:val="30DF306"/>
    <w:multiLevelType w:val="hybridMultilevel"/>
    <w:lvl w:ilvl="0">
      <w:lvlJc w:val="left"/>
      <w:lvlText w:val="(%1)"/>
      <w:numFmt w:val="lowerLetter"/>
      <w:start w:val="5"/>
    </w:lvl>
  </w:abstractNum>
  <w:abstractNum w:abstractNumId="273">
    <w:nsid w:val="A65647"/>
    <w:multiLevelType w:val="hybridMultilevel"/>
    <w:lvl w:ilvl="0">
      <w:lvlJc w:val="left"/>
      <w:lvlText w:val="(%1)"/>
      <w:numFmt w:val="lowerLetter"/>
      <w:start w:val="1"/>
    </w:lvl>
  </w:abstractNum>
  <w:abstractNum w:abstractNumId="274">
    <w:nsid w:val="3E5E582B"/>
    <w:multiLevelType w:val="hybridMultilevel"/>
    <w:lvl w:ilvl="0">
      <w:lvlJc w:val="left"/>
      <w:lvlText w:val="(%1)"/>
      <w:numFmt w:val="lowerLetter"/>
      <w:start w:val="2"/>
    </w:lvl>
  </w:abstractNum>
  <w:abstractNum w:abstractNumId="275">
    <w:nsid w:val="257D4626"/>
    <w:multiLevelType w:val="hybridMultilevel"/>
    <w:lvl w:ilvl="0">
      <w:lvlJc w:val="left"/>
      <w:lvlText w:val="(%1)"/>
      <w:numFmt w:val="lowerRoman"/>
      <w:start w:val="2"/>
    </w:lvl>
  </w:abstractNum>
  <w:abstractNum w:abstractNumId="276">
    <w:nsid w:val="5AA8580E"/>
    <w:multiLevelType w:val="hybridMultilevel"/>
    <w:lvl w:ilvl="0">
      <w:lvlJc w:val="left"/>
      <w:lvlText w:val="(%1)"/>
      <w:numFmt w:val="lowerLetter"/>
      <w:start w:val="1"/>
    </w:lvl>
  </w:abstractNum>
  <w:abstractNum w:abstractNumId="277">
    <w:nsid w:val="68FA8D0D"/>
    <w:multiLevelType w:val="hybridMultilevel"/>
    <w:lvl w:ilvl="0">
      <w:lvlJc w:val="left"/>
      <w:lvlText w:val="(%1)"/>
      <w:numFmt w:val="lowerLetter"/>
      <w:start w:val="3"/>
    </w:lvl>
  </w:abstractNum>
  <w:abstractNum w:abstractNumId="278">
    <w:nsid w:val="40F2CBD2"/>
    <w:multiLevelType w:val="hybridMultilevel"/>
    <w:lvl w:ilvl="0">
      <w:lvlJc w:val="left"/>
      <w:lvlText w:val="(%1)"/>
      <w:numFmt w:val="lowerLetter"/>
      <w:start w:val="1"/>
    </w:lvl>
  </w:abstractNum>
  <w:abstractNum w:abstractNumId="279">
    <w:nsid w:val="3BD615EB"/>
    <w:multiLevelType w:val="hybridMultilevel"/>
    <w:lvl w:ilvl="0">
      <w:lvlJc w:val="left"/>
      <w:lvlText w:val="(%1)"/>
      <w:numFmt w:val="lowerLetter"/>
      <w:start w:val="3"/>
    </w:lvl>
  </w:abstractNum>
  <w:abstractNum w:abstractNumId="280">
    <w:nsid w:val="A045AB2"/>
    <w:multiLevelType w:val="hybridMultilevel"/>
    <w:lvl w:ilvl="0">
      <w:lvlJc w:val="left"/>
      <w:lvlText w:val="(%1)"/>
      <w:numFmt w:val="lowerLetter"/>
      <w:start w:val="1"/>
    </w:lvl>
  </w:abstractNum>
  <w:abstractNum w:abstractNumId="281">
    <w:nsid w:val="1872261F"/>
    <w:multiLevelType w:val="hybridMultilevel"/>
    <w:lvl w:ilvl="0">
      <w:lvlJc w:val="left"/>
      <w:lvlText w:val="(%1)"/>
      <w:numFmt w:val="lowerLetter"/>
      <w:start w:val="1"/>
    </w:lvl>
  </w:abstractNum>
  <w:abstractNum w:abstractNumId="282">
    <w:nsid w:val="3DE8306C"/>
    <w:multiLevelType w:val="hybridMultilevel"/>
    <w:lvl w:ilvl="0">
      <w:lvlJc w:val="left"/>
      <w:lvlText w:val="(%1)"/>
      <w:numFmt w:val="lowerLetter"/>
      <w:start w:val="2"/>
    </w:lvl>
  </w:abstractNum>
  <w:abstractNum w:abstractNumId="283">
    <w:nsid w:val="7631573A"/>
    <w:multiLevelType w:val="hybridMultilevel"/>
    <w:lvl w:ilvl="0">
      <w:lvlJc w:val="left"/>
      <w:lvlText w:val="(%1)"/>
      <w:numFmt w:val="lowerLetter"/>
      <w:start w:val="1"/>
    </w:lvl>
  </w:abstractNum>
  <w:abstractNum w:abstractNumId="284">
    <w:nsid w:val="58DF53B"/>
    <w:multiLevelType w:val="hybridMultilevel"/>
    <w:lvl w:ilvl="0">
      <w:lvlJc w:val="left"/>
      <w:lvlText w:val="(%1)"/>
      <w:numFmt w:val="decimal"/>
      <w:start w:val="2"/>
    </w:lvl>
    <w:lvl w:ilvl="1">
      <w:lvlJc w:val="left"/>
      <w:lvlText w:val="(%2)"/>
      <w:numFmt w:val="lowerLetter"/>
      <w:start w:val="2"/>
    </w:lvl>
  </w:abstractNum>
  <w:abstractNum w:abstractNumId="285">
    <w:nsid w:val="ACDFAC0"/>
    <w:multiLevelType w:val="hybridMultilevel"/>
    <w:lvl w:ilvl="0">
      <w:lvlJc w:val="left"/>
      <w:lvlText w:val="(%1)"/>
      <w:numFmt w:val="lowerLetter"/>
      <w:start w:val="1"/>
    </w:lvl>
  </w:abstractNum>
  <w:abstractNum w:abstractNumId="286">
    <w:nsid w:val="1F578454"/>
    <w:multiLevelType w:val="hybridMultilevel"/>
    <w:lvl w:ilvl="0">
      <w:lvlJc w:val="left"/>
      <w:lvlText w:val="(%1)"/>
      <w:numFmt w:val="lowerLetter"/>
      <w:start w:val="2"/>
    </w:lvl>
  </w:abstractNum>
  <w:abstractNum w:abstractNumId="287">
    <w:nsid w:val="5B0DAD2A"/>
    <w:multiLevelType w:val="hybridMultilevel"/>
    <w:lvl w:ilvl="0">
      <w:lvlJc w:val="left"/>
      <w:lvlText w:val="(%1)"/>
      <w:numFmt w:val="lowerLetter"/>
      <w:start w:val="1"/>
    </w:lvl>
  </w:abstractNum>
  <w:abstractNum w:abstractNumId="288">
    <w:nsid w:val="4E3D26AB"/>
    <w:multiLevelType w:val="hybridMultilevel"/>
    <w:lvl w:ilvl="0">
      <w:lvlJc w:val="left"/>
      <w:lvlText w:val="(%1)"/>
      <w:numFmt w:val="lowerLetter"/>
      <w:start w:val="2"/>
    </w:lvl>
  </w:abstractNum>
  <w:abstractNum w:abstractNumId="289">
    <w:nsid w:val="BE2C8BA"/>
    <w:multiLevelType w:val="hybridMultilevel"/>
    <w:lvl w:ilvl="0">
      <w:lvlJc w:val="left"/>
      <w:lvlText w:val="(%1)"/>
      <w:numFmt w:val="lowerLetter"/>
      <w:start w:val="4"/>
    </w:lvl>
  </w:abstractNum>
  <w:abstractNum w:abstractNumId="290">
    <w:nsid w:val="7B14914E"/>
    <w:multiLevelType w:val="hybridMultilevel"/>
    <w:lvl w:ilvl="0">
      <w:lvlJc w:val="left"/>
      <w:lvlText w:val="(%1)"/>
      <w:numFmt w:val="lowerLetter"/>
      <w:start w:val="8"/>
    </w:lvl>
  </w:abstractNum>
  <w:abstractNum w:abstractNumId="291">
    <w:nsid w:val="6F0939F8"/>
    <w:multiLevelType w:val="hybridMultilevel"/>
    <w:lvl w:ilvl="0">
      <w:lvlJc w:val="left"/>
      <w:lvlText w:val="(%1)"/>
      <w:numFmt w:val="lowerLetter"/>
      <w:start w:val="13"/>
    </w:lvl>
  </w:abstractNum>
  <w:abstractNum w:abstractNumId="292">
    <w:nsid w:val="154291F6"/>
    <w:multiLevelType w:val="hybridMultilevel"/>
    <w:lvl w:ilvl="0">
      <w:lvlJc w:val="left"/>
      <w:lvlText w:val="(%1)"/>
      <w:numFmt w:val="lowerLetter"/>
      <w:start w:val="16"/>
    </w:lvl>
  </w:abstractNum>
  <w:abstractNum w:abstractNumId="293">
    <w:nsid w:val="3CEBD7C7"/>
    <w:multiLevelType w:val="hybridMultilevel"/>
    <w:lvl w:ilvl="0">
      <w:lvlJc w:val="left"/>
      <w:lvlText w:val="(%1)"/>
      <w:numFmt w:val="decimal"/>
      <w:start w:val="11"/>
    </w:lvl>
  </w:abstractNum>
  <w:abstractNum w:abstractNumId="294">
    <w:nsid w:val="60EE9C16"/>
    <w:multiLevelType w:val="hybridMultilevel"/>
    <w:lvl w:ilvl="0">
      <w:lvlJc w:val="left"/>
      <w:lvlText w:val="(%1)"/>
      <w:numFmt w:val="lowerLetter"/>
      <w:start w:val="1"/>
    </w:lvl>
  </w:abstractNum>
  <w:abstractNum w:abstractNumId="295">
    <w:nsid w:val="6385489E"/>
    <w:multiLevelType w:val="hybridMultilevel"/>
    <w:lvl w:ilvl="0">
      <w:lvlJc w:val="left"/>
      <w:lvlText w:val="(%1)"/>
      <w:numFmt w:val="lowerLetter"/>
      <w:start w:val="2"/>
    </w:lvl>
  </w:abstractNum>
  <w:abstractNum w:abstractNumId="296">
    <w:nsid w:val="E4B973"/>
    <w:multiLevelType w:val="hybridMultilevel"/>
    <w:lvl w:ilvl="0">
      <w:lvlJc w:val="left"/>
      <w:lvlText w:val="(%1)"/>
      <w:numFmt w:val="lowerLetter"/>
      <w:start w:val="1"/>
    </w:lvl>
  </w:abstractNum>
  <w:abstractNum w:abstractNumId="297">
    <w:nsid w:val="4A0FFA11"/>
    <w:multiLevelType w:val="hybridMultilevel"/>
    <w:lvl w:ilvl="0">
      <w:lvlJc w:val="left"/>
      <w:lvlText w:val="(%1)"/>
      <w:numFmt w:val="lowerLetter"/>
      <w:start w:val="3"/>
    </w:lvl>
  </w:abstractNum>
  <w:abstractNum w:abstractNumId="298">
    <w:nsid w:val="5E446208"/>
    <w:multiLevelType w:val="hybridMultilevel"/>
    <w:lvl w:ilvl="0">
      <w:lvlJc w:val="left"/>
      <w:lvlText w:val="(%1)"/>
      <w:numFmt w:val="lowerLetter"/>
      <w:start w:val="4"/>
    </w:lvl>
  </w:abstractNum>
  <w:abstractNum w:abstractNumId="299">
    <w:nsid w:val="5F3272DB"/>
    <w:multiLevelType w:val="hybridMultilevel"/>
    <w:lvl w:ilvl="0">
      <w:lvlJc w:val="left"/>
      <w:lvlText w:val="(%1)"/>
      <w:numFmt w:val="lowerLetter"/>
      <w:start w:val="5"/>
    </w:lvl>
  </w:abstractNum>
  <w:abstractNum w:abstractNumId="300">
    <w:nsid w:val="7616D704"/>
    <w:multiLevelType w:val="hybridMultilevel"/>
    <w:lvl w:ilvl="0">
      <w:lvlJc w:val="left"/>
      <w:lvlText w:val="(%1)"/>
      <w:numFmt w:val="lowerLetter"/>
      <w:start w:val="1"/>
    </w:lvl>
  </w:abstractNum>
  <w:abstractNum w:abstractNumId="301">
    <w:nsid w:val="C56F860"/>
    <w:multiLevelType w:val="hybridMultilevel"/>
    <w:lvl w:ilvl="0">
      <w:lvlJc w:val="left"/>
      <w:lvlText w:val="(%1)"/>
      <w:numFmt w:val="lowerLetter"/>
      <w:start w:val="1"/>
    </w:lvl>
  </w:abstractNum>
  <w:abstractNum w:abstractNumId="302">
    <w:nsid w:val="64D17722"/>
    <w:multiLevelType w:val="hybridMultilevel"/>
    <w:lvl w:ilvl="0">
      <w:lvlJc w:val="left"/>
      <w:lvlText w:val="(%1)"/>
      <w:numFmt w:val="lowerLetter"/>
      <w:start w:val="2"/>
    </w:lvl>
  </w:abstractNum>
  <w:abstractNum w:abstractNumId="303">
    <w:nsid w:val="7924CA0A"/>
    <w:multiLevelType w:val="hybridMultilevel"/>
    <w:lvl w:ilvl="0">
      <w:lvlJc w:val="left"/>
      <w:lvlText w:val="(%1)"/>
      <w:numFmt w:val="lowerLetter"/>
      <w:start w:val="1"/>
    </w:lvl>
  </w:abstractNum>
  <w:abstractNum w:abstractNumId="304">
    <w:nsid w:val="CFD4EA7"/>
    <w:multiLevelType w:val="hybridMultilevel"/>
    <w:lvl w:ilvl="0">
      <w:lvlJc w:val="left"/>
      <w:lvlText w:val="(%1)"/>
      <w:numFmt w:val="lowerLetter"/>
      <w:start w:val="4"/>
    </w:lvl>
  </w:abstractNum>
  <w:abstractNum w:abstractNumId="305">
    <w:nsid w:val="232FCF4D"/>
    <w:multiLevelType w:val="hybridMultilevel"/>
    <w:lvl w:ilvl="0">
      <w:lvlJc w:val="left"/>
      <w:lvlText w:val="%1"/>
      <w:numFmt w:val="lowerLetter"/>
      <w:start w:val="1"/>
    </w:lvl>
    <w:lvl w:ilvl="1">
      <w:lvlJc w:val="left"/>
      <w:lvlText w:val="(%2)"/>
      <w:numFmt w:val="lowerLetter"/>
      <w:start w:val="1"/>
    </w:lvl>
  </w:abstractNum>
  <w:abstractNum w:abstractNumId="306">
    <w:nsid w:val="1EA21031"/>
    <w:multiLevelType w:val="hybridMultilevel"/>
    <w:lvl w:ilvl="0">
      <w:lvlJc w:val="left"/>
      <w:lvlText w:val="(%1)"/>
      <w:numFmt w:val="lowerLetter"/>
      <w:start w:val="35"/>
    </w:lvl>
    <w:lvl w:ilvl="1">
      <w:lvlJc w:val="left"/>
      <w:lvlText w:val="(%2)"/>
      <w:numFmt w:val="lowerLetter"/>
      <w:start w:val="2"/>
    </w:lvl>
  </w:abstractNum>
  <w:abstractNum w:abstractNumId="307">
    <w:nsid w:val="67A5A6B5"/>
    <w:multiLevelType w:val="hybridMultilevel"/>
    <w:lvl w:ilvl="0">
      <w:lvlJc w:val="left"/>
      <w:lvlText w:val="(%1)"/>
      <w:numFmt w:val="lowerRoman"/>
      <w:start w:val="1"/>
    </w:lvl>
  </w:abstractNum>
  <w:abstractNum w:abstractNumId="308">
    <w:nsid w:val="C2A5C5B"/>
    <w:multiLevelType w:val="hybridMultilevel"/>
    <w:lvl w:ilvl="0">
      <w:lvlJc w:val="left"/>
      <w:lvlText w:val="(%1)"/>
      <w:numFmt w:val="lowerLetter"/>
      <w:start w:val="2"/>
    </w:lvl>
  </w:abstractNum>
  <w:abstractNum w:abstractNumId="309">
    <w:nsid w:val="5F94DC03"/>
    <w:multiLevelType w:val="hybridMultilevel"/>
    <w:lvl w:ilvl="0">
      <w:lvlJc w:val="left"/>
      <w:lvlText w:val="(%1)"/>
      <w:numFmt w:val="lowerLetter"/>
      <w:start w:val="1"/>
    </w:lvl>
    <w:lvl w:ilvl="1">
      <w:lvlJc w:val="left"/>
      <w:lvlText w:val="(%2)"/>
      <w:numFmt w:val="lowerRoman"/>
      <w:start w:val="1"/>
    </w:lvl>
  </w:abstractNum>
  <w:abstractNum w:abstractNumId="310">
    <w:nsid w:val="237BBCA0"/>
    <w:multiLevelType w:val="hybridMultilevel"/>
    <w:lvl w:ilvl="0">
      <w:lvlJc w:val="left"/>
      <w:lvlText w:val="(%1)"/>
      <w:numFmt w:val="upperLetter"/>
      <w:start w:val="2"/>
    </w:lvl>
    <w:lvl w:ilvl="1">
      <w:lvlJc w:val="left"/>
      <w:lvlText w:val="(%2)"/>
      <w:numFmt w:val="lowerLetter"/>
      <w:start w:val="4"/>
    </w:lvl>
  </w:abstractNum>
  <w:abstractNum w:abstractNumId="311">
    <w:nsid w:val="162EB70D"/>
    <w:multiLevelType w:val="hybridMultilevel"/>
    <w:lvl w:ilvl="0">
      <w:lvlJc w:val="left"/>
      <w:lvlText w:val="(%1)"/>
      <w:numFmt w:val="lowerLetter"/>
      <w:start w:val="1"/>
    </w:lvl>
    <w:lvl w:ilvl="1">
      <w:lvlJc w:val="left"/>
      <w:lvlText w:val="(%2)"/>
      <w:numFmt w:val="lowerLetter"/>
      <w:start w:val="9"/>
    </w:lvl>
  </w:abstractNum>
  <w:abstractNum w:abstractNumId="312">
    <w:nsid w:val="78070222"/>
    <w:multiLevelType w:val="hybridMultilevel"/>
    <w:lvl w:ilvl="0">
      <w:lvlJc w:val="left"/>
      <w:lvlText w:val="(%1)"/>
      <w:numFmt w:val="lowerRoman"/>
      <w:start w:val="2"/>
    </w:lvl>
  </w:abstractNum>
  <w:abstractNum w:abstractNumId="313">
    <w:nsid w:val="6163ED0D"/>
    <w:multiLevelType w:val="hybridMultilevel"/>
    <w:lvl w:ilvl="0">
      <w:lvlJc w:val="left"/>
      <w:lvlText w:val="(%1)"/>
      <w:numFmt w:val="lowerLetter"/>
      <w:start w:val="3"/>
    </w:lvl>
  </w:abstractNum>
  <w:abstractNum w:abstractNumId="314">
    <w:nsid w:val="C600E47"/>
    <w:multiLevelType w:val="hybridMultilevel"/>
    <w:lvl w:ilvl="0">
      <w:lvlJc w:val="left"/>
      <w:lvlText w:val="(%1)"/>
      <w:numFmt w:val="lowerLetter"/>
      <w:start w:val="4"/>
    </w:lvl>
  </w:abstractNum>
  <w:abstractNum w:abstractNumId="315">
    <w:nsid w:val="7D94F75D"/>
    <w:multiLevelType w:val="hybridMultilevel"/>
    <w:lvl w:ilvl="0">
      <w:lvlJc w:val="left"/>
      <w:lvlText w:val="(%1)"/>
      <w:numFmt w:val="lowerLetter"/>
      <w:start w:val="1"/>
    </w:lvl>
  </w:abstractNum>
  <w:abstractNum w:abstractNumId="316">
    <w:nsid w:val="6C31E7CD"/>
    <w:multiLevelType w:val="hybridMultilevel"/>
    <w:lvl w:ilvl="0">
      <w:lvlJc w:val="left"/>
      <w:lvlText w:val="(%1)"/>
      <w:numFmt w:val="lowerLetter"/>
      <w:start w:val="3"/>
    </w:lvl>
  </w:abstractNum>
  <w:abstractNum w:abstractNumId="317">
    <w:nsid w:val="2BB7929B"/>
    <w:multiLevelType w:val="hybridMultilevel"/>
    <w:lvl w:ilvl="0">
      <w:lvlJc w:val="left"/>
      <w:lvlText w:val="(%1)"/>
      <w:numFmt w:val="lowerLetter"/>
      <w:start w:val="1"/>
    </w:lvl>
  </w:abstractNum>
  <w:abstractNum w:abstractNumId="318">
    <w:nsid w:val="58A2A487"/>
    <w:multiLevelType w:val="hybridMultilevel"/>
    <w:lvl w:ilvl="0">
      <w:lvlJc w:val="left"/>
      <w:lvlText w:val="(%1)"/>
      <w:numFmt w:val="lowerLetter"/>
      <w:start w:val="35"/>
    </w:lvl>
    <w:lvl w:ilvl="1">
      <w:lvlJc w:val="left"/>
      <w:lvlText w:val="(%2)"/>
      <w:numFmt w:val="lowerLetter"/>
      <w:start w:val="4"/>
    </w:lvl>
  </w:abstractNum>
  <w:abstractNum w:abstractNumId="319">
    <w:nsid w:val="3A6F0E78"/>
    <w:multiLevelType w:val="hybridMultilevel"/>
    <w:lvl w:ilvl="0">
      <w:lvlJc w:val="left"/>
      <w:lvlText w:val="(%1)"/>
      <w:numFmt w:val="lowerLetter"/>
      <w:start w:val="5"/>
    </w:lvl>
  </w:abstractNum>
  <w:abstractNum w:abstractNumId="320">
    <w:nsid w:val="379A5B56"/>
    <w:multiLevelType w:val="hybridMultilevel"/>
    <w:lvl w:ilvl="0">
      <w:lvlJc w:val="left"/>
      <w:lvlText w:val="(%1)"/>
      <w:numFmt w:val="lowerLetter"/>
      <w:start w:val="1"/>
    </w:lvl>
  </w:abstractNum>
  <w:abstractNum w:abstractNumId="321">
    <w:nsid w:val="53B735D5"/>
    <w:multiLevelType w:val="hybridMultilevel"/>
    <w:lvl w:ilvl="0">
      <w:lvlJc w:val="left"/>
      <w:lvlText w:val="%1"/>
      <w:numFmt w:val="lowerLetter"/>
      <w:start w:val="1"/>
    </w:lvl>
    <w:lvl w:ilvl="1">
      <w:lvlJc w:val="left"/>
      <w:lvlText w:val="(%2)"/>
      <w:numFmt w:val="lowerLetter"/>
      <w:start w:val="1"/>
    </w:lvl>
  </w:abstractNum>
  <w:abstractNum w:abstractNumId="322">
    <w:nsid w:val="29784870"/>
    <w:multiLevelType w:val="hybridMultilevel"/>
    <w:lvl w:ilvl="0">
      <w:lvlJc w:val="left"/>
      <w:lvlText w:val="(%1)"/>
      <w:numFmt w:val="lowerLetter"/>
      <w:start w:val="9"/>
    </w:lvl>
    <w:lvl w:ilvl="1">
      <w:lvlJc w:val="left"/>
      <w:lvlText w:val="(%2)"/>
      <w:numFmt w:val="lowerLetter"/>
      <w:start w:val="2"/>
    </w:lvl>
  </w:abstractNum>
  <w:abstractNum w:abstractNumId="323">
    <w:nsid w:val="4CDCED4C"/>
    <w:multiLevelType w:val="hybridMultilevel"/>
    <w:lvl w:ilvl="0">
      <w:lvlJc w:val="left"/>
      <w:lvlText w:val="(%1)"/>
      <w:numFmt w:val="lowerLetter"/>
      <w:start w:val="1"/>
    </w:lvl>
  </w:abstractNum>
  <w:abstractNum w:abstractNumId="324">
    <w:nsid w:val="10A30D9C"/>
    <w:multiLevelType w:val="hybridMultilevel"/>
    <w:lvl w:ilvl="0">
      <w:lvlJc w:val="left"/>
      <w:lvlText w:val="(%1)"/>
      <w:numFmt w:val="lowerLetter"/>
      <w:start w:val="4"/>
    </w:lvl>
  </w:abstractNum>
  <w:abstractNum w:abstractNumId="325">
    <w:nsid w:val="A66E486"/>
    <w:multiLevelType w:val="hybridMultilevel"/>
    <w:lvl w:ilvl="0">
      <w:lvlJc w:val="left"/>
      <w:lvlText w:val="(%1)"/>
      <w:numFmt w:val="lowerLetter"/>
      <w:start w:val="1"/>
    </w:lvl>
  </w:abstractNum>
  <w:abstractNum w:abstractNumId="326">
    <w:nsid w:val="306235EA"/>
    <w:multiLevelType w:val="hybridMultilevel"/>
    <w:lvl w:ilvl="0">
      <w:lvlJc w:val="left"/>
      <w:lvlText w:val="%1"/>
      <w:numFmt w:val="lowerLetter"/>
      <w:start w:val="1"/>
    </w:lvl>
    <w:lvl w:ilvl="1">
      <w:lvlJc w:val="left"/>
      <w:lvlText w:val="(%2)"/>
      <w:numFmt w:val="lowerRoman"/>
      <w:start w:val="1"/>
    </w:lvl>
  </w:abstractNum>
  <w:abstractNum w:abstractNumId="327">
    <w:nsid w:val="1187C70F"/>
    <w:multiLevelType w:val="hybridMultilevel"/>
    <w:lvl w:ilvl="0">
      <w:lvlJc w:val="left"/>
      <w:lvlText w:val="(%1)"/>
      <w:numFmt w:val="lowerLetter"/>
      <w:start w:val="2"/>
    </w:lvl>
    <w:lvl w:ilvl="1">
      <w:lvlJc w:val="left"/>
      <w:lvlText w:val="%2"/>
      <w:numFmt w:val="lowerRoman"/>
      <w:start w:val="1"/>
    </w:lvl>
  </w:abstractNum>
  <w:abstractNum w:abstractNumId="328">
    <w:nsid w:val="5476DE98"/>
    <w:multiLevelType w:val="hybridMultilevel"/>
    <w:lvl w:ilvl="0">
      <w:lvlJc w:val="left"/>
      <w:lvlText w:val="(%1)"/>
      <w:numFmt w:val="lowerLetter"/>
      <w:start w:val="1"/>
    </w:lvl>
  </w:abstractNum>
  <w:abstractNum w:abstractNumId="329">
    <w:nsid w:val="EA697F2"/>
    <w:multiLevelType w:val="hybridMultilevel"/>
    <w:lvl w:ilvl="0">
      <w:lvlJc w:val="left"/>
      <w:lvlText w:val="(%1)"/>
      <w:numFmt w:val="lowerLetter"/>
      <w:start w:val="1"/>
    </w:lvl>
  </w:abstractNum>
  <w:abstractNum w:abstractNumId="330">
    <w:nsid w:val="70BA39EB"/>
    <w:multiLevelType w:val="hybridMultilevel"/>
    <w:lvl w:ilvl="0">
      <w:lvlJc w:val="left"/>
      <w:lvlText w:val="(%1)"/>
      <w:numFmt w:val="lowerLetter"/>
      <w:start w:val="1"/>
    </w:lvl>
  </w:abstractNum>
  <w:abstractNum w:abstractNumId="331">
    <w:nsid w:val="4A8DB59C"/>
    <w:multiLevelType w:val="hybridMultilevel"/>
    <w:lvl w:ilvl="0">
      <w:lvlJc w:val="left"/>
      <w:lvlText w:val="(%1)"/>
      <w:numFmt w:val="lowerLetter"/>
      <w:start w:val="4"/>
    </w:lvl>
  </w:abstractNum>
  <w:abstractNum w:abstractNumId="332">
    <w:nsid w:val="1AFD9053"/>
    <w:multiLevelType w:val="hybridMultilevel"/>
    <w:lvl w:ilvl="0">
      <w:lvlJc w:val="left"/>
      <w:lvlText w:val="(%1)"/>
      <w:numFmt w:val="lowerLetter"/>
      <w:start w:val="1"/>
    </w:lvl>
  </w:abstractNum>
  <w:abstractNum w:abstractNumId="333">
    <w:nsid w:val="558BB10D"/>
    <w:multiLevelType w:val="hybridMultilevel"/>
    <w:lvl w:ilvl="0">
      <w:lvlJc w:val="left"/>
      <w:lvlText w:val="(%1)"/>
      <w:numFmt w:val="lowerLetter"/>
      <w:start w:val="1"/>
    </w:lvl>
  </w:abstractNum>
  <w:abstractNum w:abstractNumId="334">
    <w:nsid w:val="43B27FA7"/>
    <w:multiLevelType w:val="hybridMultilevel"/>
    <w:lvl w:ilvl="0">
      <w:lvlJc w:val="left"/>
      <w:lvlText w:val="(%1)"/>
      <w:numFmt w:val="lowerLetter"/>
      <w:start w:val="2"/>
    </w:lvl>
  </w:abstractNum>
  <w:abstractNum w:abstractNumId="335">
    <w:nsid w:val="27FADEFA"/>
    <w:multiLevelType w:val="hybridMultilevel"/>
    <w:lvl w:ilvl="0">
      <w:lvlJc w:val="left"/>
      <w:lvlText w:val="(%1)"/>
      <w:numFmt w:val="lowerLetter"/>
      <w:start w:val="3"/>
    </w:lvl>
  </w:abstractNum>
  <w:abstractNum w:abstractNumId="336">
    <w:nsid w:val="78BB805A"/>
    <w:multiLevelType w:val="hybridMultilevel"/>
    <w:lvl w:ilvl="0">
      <w:lvlJc w:val="left"/>
      <w:lvlText w:val="(%1)"/>
      <w:numFmt w:val="lowerLetter"/>
      <w:start w:val="1"/>
    </w:lvl>
  </w:abstractNum>
  <w:abstractNum w:abstractNumId="337">
    <w:nsid w:val="62548FD8"/>
    <w:multiLevelType w:val="hybridMultilevel"/>
    <w:lvl w:ilvl="0">
      <w:lvlJc w:val="left"/>
      <w:lvlText w:val="(%1)"/>
      <w:numFmt w:val="lowerLetter"/>
      <w:start w:val="4"/>
    </w:lvl>
  </w:abstractNum>
  <w:abstractNum w:abstractNumId="338">
    <w:nsid w:val="FA085B0"/>
    <w:multiLevelType w:val="hybridMultilevel"/>
    <w:lvl w:ilvl="0">
      <w:lvlJc w:val="left"/>
      <w:lvlText w:val="(%1)"/>
      <w:numFmt w:val="lowerLetter"/>
      <w:start w:val="1"/>
    </w:lvl>
  </w:abstractNum>
  <w:abstractNum w:abstractNumId="339">
    <w:nsid w:val="4E5DCB5"/>
    <w:multiLevelType w:val="hybridMultilevel"/>
    <w:lvl w:ilvl="0">
      <w:lvlJc w:val="left"/>
      <w:lvlText w:val="(%1)"/>
      <w:numFmt w:val="lowerRoman"/>
      <w:start w:val="1"/>
    </w:lvl>
  </w:abstractNum>
  <w:abstractNum w:abstractNumId="340">
    <w:nsid w:val="41E96BDB"/>
    <w:multiLevelType w:val="hybridMultilevel"/>
    <w:lvl w:ilvl="0">
      <w:lvlJc w:val="left"/>
      <w:lvlText w:val="(%1)"/>
      <w:numFmt w:val="lowerRoman"/>
      <w:start w:val="4"/>
    </w:lvl>
  </w:abstractNum>
  <w:abstractNum w:abstractNumId="341">
    <w:nsid w:val="331C4250"/>
    <w:multiLevelType w:val="hybridMultilevel"/>
    <w:lvl w:ilvl="0">
      <w:lvlJc w:val="left"/>
      <w:lvlText w:val="(%1)"/>
      <w:numFmt w:val="lowerLetter"/>
      <w:start w:val="2"/>
    </w:lvl>
  </w:abstractNum>
  <w:abstractNum w:abstractNumId="342">
    <w:nsid w:val="1B1493C2"/>
    <w:multiLevelType w:val="hybridMultilevel"/>
    <w:lvl w:ilvl="0">
      <w:lvlJc w:val="left"/>
      <w:lvlText w:val="(%1)"/>
      <w:numFmt w:val="lowerRoman"/>
      <w:start w:val="3"/>
    </w:lvl>
  </w:abstractNum>
  <w:abstractNum w:abstractNumId="343">
    <w:nsid w:val="39F06DFD"/>
    <w:multiLevelType w:val="hybridMultilevel"/>
    <w:lvl w:ilvl="0">
      <w:lvlJc w:val="left"/>
      <w:lvlText w:val="(%1)"/>
      <w:numFmt w:val="lowerLetter"/>
      <w:start w:val="1"/>
    </w:lvl>
  </w:abstractNum>
  <w:abstractNum w:abstractNumId="344">
    <w:nsid w:val="14802F5D"/>
    <w:multiLevelType w:val="hybridMultilevel"/>
    <w:lvl w:ilvl="0">
      <w:lvlJc w:val="left"/>
      <w:lvlText w:val="(%1)"/>
      <w:numFmt w:val="lowerLetter"/>
      <w:start w:val="1"/>
    </w:lvl>
  </w:abstractNum>
  <w:abstractNum w:abstractNumId="345">
    <w:nsid w:val="2774A209"/>
    <w:multiLevelType w:val="hybridMultilevel"/>
    <w:lvl w:ilvl="0">
      <w:lvlJc w:val="left"/>
      <w:lvlText w:val="(%1)"/>
      <w:numFmt w:val="lowerLetter"/>
      <w:start w:val="3"/>
    </w:lvl>
  </w:abstractNum>
  <w:abstractNum w:abstractNumId="346">
    <w:nsid w:val="3785655A"/>
    <w:multiLevelType w:val="hybridMultilevel"/>
    <w:lvl w:ilvl="0">
      <w:lvlJc w:val="left"/>
      <w:lvlText w:val="%1"/>
      <w:numFmt w:val="lowerLetter"/>
      <w:start w:val="1"/>
    </w:lvl>
    <w:lvl w:ilvl="1">
      <w:lvlJc w:val="left"/>
      <w:lvlText w:val="(%2)"/>
      <w:numFmt w:val="lowerLetter"/>
      <w:start w:val="4"/>
    </w:lvl>
  </w:abstractNum>
  <w:abstractNum w:abstractNumId="347">
    <w:nsid w:val="B2172A"/>
    <w:multiLevelType w:val="hybridMultilevel"/>
    <w:lvl w:ilvl="0">
      <w:lvlJc w:val="left"/>
      <w:lvlText w:val="(%1)"/>
      <w:numFmt w:val="lowerLetter"/>
      <w:start w:val="9"/>
    </w:lvl>
    <w:lvl w:ilvl="1">
      <w:lvlJc w:val="left"/>
      <w:lvlText w:val="%2"/>
      <w:numFmt w:val="lowerLetter"/>
      <w:start w:val="1"/>
    </w:lvl>
  </w:abstractNum>
  <w:abstractNum w:abstractNumId="348">
    <w:nsid w:val="532C34A5"/>
    <w:multiLevelType w:val="hybridMultilevel"/>
    <w:lvl w:ilvl="0">
      <w:lvlJc w:val="left"/>
      <w:lvlText w:val="(%1)"/>
      <w:numFmt w:val="lowerLetter"/>
      <w:start w:val="1"/>
    </w:lvl>
  </w:abstractNum>
  <w:abstractNum w:abstractNumId="349">
    <w:nsid w:val="102809E2"/>
    <w:multiLevelType w:val="hybridMultilevel"/>
    <w:lvl w:ilvl="0">
      <w:lvlJc w:val="left"/>
      <w:lvlText w:val="(%1)"/>
      <w:numFmt w:val="lowerLetter"/>
      <w:start w:val="2"/>
    </w:lvl>
  </w:abstractNum>
  <w:abstractNum w:abstractNumId="350">
    <w:nsid w:val="3B2125A3"/>
    <w:multiLevelType w:val="hybridMultilevel"/>
    <w:lvl w:ilvl="0">
      <w:lvlJc w:val="left"/>
      <w:lvlText w:val="(%1)"/>
      <w:numFmt w:val="lowerLetter"/>
      <w:start w:val="1"/>
    </w:lvl>
  </w:abstractNum>
  <w:abstractNum w:abstractNumId="351">
    <w:nsid w:val="AC68FFB"/>
    <w:multiLevelType w:val="hybridMultilevel"/>
    <w:lvl w:ilvl="0">
      <w:lvlJc w:val="left"/>
      <w:lvlText w:val="(%1)"/>
      <w:numFmt w:val="lowerLetter"/>
      <w:start w:val="3"/>
    </w:lvl>
  </w:abstractNum>
  <w:abstractNum w:abstractNumId="352">
    <w:nsid w:val="63DF3FB7"/>
    <w:multiLevelType w:val="hybridMultilevel"/>
    <w:lvl w:ilvl="0">
      <w:lvlJc w:val="left"/>
      <w:lvlText w:val="(%1)"/>
      <w:numFmt w:val="lowerLetter"/>
      <w:start w:val="4"/>
    </w:lvl>
  </w:abstractNum>
  <w:abstractNum w:abstractNumId="353">
    <w:nsid w:val="64996E13"/>
    <w:multiLevelType w:val="hybridMultilevel"/>
    <w:lvl w:ilvl="0">
      <w:lvlJc w:val="left"/>
      <w:lvlText w:val="(%1)"/>
      <w:numFmt w:val="lowerLetter"/>
      <w:start w:val="1"/>
    </w:lvl>
  </w:abstractNum>
  <w:abstractNum w:abstractNumId="354">
    <w:nsid w:val="57A37D47"/>
    <w:multiLevelType w:val="hybridMultilevel"/>
    <w:lvl w:ilvl="0">
      <w:lvlJc w:val="left"/>
      <w:lvlText w:val="(%1)"/>
      <w:numFmt w:val="lowerLetter"/>
      <w:start w:val="1"/>
    </w:lvl>
  </w:abstractNum>
  <w:abstractNum w:abstractNumId="355">
    <w:nsid w:val="74824D54"/>
    <w:multiLevelType w:val="hybridMultilevel"/>
    <w:lvl w:ilvl="0">
      <w:lvlJc w:val="left"/>
      <w:lvlText w:val="(%1)"/>
      <w:numFmt w:val="lowerLetter"/>
      <w:start w:val="2"/>
    </w:lvl>
  </w:abstractNum>
  <w:abstractNum w:abstractNumId="356">
    <w:nsid w:val="6F00529A"/>
    <w:multiLevelType w:val="hybridMultilevel"/>
    <w:lvl w:ilvl="0">
      <w:lvlJc w:val="left"/>
      <w:lvlText w:val="(%1)"/>
      <w:numFmt w:val="lowerLetter"/>
      <w:start w:val="4"/>
    </w:lvl>
  </w:abstractNum>
  <w:abstractNum w:abstractNumId="357">
    <w:nsid w:val="805B331"/>
    <w:multiLevelType w:val="hybridMultilevel"/>
    <w:lvl w:ilvl="0">
      <w:lvlJc w:val="left"/>
      <w:lvlText w:val="(%1)"/>
      <w:numFmt w:val="lowerLetter"/>
      <w:start w:val="1"/>
    </w:lvl>
  </w:abstractNum>
  <w:abstractNum w:abstractNumId="358">
    <w:nsid w:val="60A1463"/>
    <w:multiLevelType w:val="hybridMultilevel"/>
    <w:lvl w:ilvl="0">
      <w:lvlJc w:val="left"/>
      <w:lvlText w:val="(%1)"/>
      <w:numFmt w:val="lowerLetter"/>
      <w:start w:val="2"/>
    </w:lvl>
  </w:abstractNum>
  <w:abstractNum w:abstractNumId="359">
    <w:nsid w:val="43773132"/>
    <w:multiLevelType w:val="hybridMultilevel"/>
    <w:lvl w:ilvl="0">
      <w:lvlJc w:val="left"/>
      <w:lvlText w:val="(%1)"/>
      <w:numFmt w:val="lowerLetter"/>
      <w:start w:val="1"/>
    </w:lvl>
  </w:abstractNum>
  <w:abstractNum w:abstractNumId="360">
    <w:nsid w:val="16AC4B23"/>
    <w:multiLevelType w:val="hybridMultilevel"/>
    <w:lvl w:ilvl="0">
      <w:lvlJc w:val="left"/>
      <w:lvlText w:val="(%1)"/>
      <w:numFmt w:val="lowerLetter"/>
      <w:start w:val="1"/>
    </w:lvl>
  </w:abstractNum>
  <w:abstractNum w:abstractNumId="361">
    <w:nsid w:val="76C44E4E"/>
    <w:multiLevelType w:val="hybridMultilevel"/>
    <w:lvl w:ilvl="0">
      <w:lvlJc w:val="left"/>
      <w:lvlText w:val="(%1)"/>
      <w:numFmt w:val="lowerLetter"/>
      <w:start w:val="1"/>
    </w:lvl>
  </w:abstractNum>
  <w:abstractNum w:abstractNumId="362">
    <w:nsid w:val="E04E6CE"/>
    <w:multiLevelType w:val="hybridMultilevel"/>
    <w:lvl w:ilvl="0">
      <w:lvlJc w:val="left"/>
      <w:lvlText w:val="(%1)"/>
      <w:numFmt w:val="lowerLetter"/>
      <w:start w:val="5"/>
    </w:lvl>
  </w:abstractNum>
  <w:abstractNum w:abstractNumId="363">
    <w:nsid w:val="31A9DB76"/>
    <w:multiLevelType w:val="hybridMultilevel"/>
    <w:lvl w:ilvl="0">
      <w:lvlJc w:val="left"/>
      <w:lvlText w:val="(%1)"/>
      <w:numFmt w:val="lowerLetter"/>
      <w:start w:val="1"/>
    </w:lvl>
    <w:lvl w:ilvl="1">
      <w:lvlJc w:val="left"/>
      <w:lvlText w:val="(%2)"/>
      <w:numFmt w:val="lowerRoman"/>
      <w:start w:val="1"/>
    </w:lvl>
  </w:abstractNum>
  <w:abstractNum w:abstractNumId="364">
    <w:nsid w:val="4C4FFF5B"/>
    <w:multiLevelType w:val="hybridMultilevel"/>
    <w:lvl w:ilvl="0">
      <w:lvlJc w:val="left"/>
      <w:lvlText w:val="(%1)"/>
      <w:numFmt w:val="lowerLetter"/>
      <w:start w:val="2"/>
    </w:lvl>
  </w:abstractNum>
  <w:abstractNum w:abstractNumId="365">
    <w:nsid w:val="51B76675"/>
    <w:multiLevelType w:val="hybridMultilevel"/>
    <w:lvl w:ilvl="0">
      <w:lvlJc w:val="left"/>
      <w:lvlText w:val="%1"/>
      <w:numFmt w:val="lowerLetter"/>
      <w:start w:val="1"/>
    </w:lvl>
    <w:lvl w:ilvl="1">
      <w:lvlJc w:val="left"/>
      <w:lvlText w:val="(%2)"/>
      <w:numFmt w:val="lowerLetter"/>
      <w:start w:val="1"/>
    </w:lvl>
  </w:abstractNum>
  <w:abstractNum w:abstractNumId="366">
    <w:nsid w:val="59A4BA71"/>
    <w:multiLevelType w:val="hybridMultilevel"/>
    <w:lvl w:ilvl="0">
      <w:lvlJc w:val="left"/>
      <w:lvlText w:val="(%1)"/>
      <w:numFmt w:val="lowerLetter"/>
      <w:start w:val="35"/>
    </w:lvl>
    <w:lvl w:ilvl="1">
      <w:lvlJc w:val="left"/>
      <w:lvlText w:val="%2"/>
      <w:numFmt w:val="lowerLetter"/>
      <w:start w:val="1"/>
    </w:lvl>
  </w:abstractNum>
  <w:abstractNum w:abstractNumId="367">
    <w:nsid w:val="450B7FB6"/>
    <w:multiLevelType w:val="hybridMultilevel"/>
    <w:lvl w:ilvl="0">
      <w:lvlJc w:val="left"/>
      <w:lvlText w:val="(%1)"/>
      <w:numFmt w:val="lowerLetter"/>
      <w:start w:val="2"/>
    </w:lvl>
  </w:abstractNum>
  <w:abstractNum w:abstractNumId="368">
    <w:nsid w:val="340BF64D"/>
    <w:multiLevelType w:val="hybridMultilevel"/>
    <w:lvl w:ilvl="0">
      <w:lvlJc w:val="left"/>
      <w:lvlText w:val="(%1)"/>
      <w:numFmt w:val="lowerLetter"/>
      <w:start w:val="3"/>
    </w:lvl>
  </w:abstractNum>
  <w:abstractNum w:abstractNumId="369">
    <w:nsid w:val="69454021"/>
    <w:multiLevelType w:val="hybridMultilevel"/>
    <w:lvl w:ilvl="0">
      <w:lvlJc w:val="left"/>
      <w:lvlText w:val="(%1)"/>
      <w:numFmt w:val="lowerLetter"/>
      <w:start w:val="1"/>
    </w:lvl>
  </w:abstractNum>
  <w:abstractNum w:abstractNumId="370">
    <w:nsid w:val="49F15C6B"/>
    <w:multiLevelType w:val="hybridMultilevel"/>
    <w:lvl w:ilvl="0">
      <w:lvlJc w:val="left"/>
      <w:lvlText w:val="(%1)"/>
      <w:numFmt w:val="lowerRoman"/>
      <w:start w:val="1"/>
    </w:lvl>
  </w:abstractNum>
  <w:abstractNum w:abstractNumId="371">
    <w:nsid w:val="75F56228"/>
    <w:multiLevelType w:val="hybridMultilevel"/>
    <w:lvl w:ilvl="0">
      <w:lvlJc w:val="left"/>
      <w:lvlText w:val="(%1)"/>
      <w:numFmt w:val="lowerLetter"/>
      <w:start w:val="1"/>
    </w:lvl>
  </w:abstractNum>
  <w:abstractNum w:abstractNumId="372">
    <w:nsid w:val="1C618271"/>
    <w:multiLevelType w:val="hybridMultilevel"/>
    <w:lvl w:ilvl="0">
      <w:lvlJc w:val="left"/>
      <w:lvlText w:val="(%1)"/>
      <w:numFmt w:val="lowerLetter"/>
      <w:start w:val="1"/>
    </w:lvl>
  </w:abstractNum>
  <w:abstractNum w:abstractNumId="373">
    <w:nsid w:val="6505F02E"/>
    <w:multiLevelType w:val="hybridMultilevel"/>
    <w:lvl w:ilvl="0">
      <w:lvlJc w:val="left"/>
      <w:lvlText w:val="(%1)"/>
      <w:numFmt w:val="lowerLetter"/>
      <w:start w:val="7"/>
    </w:lvl>
  </w:abstractNum>
  <w:abstractNum w:abstractNumId="374">
    <w:nsid w:val="2FE5D025"/>
    <w:multiLevelType w:val="hybridMultilevel"/>
    <w:lvl w:ilvl="0">
      <w:lvlJc w:val="left"/>
      <w:lvlText w:val="(%1)"/>
      <w:numFmt w:val="lowerLetter"/>
      <w:start w:val="1"/>
    </w:lvl>
  </w:abstractNum>
  <w:abstractNum w:abstractNumId="375">
    <w:nsid w:val="30E1B1CF"/>
    <w:multiLevelType w:val="hybridMultilevel"/>
    <w:lvl w:ilvl="0">
      <w:lvlJc w:val="left"/>
      <w:lvlText w:val="(%1)"/>
      <w:numFmt w:val="lowerLetter"/>
      <w:start w:val="1"/>
    </w:lvl>
  </w:abstractNum>
  <w:abstractNum w:abstractNumId="376">
    <w:nsid w:val="C7A9237"/>
    <w:multiLevelType w:val="hybridMultilevel"/>
    <w:lvl w:ilvl="0">
      <w:lvlJc w:val="left"/>
      <w:lvlText w:val="(%1)"/>
      <w:numFmt w:val="lowerLetter"/>
      <w:start w:val="2"/>
    </w:lvl>
    <w:lvl w:ilvl="1">
      <w:lvlJc w:val="left"/>
      <w:lvlText w:val="(%2)"/>
      <w:numFmt w:val="lowerRoman"/>
      <w:start w:val="1"/>
    </w:lvl>
  </w:abstractNum>
  <w:abstractNum w:abstractNumId="377">
    <w:nsid w:val="676B3580"/>
    <w:multiLevelType w:val="hybridMultilevel"/>
    <w:lvl w:ilvl="0">
      <w:lvlJc w:val="left"/>
      <w:lvlText w:val="(%1)"/>
      <w:numFmt w:val="lowerLetter"/>
      <w:start w:val="1"/>
    </w:lvl>
    <w:lvl w:ilvl="1">
      <w:lvlJc w:val="left"/>
      <w:lvlText w:val="%2"/>
      <w:numFmt w:val="lowerRoman"/>
      <w:start w:val="1"/>
    </w:lvl>
  </w:abstractNum>
  <w:abstractNum w:abstractNumId="378">
    <w:nsid w:val="3193C8F9"/>
    <w:multiLevelType w:val="hybridMultilevel"/>
    <w:lvl w:ilvl="0">
      <w:lvlJc w:val="left"/>
      <w:lvlText w:val="(%1)"/>
      <w:numFmt w:val="decimal"/>
      <w:start w:val="2"/>
    </w:lvl>
  </w:abstractNum>
  <w:abstractNum w:abstractNumId="379">
    <w:nsid w:val="5FA6C6DC"/>
    <w:multiLevelType w:val="hybridMultilevel"/>
    <w:lvl w:ilvl="0">
      <w:lvlJc w:val="left"/>
      <w:lvlText w:val="(%1)"/>
      <w:numFmt w:val="decimal"/>
      <w:start w:val="3"/>
    </w:lvl>
  </w:abstractNum>
  <w:abstractNum w:abstractNumId="380">
    <w:nsid w:val="77933F62"/>
    <w:multiLevelType w:val="hybridMultilevel"/>
    <w:lvl w:ilvl="0">
      <w:lvlJc w:val="left"/>
      <w:lvlText w:val="(%1)"/>
      <w:numFmt w:val="upperLetter"/>
      <w:start w:val="27"/>
    </w:lvl>
  </w:abstractNum>
  <w:abstractNum w:abstractNumId="381">
    <w:nsid w:val="6CB4EE9C"/>
    <w:multiLevelType w:val="hybridMultilevel"/>
    <w:lvl w:ilvl="0">
      <w:lvlJc w:val="left"/>
      <w:lvlText w:val="(%1)"/>
      <w:numFmt w:val="upperLetter"/>
      <w:start w:val="2"/>
    </w:lvl>
  </w:abstractNum>
  <w:abstractNum w:abstractNumId="382">
    <w:nsid w:val="6A6D56D7"/>
    <w:multiLevelType w:val="hybridMultilevel"/>
    <w:lvl w:ilvl="0">
      <w:lvlJc w:val="left"/>
      <w:lvlText w:val="%1"/>
      <w:numFmt w:val="lowerRoman"/>
      <w:start w:val="1"/>
    </w:lvl>
    <w:lvl w:ilvl="1">
      <w:lvlJc w:val="left"/>
      <w:lvlText w:val="(%2)"/>
      <w:numFmt w:val="decimal"/>
      <w:start w:val="2"/>
    </w:lvl>
  </w:abstractNum>
  <w:abstractNum w:abstractNumId="383">
    <w:nsid w:val="5B727F19"/>
    <w:multiLevelType w:val="hybridMultilevel"/>
    <w:lvl w:ilvl="0">
      <w:lvlJc w:val="left"/>
      <w:lvlText w:val="(%1)"/>
      <w:numFmt w:val="lowerRoman"/>
      <w:start w:val="3"/>
    </w:lvl>
    <w:lvl w:ilvl="1">
      <w:lvlJc w:val="left"/>
      <w:lvlText w:val="%2"/>
      <w:numFmt w:val="decimal"/>
      <w:start w:val="1"/>
    </w:lvl>
  </w:abstractNum>
  <w:abstractNum w:abstractNumId="384">
    <w:nsid w:val="514E5CB0"/>
    <w:multiLevelType w:val="hybridMultilevel"/>
    <w:lvl w:ilvl="0">
      <w:lvlJc w:val="left"/>
      <w:lvlText w:val="%1"/>
      <w:numFmt w:val="lowerLetter"/>
      <w:start w:val="1"/>
    </w:lvl>
    <w:lvl w:ilvl="1">
      <w:lvlJc w:val="left"/>
      <w:lvlText w:val="(%2)"/>
      <w:numFmt w:val="lowerLetter"/>
      <w:start w:val="22"/>
    </w:lvl>
  </w:abstractNum>
  <w:abstractNum w:abstractNumId="385">
    <w:nsid w:val="4210D41E"/>
    <w:multiLevelType w:val="hybridMultilevel"/>
    <w:lvl w:ilvl="0">
      <w:lvlJc w:val="left"/>
      <w:lvlText w:val="(%1)"/>
      <w:numFmt w:val="lowerLetter"/>
      <w:start w:val="4"/>
    </w:lvl>
    <w:lvl w:ilvl="1">
      <w:lvlJc w:val="left"/>
      <w:lvlText w:val="%2"/>
      <w:numFmt w:val="lowerLetter"/>
      <w:start w:val="1"/>
    </w:lvl>
  </w:abstractNum>
  <w:abstractNum w:abstractNumId="386">
    <w:nsid w:val="4FF4CC6D"/>
    <w:multiLevelType w:val="hybridMultilevel"/>
    <w:lvl w:ilvl="0">
      <w:lvlJc w:val="left"/>
      <w:lvlText w:val="(%1)"/>
      <w:numFmt w:val="lowerLetter"/>
      <w:start w:val="1"/>
    </w:lvl>
  </w:abstractNum>
  <w:abstractNum w:abstractNumId="387">
    <w:nsid w:val="404EAF4A"/>
    <w:multiLevelType w:val="hybridMultilevel"/>
    <w:lvl w:ilvl="0">
      <w:lvlJc w:val="left"/>
      <w:lvlText w:val="(%1)"/>
      <w:numFmt w:val="lowerLetter"/>
      <w:start w:val="1"/>
    </w:lvl>
  </w:abstractNum>
  <w:abstractNum w:abstractNumId="388">
    <w:nsid w:val="4A16874F"/>
    <w:multiLevelType w:val="hybridMultilevel"/>
    <w:lvl w:ilvl="0">
      <w:lvlJc w:val="left"/>
      <w:lvlText w:val="(%1)"/>
      <w:numFmt w:val="lowerLetter"/>
      <w:start w:val="2"/>
    </w:lvl>
    <w:lvl w:ilvl="1">
      <w:lvlJc w:val="left"/>
      <w:lvlText w:val="(%2)"/>
      <w:numFmt w:val="lowerRoman"/>
      <w:start w:val="1"/>
    </w:lvl>
  </w:abstractNum>
  <w:abstractNum w:abstractNumId="389">
    <w:nsid w:val="55FEE0D1"/>
    <w:multiLevelType w:val="hybridMultilevel"/>
    <w:lvl w:ilvl="0">
      <w:lvlJc w:val="left"/>
      <w:lvlText w:val="(%1)"/>
      <w:numFmt w:val="lowerLetter"/>
      <w:start w:val="3"/>
    </w:lvl>
  </w:abstractNum>
  <w:abstractNum w:abstractNumId="390">
    <w:nsid w:val="3C5E07C"/>
    <w:multiLevelType w:val="hybridMultilevel"/>
    <w:lvl w:ilvl="0">
      <w:lvlJc w:val="left"/>
      <w:lvlText w:val="(%1)"/>
      <w:numFmt w:val="lowerRoman"/>
      <w:start w:val="1"/>
    </w:lvl>
  </w:abstractNum>
  <w:abstractNum w:abstractNumId="391">
    <w:nsid w:val="60C2D273"/>
    <w:multiLevelType w:val="hybridMultilevel"/>
    <w:lvl w:ilvl="0">
      <w:lvlJc w:val="left"/>
      <w:lvlText w:val="%1"/>
      <w:numFmt w:val="lowerLetter"/>
      <w:start w:val="1"/>
    </w:lvl>
    <w:lvl w:ilvl="1">
      <w:lvlJc w:val="left"/>
      <w:lvlText w:val="(%2)"/>
      <w:numFmt w:val="lowerRoman"/>
      <w:start w:val="7"/>
    </w:lvl>
  </w:abstractNum>
  <w:abstractNum w:abstractNumId="392">
    <w:nsid w:val="4CC32F1F"/>
    <w:multiLevelType w:val="hybridMultilevel"/>
    <w:lvl w:ilvl="0">
      <w:lvlJc w:val="left"/>
      <w:lvlText w:val="(%1)"/>
      <w:numFmt w:val="lowerLetter"/>
      <w:start w:val="1"/>
    </w:lvl>
    <w:lvl w:ilvl="1">
      <w:lvlJc w:val="left"/>
      <w:lvlText w:val="%2"/>
      <w:numFmt w:val="lowerRoman"/>
      <w:start w:val="1"/>
    </w:lvl>
  </w:abstractNum>
  <w:abstractNum w:abstractNumId="393">
    <w:nsid w:val="11CAC74A"/>
    <w:multiLevelType w:val="hybridMultilevel"/>
    <w:lvl w:ilvl="0">
      <w:lvlJc w:val="left"/>
      <w:lvlText w:val="%1"/>
      <w:numFmt w:val="lowerLetter"/>
      <w:start w:val="1"/>
    </w:lvl>
    <w:lvl w:ilvl="1">
      <w:lvlJc w:val="left"/>
      <w:lvlText w:val="(%2)"/>
      <w:numFmt w:val="lowerLetter"/>
      <w:start w:val="3"/>
    </w:lvl>
  </w:abstractNum>
  <w:abstractNum w:abstractNumId="394">
    <w:nsid w:val="126CADE9"/>
    <w:multiLevelType w:val="hybridMultilevel"/>
    <w:lvl w:ilvl="0">
      <w:lvlJc w:val="left"/>
      <w:lvlText w:val="(%1)"/>
      <w:numFmt w:val="lowerLetter"/>
      <w:start w:val="61"/>
    </w:lvl>
    <w:lvl w:ilvl="1">
      <w:lvlJc w:val="left"/>
      <w:lvlText w:val="%2"/>
      <w:numFmt w:val="lowerLetter"/>
      <w:start w:val="1"/>
    </w:lvl>
  </w:abstractNum>
  <w:abstractNum w:abstractNumId="395">
    <w:nsid w:val="19132E7B"/>
    <w:multiLevelType w:val="hybridMultilevel"/>
    <w:lvl w:ilvl="0">
      <w:lvlJc w:val="left"/>
      <w:lvlText w:val="(%1)"/>
      <w:numFmt w:val="lowerLetter"/>
      <w:start w:val="1"/>
    </w:lvl>
  </w:abstractNum>
  <w:abstractNum w:abstractNumId="396">
    <w:nsid w:val="63822DC0"/>
    <w:multiLevelType w:val="hybridMultilevel"/>
    <w:lvl w:ilvl="0">
      <w:lvlJc w:val="left"/>
      <w:lvlText w:val="%1"/>
      <w:numFmt w:val="lowerLetter"/>
      <w:start w:val="1"/>
    </w:lvl>
    <w:lvl w:ilvl="1">
      <w:lvlJc w:val="left"/>
      <w:lvlText w:val="(%2)"/>
      <w:numFmt w:val="lowerRoman"/>
      <w:start w:val="1"/>
    </w:lvl>
  </w:abstractNum>
  <w:abstractNum w:abstractNumId="397">
    <w:nsid w:val="6C11685A"/>
    <w:multiLevelType w:val="hybridMultilevel"/>
    <w:lvl w:ilvl="0">
      <w:lvlJc w:val="left"/>
      <w:lvlText w:val="(%1)"/>
      <w:numFmt w:val="lowerLetter"/>
      <w:start w:val="2"/>
    </w:lvl>
    <w:lvl w:ilvl="1">
      <w:lvlJc w:val="left"/>
      <w:lvlText w:val="%2"/>
      <w:numFmt w:val="lowerRoman"/>
      <w:start w:val="1"/>
    </w:lvl>
  </w:abstractNum>
  <w:abstractNum w:abstractNumId="398">
    <w:nsid w:val="5E1EAE31"/>
    <w:multiLevelType w:val="hybridMultilevel"/>
    <w:lvl w:ilvl="0">
      <w:lvlJc w:val="left"/>
      <w:lvlText w:val="(%1)"/>
      <w:numFmt w:val="lowerRoman"/>
      <w:start w:val="1"/>
    </w:lvl>
  </w:abstractNum>
  <w:abstractNum w:abstractNumId="399">
    <w:nsid w:val="178E240D"/>
    <w:multiLevelType w:val="hybridMultilevel"/>
    <w:lvl w:ilvl="0">
      <w:lvlJc w:val="left"/>
      <w:lvlText w:val="(%1)"/>
      <w:numFmt w:val="lowerLetter"/>
      <w:start w:val="3"/>
    </w:lvl>
  </w:abstractNum>
  <w:abstractNum w:abstractNumId="400">
    <w:nsid w:val="5556A87B"/>
    <w:multiLevelType w:val="hybridMultilevel"/>
    <w:lvl w:ilvl="0">
      <w:lvlJc w:val="left"/>
      <w:lvlText w:val="(%1)"/>
      <w:numFmt w:val="lowerLetter"/>
      <w:start w:val="1"/>
    </w:lvl>
  </w:abstractNum>
  <w:abstractNum w:abstractNumId="401">
    <w:nsid w:val="28100A9C"/>
    <w:multiLevelType w:val="hybridMultilevel"/>
    <w:lvl w:ilvl="0">
      <w:lvlJc w:val="left"/>
      <w:lvlText w:val="(%1)"/>
      <w:numFmt w:val="lowerLetter"/>
      <w:start w:val="2"/>
    </w:lvl>
  </w:abstractNum>
  <w:abstractNum w:abstractNumId="402">
    <w:nsid w:val="D838636"/>
    <w:multiLevelType w:val="hybridMultilevel"/>
    <w:lvl w:ilvl="0">
      <w:lvlJc w:val="left"/>
      <w:lvlText w:val="(%1)"/>
      <w:numFmt w:val="lowerLetter"/>
      <w:start w:val="3"/>
    </w:lvl>
  </w:abstractNum>
  <w:abstractNum w:abstractNumId="403">
    <w:nsid w:val="71B82AED"/>
    <w:multiLevelType w:val="hybridMultilevel"/>
    <w:lvl w:ilvl="0">
      <w:lvlJc w:val="left"/>
      <w:lvlText w:val="(%1)"/>
      <w:numFmt w:val="lowerLetter"/>
      <w:start w:val="1"/>
    </w:lvl>
  </w:abstractNum>
  <w:abstractNum w:abstractNumId="404">
    <w:nsid w:val="D15FACA"/>
    <w:multiLevelType w:val="hybridMultilevel"/>
    <w:lvl w:ilvl="0">
      <w:lvlJc w:val="left"/>
      <w:lvlText w:val="(%1)"/>
      <w:numFmt w:val="lowerLetter"/>
      <w:start w:val="2"/>
    </w:lvl>
    <w:lvl w:ilvl="1">
      <w:lvlJc w:val="left"/>
      <w:lvlText w:val="(%2)"/>
      <w:numFmt w:val="lowerRoman"/>
      <w:start w:val="1"/>
    </w:lvl>
  </w:abstractNum>
  <w:abstractNum w:abstractNumId="405">
    <w:nsid w:val="3D69565B"/>
    <w:multiLevelType w:val="hybridMultilevel"/>
    <w:lvl w:ilvl="0">
      <w:lvlJc w:val="left"/>
      <w:lvlText w:val="(%1)"/>
      <w:numFmt w:val="lowerRoman"/>
      <w:start w:val="3"/>
    </w:lvl>
  </w:abstractNum>
  <w:abstractNum w:abstractNumId="406">
    <w:nsid w:val="2299DCBC"/>
    <w:multiLevelType w:val="hybridMultilevel"/>
    <w:lvl w:ilvl="0">
      <w:lvlJc w:val="left"/>
      <w:lvlText w:val="(%1)"/>
      <w:numFmt w:val="lowerLetter"/>
      <w:start w:val="1"/>
    </w:lvl>
  </w:abstractNum>
  <w:abstractNum w:abstractNumId="407">
    <w:nsid w:val="19908D02"/>
    <w:multiLevelType w:val="hybridMultilevel"/>
    <w:lvl w:ilvl="0">
      <w:lvlJc w:val="left"/>
      <w:lvlText w:val="(%1)"/>
      <w:numFmt w:val="lowerLetter"/>
      <w:start w:val="1"/>
    </w:lvl>
  </w:abstractNum>
  <w:abstractNum w:abstractNumId="408">
    <w:nsid w:val="24D48BDB"/>
    <w:multiLevelType w:val="hybridMultilevel"/>
    <w:lvl w:ilvl="0">
      <w:lvlJc w:val="left"/>
      <w:lvlText w:val="(%1)"/>
      <w:numFmt w:val="lowerLetter"/>
      <w:start w:val="3"/>
    </w:lvl>
  </w:abstractNum>
  <w:abstractNum w:abstractNumId="409">
    <w:nsid w:val="542DA5B5"/>
    <w:multiLevelType w:val="hybridMultilevel"/>
    <w:lvl w:ilvl="0">
      <w:lvlJc w:val="left"/>
      <w:lvlText w:val="(%1)"/>
      <w:numFmt w:val="lowerLetter"/>
      <w:start w:val="1"/>
    </w:lvl>
  </w:abstractNum>
  <w:abstractNum w:abstractNumId="410">
    <w:nsid w:val="793753DE"/>
    <w:multiLevelType w:val="hybridMultilevel"/>
    <w:lvl w:ilvl="0">
      <w:lvlJc w:val="left"/>
      <w:lvlText w:val="(%1)"/>
      <w:numFmt w:val="lowerLetter"/>
      <w:start w:val="1"/>
    </w:lvl>
  </w:abstractNum>
  <w:abstractNum w:abstractNumId="411">
    <w:nsid w:val="1C67CB3D"/>
    <w:multiLevelType w:val="hybridMultilevel"/>
    <w:lvl w:ilvl="0">
      <w:lvlJc w:val="left"/>
      <w:lvlText w:val="(%1)"/>
      <w:numFmt w:val="lowerLetter"/>
      <w:start w:val="1"/>
    </w:lvl>
  </w:abstractNum>
  <w:abstractNum w:abstractNumId="412">
    <w:nsid w:val="40E29452"/>
    <w:multiLevelType w:val="hybridMultilevel"/>
    <w:lvl w:ilvl="0">
      <w:lvlJc w:val="left"/>
      <w:lvlText w:val="(%1)"/>
      <w:numFmt w:val="lowerLetter"/>
      <w:start w:val="3"/>
    </w:lvl>
  </w:abstractNum>
  <w:abstractNum w:abstractNumId="413">
    <w:nsid w:val="63A4AAB6"/>
    <w:multiLevelType w:val="hybridMultilevel"/>
    <w:lvl w:ilvl="0">
      <w:lvlJc w:val="left"/>
      <w:lvlText w:val="(%1)"/>
      <w:numFmt w:val="lowerLetter"/>
      <w:start w:val="1"/>
    </w:lvl>
  </w:abstractNum>
  <w:abstractNum w:abstractNumId="414">
    <w:nsid w:val="77DA4A57"/>
    <w:multiLevelType w:val="hybridMultilevel"/>
    <w:lvl w:ilvl="0">
      <w:lvlJc w:val="left"/>
      <w:lvlText w:val="(%1)"/>
      <w:numFmt w:val="lowerLetter"/>
      <w:start w:val="6"/>
    </w:lvl>
  </w:abstractNum>
  <w:abstractNum w:abstractNumId="415">
    <w:nsid w:val="1230F102"/>
    <w:multiLevelType w:val="hybridMultilevel"/>
    <w:lvl w:ilvl="0">
      <w:lvlJc w:val="left"/>
      <w:lvlText w:val="(%1)"/>
      <w:numFmt w:val="lowerLetter"/>
      <w:start w:val="7"/>
    </w:lvl>
  </w:abstractNum>
  <w:abstractNum w:abstractNumId="416">
    <w:nsid w:val="25B57ED4"/>
    <w:multiLevelType w:val="hybridMultilevel"/>
    <w:lvl w:ilvl="0">
      <w:lvlJc w:val="left"/>
      <w:lvlText w:val="(%1)"/>
      <w:numFmt w:val="lowerLetter"/>
      <w:start w:val="1"/>
    </w:lvl>
  </w:abstractNum>
  <w:abstractNum w:abstractNumId="417">
    <w:nsid w:val="47CF16C4"/>
    <w:multiLevelType w:val="hybridMultilevel"/>
    <w:lvl w:ilvl="0">
      <w:lvlJc w:val="left"/>
      <w:lvlText w:val="(%1)"/>
      <w:numFmt w:val="lowerLetter"/>
      <w:start w:val="1"/>
    </w:lvl>
  </w:abstractNum>
  <w:abstractNum w:abstractNumId="418">
    <w:nsid w:val="527FA04C"/>
    <w:multiLevelType w:val="hybridMultilevel"/>
    <w:lvl w:ilvl="0">
      <w:lvlJc w:val="left"/>
      <w:lvlText w:val="(%1)"/>
      <w:numFmt w:val="lowerRoman"/>
      <w:start w:val="1"/>
    </w:lvl>
  </w:abstractNum>
  <w:abstractNum w:abstractNumId="419">
    <w:nsid w:val="6FCC0624"/>
    <w:multiLevelType w:val="hybridMultilevel"/>
    <w:lvl w:ilvl="0">
      <w:lvlJc w:val="left"/>
      <w:lvlText w:val="(%1)"/>
      <w:numFmt w:val="lowerLetter"/>
      <w:start w:val="1"/>
    </w:lvl>
  </w:abstractNum>
  <w:abstractNum w:abstractNumId="420">
    <w:nsid w:val="1DCDF795"/>
    <w:multiLevelType w:val="hybridMultilevel"/>
    <w:lvl w:ilvl="0">
      <w:lvlJc w:val="left"/>
      <w:lvlText w:val="%1"/>
      <w:numFmt w:val="lowerLetter"/>
      <w:start w:val="1"/>
    </w:lvl>
    <w:lvl w:ilvl="1">
      <w:lvlJc w:val="left"/>
      <w:lvlText w:val="(%2)"/>
      <w:numFmt w:val="lowerLetter"/>
      <w:start w:val="1"/>
    </w:lvl>
  </w:abstractNum>
  <w:abstractNum w:abstractNumId="421">
    <w:nsid w:val="564580C8"/>
    <w:multiLevelType w:val="hybridMultilevel"/>
    <w:lvl w:ilvl="0">
      <w:lvlJc w:val="left"/>
      <w:lvlText w:val="(%1)"/>
      <w:numFmt w:val="lowerLetter"/>
      <w:start w:val="35"/>
    </w:lvl>
    <w:lvl w:ilvl="1">
      <w:lvlJc w:val="left"/>
      <w:lvlText w:val="(%2)"/>
      <w:numFmt w:val="lowerLetter"/>
      <w:start w:val="3"/>
    </w:lvl>
  </w:abstractNum>
  <w:abstractNum w:abstractNumId="422">
    <w:nsid w:val="508ED897"/>
    <w:multiLevelType w:val="hybridMultilevel"/>
    <w:lvl w:ilvl="0">
      <w:lvlJc w:val="left"/>
      <w:lvlText w:val="(%1)"/>
      <w:numFmt w:val="lowerLetter"/>
      <w:start w:val="1"/>
    </w:lvl>
    <w:lvl w:ilvl="1">
      <w:lvlJc w:val="left"/>
      <w:lvlText w:val="(%2)"/>
      <w:numFmt w:val="lowerRoman"/>
      <w:start w:val="1"/>
    </w:lvl>
  </w:abstractNum>
  <w:abstractNum w:abstractNumId="423">
    <w:nsid w:val="6A9126B5"/>
    <w:multiLevelType w:val="hybridMultilevel"/>
    <w:lvl w:ilvl="0">
      <w:lvlJc w:val="left"/>
      <w:lvlText w:val="(%1)"/>
      <w:numFmt w:val="lowerRoman"/>
      <w:start w:val="3"/>
    </w:lvl>
  </w:abstractNum>
  <w:abstractNum w:abstractNumId="424">
    <w:nsid w:val="68104812"/>
    <w:multiLevelType w:val="hybridMultilevel"/>
    <w:lvl w:ilvl="0">
      <w:lvlJc w:val="left"/>
      <w:lvlText w:val="(%1)"/>
      <w:numFmt w:val="lowerRoman"/>
      <w:start w:val="4"/>
    </w:lvl>
  </w:abstractNum>
  <w:abstractNum w:abstractNumId="425">
    <w:nsid w:val="62FB8680"/>
    <w:multiLevelType w:val="hybridMultilevel"/>
    <w:lvl w:ilvl="0">
      <w:lvlJc w:val="left"/>
      <w:lvlText w:val="(%1)"/>
      <w:numFmt w:val="lowerLetter"/>
      <w:start w:val="2"/>
    </w:lvl>
    <w:lvl w:ilvl="1">
      <w:lvlJc w:val="left"/>
      <w:lvlText w:val="(%2)"/>
      <w:numFmt w:val="lowerRoman"/>
      <w:start w:val="1"/>
    </w:lvl>
  </w:abstractNum>
  <w:abstractNum w:abstractNumId="426">
    <w:nsid w:val="3A45530"/>
    <w:multiLevelType w:val="hybridMultilevel"/>
    <w:lvl w:ilvl="0">
      <w:lvlJc w:val="left"/>
      <w:lvlText w:val="(%1)"/>
      <w:numFmt w:val="lowerRoman"/>
      <w:start w:val="4"/>
    </w:lvl>
  </w:abstractNum>
  <w:abstractNum w:abstractNumId="427">
    <w:nsid w:val="4B9275D2"/>
    <w:multiLevelType w:val="hybridMultilevel"/>
    <w:lvl w:ilvl="0">
      <w:lvlJc w:val="left"/>
      <w:lvlText w:val="%1"/>
      <w:numFmt w:val="lowerLetter"/>
      <w:start w:val="1"/>
    </w:lvl>
    <w:lvl w:ilvl="1">
      <w:lvlJc w:val="left"/>
      <w:lvlText w:val="(%2)"/>
      <w:numFmt w:val="lowerRoman"/>
      <w:start w:val="7"/>
    </w:lvl>
  </w:abstractNum>
  <w:abstractNum w:abstractNumId="428">
    <w:nsid w:val="4F0CEEDB"/>
    <w:multiLevelType w:val="hybridMultilevel"/>
    <w:lvl w:ilvl="0">
      <w:lvlJc w:val="left"/>
      <w:lvlText w:val="(%1)"/>
      <w:numFmt w:val="lowerLetter"/>
      <w:start w:val="3"/>
    </w:lvl>
    <w:lvl w:ilvl="1">
      <w:lvlJc w:val="left"/>
      <w:lvlText w:val="%2"/>
      <w:numFmt w:val="lowerRoman"/>
      <w:start w:val="1"/>
    </w:lvl>
  </w:abstractNum>
  <w:abstractNum w:abstractNumId="429">
    <w:nsid w:val="61C30361"/>
    <w:multiLevelType w:val="hybridMultilevel"/>
    <w:lvl w:ilvl="0">
      <w:lvlJc w:val="left"/>
      <w:lvlText w:val="(%1)"/>
      <w:numFmt w:val="lowerLetter"/>
      <w:start w:val="2"/>
    </w:lvl>
    <w:lvl w:ilvl="1">
      <w:lvlJc w:val="left"/>
      <w:lvlText w:val="(%2)"/>
      <w:numFmt w:val="lowerLetter"/>
      <w:start w:val="4"/>
    </w:lvl>
  </w:abstractNum>
  <w:abstractNum w:abstractNumId="430">
    <w:nsid w:val="632099E0"/>
    <w:multiLevelType w:val="hybridMultilevel"/>
    <w:lvl w:ilvl="0">
      <w:lvlJc w:val="left"/>
      <w:lvlText w:val="(%1)"/>
      <w:numFmt w:val="lowerLetter"/>
      <w:start w:val="6"/>
    </w:lvl>
  </w:abstractNum>
  <w:abstractNum w:abstractNumId="431">
    <w:nsid w:val="24639756"/>
    <w:multiLevelType w:val="hybridMultilevel"/>
    <w:lvl w:ilvl="0">
      <w:lvlJc w:val="left"/>
      <w:lvlText w:val="%1"/>
      <w:numFmt w:val="lowerLetter"/>
      <w:start w:val="1"/>
    </w:lvl>
    <w:lvl w:ilvl="1">
      <w:lvlJc w:val="left"/>
      <w:lvlText w:val="(%2)"/>
      <w:numFmt w:val="lowerLetter"/>
      <w:start w:val="1"/>
    </w:lvl>
  </w:abstractNum>
  <w:abstractNum w:abstractNumId="432">
    <w:nsid w:val="9D30DFD"/>
    <w:multiLevelType w:val="hybridMultilevel"/>
    <w:lvl w:ilvl="0">
      <w:lvlJc w:val="left"/>
      <w:lvlText w:val="(%1)"/>
      <w:numFmt w:val="lowerLetter"/>
      <w:start w:val="35"/>
    </w:lvl>
    <w:lvl w:ilvl="1">
      <w:lvlJc w:val="left"/>
      <w:lvlText w:val="%2"/>
      <w:numFmt w:val="lowerLetter"/>
      <w:start w:val="1"/>
    </w:lvl>
  </w:abstractNum>
  <w:abstractNum w:abstractNumId="433">
    <w:nsid w:val="70A42016"/>
    <w:multiLevelType w:val="hybridMultilevel"/>
    <w:lvl w:ilvl="0">
      <w:lvlJc w:val="left"/>
      <w:lvlText w:val="(%1)"/>
      <w:numFmt w:val="lowerLetter"/>
      <w:start w:val="2"/>
    </w:lvl>
  </w:abstractNum>
  <w:abstractNum w:abstractNumId="434">
    <w:nsid w:val="161BC243"/>
    <w:multiLevelType w:val="hybridMultilevel"/>
    <w:lvl w:ilvl="0">
      <w:lvlJc w:val="left"/>
      <w:lvlText w:val="(%1)"/>
      <w:numFmt w:val="lowerLetter"/>
      <w:start w:val="3"/>
    </w:lvl>
  </w:abstractNum>
  <w:abstractNum w:abstractNumId="435">
    <w:nsid w:val="16E908C8"/>
    <w:multiLevelType w:val="hybridMultilevel"/>
    <w:lvl w:ilvl="0">
      <w:lvlJc w:val="left"/>
      <w:lvlText w:val="(%1)"/>
      <w:numFmt w:val="lowerLetter"/>
      <w:start w:val="1"/>
    </w:lvl>
  </w:abstractNum>
  <w:abstractNum w:abstractNumId="436">
    <w:nsid w:val="2E0D7671"/>
    <w:multiLevelType w:val="hybridMultilevel"/>
    <w:lvl w:ilvl="0">
      <w:lvlJc w:val="left"/>
      <w:lvlText w:val="(%1)"/>
      <w:numFmt w:val="lowerLetter"/>
      <w:start w:val="3"/>
    </w:lvl>
  </w:abstractNum>
  <w:abstractNum w:abstractNumId="437">
    <w:nsid w:val="38B59EFF"/>
    <w:multiLevelType w:val="hybridMultilevel"/>
    <w:lvl w:ilvl="0">
      <w:lvlJc w:val="left"/>
      <w:lvlText w:val="(%1)"/>
      <w:numFmt w:val="lowerLetter"/>
      <w:start w:val="1"/>
    </w:lvl>
  </w:abstractNum>
  <w:abstractNum w:abstractNumId="438">
    <w:nsid w:val="307995CA"/>
    <w:multiLevelType w:val="hybridMultilevel"/>
    <w:lvl w:ilvl="0">
      <w:lvlJc w:val="left"/>
      <w:lvlText w:val="(%1)"/>
      <w:numFmt w:val="lowerLetter"/>
      <w:start w:val="2"/>
    </w:lvl>
  </w:abstractNum>
  <w:abstractNum w:abstractNumId="439">
    <w:nsid w:val="52E2024D"/>
    <w:multiLevelType w:val="hybridMultilevel"/>
    <w:lvl w:ilvl="0">
      <w:lvlJc w:val="left"/>
      <w:lvlText w:val="(%1)"/>
      <w:numFmt w:val="lowerLetter"/>
      <w:start w:val="1"/>
    </w:lvl>
  </w:abstractNum>
  <w:abstractNum w:abstractNumId="440">
    <w:nsid w:val="CE344B5"/>
    <w:multiLevelType w:val="hybridMultilevel"/>
    <w:lvl w:ilvl="0">
      <w:lvlJc w:val="left"/>
      <w:lvlText w:val="(%1)"/>
      <w:numFmt w:val="lowerLetter"/>
      <w:start w:val="2"/>
    </w:lvl>
  </w:abstractNum>
  <w:abstractNum w:abstractNumId="441">
    <w:nsid w:val="29B0E9A8"/>
    <w:multiLevelType w:val="hybridMultilevel"/>
    <w:lvl w:ilvl="0">
      <w:lvlJc w:val="left"/>
      <w:lvlText w:val="(%1)"/>
      <w:numFmt w:val="lowerLetter"/>
      <w:start w:val="1"/>
    </w:lvl>
  </w:abstractNum>
  <w:abstractNum w:abstractNumId="442">
    <w:nsid w:val="6F49CD8A"/>
    <w:multiLevelType w:val="hybridMultilevel"/>
    <w:lvl w:ilvl="0">
      <w:lvlJc w:val="left"/>
      <w:lvlText w:val="(%1)"/>
      <w:numFmt w:val="lowerLetter"/>
      <w:start w:val="1"/>
    </w:lvl>
    <w:lvl w:ilvl="1">
      <w:lvlJc w:val="left"/>
      <w:lvlText w:val="(%2)"/>
      <w:numFmt w:val="lowerLetter"/>
      <w:start w:val="9"/>
    </w:lvl>
  </w:abstractNum>
  <w:abstractNum w:abstractNumId="443">
    <w:nsid w:val="4DC5D907"/>
    <w:multiLevelType w:val="hybridMultilevel"/>
    <w:lvl w:ilvl="0">
      <w:lvlJc w:val="left"/>
      <w:lvlText w:val="(%1)"/>
      <w:numFmt w:val="lowerRoman"/>
      <w:start w:val="2"/>
    </w:lvl>
  </w:abstractNum>
  <w:abstractNum w:abstractNumId="444">
    <w:nsid w:val="D55945E"/>
    <w:multiLevelType w:val="hybridMultilevel"/>
    <w:lvl w:ilvl="0">
      <w:lvlJc w:val="left"/>
      <w:lvlText w:val="(%1)"/>
      <w:numFmt w:val="lowerLetter"/>
      <w:start w:val="1"/>
    </w:lvl>
    <w:lvl w:ilvl="1">
      <w:lvlJc w:val="left"/>
      <w:lvlText w:val="(%2)"/>
      <w:numFmt w:val="lowerRoman"/>
      <w:start w:val="1"/>
    </w:lvl>
  </w:abstractNum>
  <w:abstractNum w:abstractNumId="445">
    <w:nsid w:val="672417E1"/>
    <w:multiLevelType w:val="hybridMultilevel"/>
    <w:lvl w:ilvl="0">
      <w:lvlJc w:val="left"/>
      <w:lvlText w:val="(%1)"/>
      <w:numFmt w:val="lowerLetter"/>
      <w:start w:val="2"/>
    </w:lvl>
  </w:abstractNum>
  <w:abstractNum w:abstractNumId="446">
    <w:nsid w:val="5FF6CA09"/>
    <w:multiLevelType w:val="hybridMultilevel"/>
    <w:lvl w:ilvl="0">
      <w:lvlJc w:val="left"/>
      <w:lvlText w:val="(%1)"/>
      <w:numFmt w:val="lowerLetter"/>
      <w:start w:val="1"/>
    </w:lvl>
  </w:abstractNum>
  <w:abstractNum w:abstractNumId="447">
    <w:nsid w:val="330B1333"/>
    <w:multiLevelType w:val="hybridMultilevel"/>
    <w:lvl w:ilvl="0">
      <w:lvlJc w:val="left"/>
      <w:lvlText w:val="(%1)"/>
      <w:numFmt w:val="lowerLetter"/>
      <w:start w:val="1"/>
    </w:lvl>
  </w:abstractNum>
  <w:abstractNum w:abstractNumId="448">
    <w:nsid w:val="2EF32EA6"/>
    <w:multiLevelType w:val="hybridMultilevel"/>
    <w:lvl w:ilvl="0">
      <w:lvlJc w:val="left"/>
      <w:lvlText w:val="(%1)"/>
      <w:numFmt w:val="lowerLetter"/>
      <w:start w:val="1"/>
    </w:lvl>
  </w:abstractNum>
  <w:abstractNum w:abstractNumId="449">
    <w:nsid w:val="32766A55"/>
    <w:multiLevelType w:val="hybridMultilevel"/>
    <w:lvl w:ilvl="0">
      <w:lvlJc w:val="left"/>
      <w:lvlText w:val="(%1)"/>
      <w:numFmt w:val="lowerLetter"/>
      <w:start w:val="1"/>
    </w:lvl>
  </w:abstractNum>
  <w:abstractNum w:abstractNumId="450">
    <w:nsid w:val="22D71957"/>
    <w:multiLevelType w:val="hybridMultilevel"/>
    <w:lvl w:ilvl="0">
      <w:lvlJc w:val="left"/>
      <w:lvlText w:val="%1"/>
      <w:numFmt w:val="upperLetter"/>
      <w:start w:val="1"/>
    </w:lvl>
    <w:lvl w:ilvl="1">
      <w:lvlJc w:val="left"/>
      <w:lvlText w:val="(%2)"/>
      <w:numFmt w:val="lowerRoman"/>
      <w:start w:val="1"/>
    </w:lvl>
  </w:abstractNum>
  <w:abstractNum w:abstractNumId="451">
    <w:nsid w:val="4CC1263B"/>
    <w:multiLevelType w:val="hybridMultilevel"/>
    <w:lvl w:ilvl="0">
      <w:lvlJc w:val="left"/>
      <w:lvlText w:val="(%1)"/>
      <w:numFmt w:val="upperLetter"/>
      <w:start w:val="2"/>
    </w:lvl>
    <w:lvl w:ilvl="1">
      <w:lvlJc w:val="left"/>
      <w:lvlText w:val="(%2)"/>
      <w:numFmt w:val="lowerRoman"/>
      <w:start w:val="2"/>
    </w:lvl>
  </w:abstractNum>
  <w:abstractNum w:abstractNumId="452">
    <w:nsid w:val="8BBEB1D"/>
    <w:multiLevelType w:val="hybridMultilevel"/>
    <w:lvl w:ilvl="0">
      <w:lvlJc w:val="left"/>
      <w:lvlText w:val="(%1)"/>
      <w:numFmt w:val="upperLetter"/>
      <w:start w:val="2"/>
    </w:lvl>
    <w:lvl w:ilvl="1">
      <w:lvlJc w:val="left"/>
      <w:lvlText w:val="(%2)"/>
      <w:numFmt w:val="lowerRoman"/>
      <w:start w:val="4"/>
    </w:lvl>
  </w:abstractNum>
  <w:abstractNum w:abstractNumId="453">
    <w:nsid w:val="7365F1EE"/>
    <w:multiLevelType w:val="hybridMultilevel"/>
    <w:lvl w:ilvl="0">
      <w:lvlJc w:val="left"/>
      <w:lvlText w:val="%1"/>
      <w:numFmt w:val="lowerLetter"/>
      <w:start w:val="1"/>
    </w:lvl>
    <w:lvl w:ilvl="1">
      <w:lvlJc w:val="left"/>
      <w:lvlText w:val="(%2)"/>
      <w:numFmt w:val="lowerLetter"/>
      <w:start w:val="22"/>
    </w:lvl>
  </w:abstractNum>
  <w:abstractNum w:abstractNumId="454">
    <w:nsid w:val="37524CF0"/>
    <w:multiLevelType w:val="hybridMultilevel"/>
    <w:lvl w:ilvl="0">
      <w:lvlJc w:val="left"/>
      <w:lvlText w:val="(%1)"/>
      <w:numFmt w:val="lowerLetter"/>
      <w:start w:val="2"/>
    </w:lvl>
    <w:lvl w:ilvl="1">
      <w:lvlJc w:val="left"/>
      <w:lvlText w:val="%2"/>
      <w:numFmt w:val="lowerLetter"/>
      <w:start w:val="1"/>
    </w:lvl>
  </w:abstractNum>
  <w:abstractNum w:abstractNumId="455">
    <w:nsid w:val="70CC332F"/>
    <w:multiLevelType w:val="hybridMultilevel"/>
    <w:lvl w:ilvl="0">
      <w:lvlJc w:val="left"/>
      <w:lvlText w:val="(%1)"/>
      <w:numFmt w:val="lowerLetter"/>
      <w:start w:val="1"/>
    </w:lvl>
  </w:abstractNum>
  <w:abstractNum w:abstractNumId="456">
    <w:nsid w:val="5661786E"/>
    <w:multiLevelType w:val="hybridMultilevel"/>
    <w:lvl w:ilvl="0">
      <w:lvlJc w:val="left"/>
      <w:lvlText w:val="(%1)"/>
      <w:numFmt w:val="lowerLetter"/>
      <w:start w:val="2"/>
    </w:lvl>
  </w:abstractNum>
  <w:abstractNum w:abstractNumId="457">
    <w:nsid w:val="3AF6A220"/>
    <w:multiLevelType w:val="hybridMultilevel"/>
    <w:lvl w:ilvl="0">
      <w:lvlJc w:val="left"/>
      <w:lvlText w:val="(%1)"/>
      <w:numFmt w:val="lowerLetter"/>
      <w:start w:val="1"/>
    </w:lvl>
  </w:abstractNum>
  <w:abstractNum w:abstractNumId="458">
    <w:nsid w:val="3C5EA902"/>
    <w:multiLevelType w:val="hybridMultilevel"/>
    <w:lvl w:ilvl="0">
      <w:lvlJc w:val="left"/>
      <w:lvlText w:val="(%1)"/>
      <w:numFmt w:val="decimal"/>
      <w:start w:val="2"/>
    </w:lvl>
  </w:abstractNum>
  <w:abstractNum w:abstractNumId="459">
    <w:nsid w:val="256E6749"/>
    <w:multiLevelType w:val="hybridMultilevel"/>
    <w:lvl w:ilvl="0">
      <w:lvlJc w:val="left"/>
      <w:lvlText w:val="(%1)"/>
      <w:numFmt w:val="lowerLetter"/>
      <w:start w:val="2"/>
    </w:lvl>
  </w:abstractNum>
  <w:abstractNum w:abstractNumId="460">
    <w:nsid w:val="1CB9A581"/>
    <w:multiLevelType w:val="hybridMultilevel"/>
    <w:lvl w:ilvl="0">
      <w:lvlJc w:val="left"/>
      <w:lvlText w:val="(%1)"/>
      <w:numFmt w:val="lowerLetter"/>
      <w:start w:val="1"/>
    </w:lvl>
  </w:abstractNum>
  <w:abstractNum w:abstractNumId="461">
    <w:nsid w:val="1F7F42E2"/>
    <w:multiLevelType w:val="hybridMultilevel"/>
    <w:lvl w:ilvl="0">
      <w:lvlJc w:val="left"/>
      <w:lvlText w:val="(%1)"/>
      <w:numFmt w:val="lowerLetter"/>
      <w:start w:val="2"/>
    </w:lvl>
  </w:abstractNum>
  <w:abstractNum w:abstractNumId="462">
    <w:nsid w:val="49D1FEA0"/>
    <w:multiLevelType w:val="hybridMultilevel"/>
    <w:lvl w:ilvl="0">
      <w:lvlJc w:val="left"/>
      <w:lvlText w:val="(%1)"/>
      <w:numFmt w:val="lowerLetter"/>
      <w:start w:val="1"/>
    </w:lvl>
  </w:abstractNum>
  <w:abstractNum w:abstractNumId="463">
    <w:nsid w:val="268CB37F"/>
    <w:multiLevelType w:val="hybridMultilevel"/>
    <w:lvl w:ilvl="0">
      <w:lvlJc w:val="left"/>
      <w:lvlText w:val="(%1)"/>
      <w:numFmt w:val="lowerLetter"/>
      <w:start w:val="4"/>
    </w:lvl>
  </w:abstractNum>
  <w:abstractNum w:abstractNumId="464">
    <w:nsid w:val="102362F8"/>
    <w:multiLevelType w:val="hybridMultilevel"/>
    <w:lvl w:ilvl="0">
      <w:lvlJc w:val="left"/>
      <w:lvlText w:val="(%1)"/>
      <w:numFmt w:val="lowerLetter"/>
      <w:start w:val="8"/>
    </w:lvl>
  </w:abstractNum>
  <w:abstractNum w:abstractNumId="465">
    <w:nsid w:val="5FEDC0E3"/>
    <w:multiLevelType w:val="hybridMultilevel"/>
    <w:lvl w:ilvl="0">
      <w:lvlJc w:val="left"/>
      <w:lvlText w:val="(%1)"/>
      <w:numFmt w:val="lowerLetter"/>
      <w:start w:val="16"/>
    </w:lvl>
  </w:abstractNum>
  <w:abstractNum w:abstractNumId="466">
    <w:nsid w:val="3D75BC47"/>
    <w:multiLevelType w:val="hybridMultilevel"/>
    <w:lvl w:ilvl="0">
      <w:lvlJc w:val="left"/>
      <w:lvlText w:val="(%1)"/>
      <w:numFmt w:val="decimal"/>
      <w:start w:val="11"/>
    </w:lvl>
  </w:abstractNum>
  <w:abstractNum w:abstractNumId="467">
    <w:nsid w:val="3E30D969"/>
    <w:multiLevelType w:val="hybridMultilevel"/>
    <w:lvl w:ilvl="0">
      <w:lvlJc w:val="left"/>
      <w:lvlText w:val="(%1)"/>
      <w:numFmt w:val="lowerLetter"/>
      <w:start w:val="1"/>
    </w:lvl>
  </w:abstractNum>
  <w:abstractNum w:abstractNumId="468">
    <w:nsid w:val="18A35FE3"/>
    <w:multiLevelType w:val="hybridMultilevel"/>
    <w:lvl w:ilvl="0">
      <w:lvlJc w:val="left"/>
      <w:lvlText w:val="(%1)"/>
      <w:numFmt w:val="lowerLetter"/>
      <w:start w:val="2"/>
    </w:lvl>
  </w:abstractNum>
  <w:abstractNum w:abstractNumId="469">
    <w:nsid w:val="6DEF5211"/>
    <w:multiLevelType w:val="hybridMultilevel"/>
    <w:lvl w:ilvl="0">
      <w:lvlJc w:val="left"/>
      <w:lvlText w:val="(%1)"/>
      <w:numFmt w:val="lowerLetter"/>
      <w:start w:val="1"/>
    </w:lvl>
  </w:abstractNum>
  <w:abstractNum w:abstractNumId="470">
    <w:nsid w:val="1112DBB6"/>
    <w:multiLevelType w:val="hybridMultilevel"/>
    <w:lvl w:ilvl="0">
      <w:lvlJc w:val="left"/>
      <w:lvlText w:val="(%1)"/>
      <w:numFmt w:val="lowerLetter"/>
      <w:start w:val="3"/>
    </w:lvl>
  </w:abstractNum>
  <w:abstractNum w:abstractNumId="471">
    <w:nsid w:val="2586A498"/>
    <w:multiLevelType w:val="hybridMultilevel"/>
    <w:lvl w:ilvl="0">
      <w:lvlJc w:val="left"/>
      <w:lvlText w:val="(%1)"/>
      <w:numFmt w:val="lowerLetter"/>
      <w:start w:val="5"/>
    </w:lvl>
  </w:abstractNum>
  <w:abstractNum w:abstractNumId="472">
    <w:nsid w:val="17A03BB9"/>
    <w:multiLevelType w:val="hybridMultilevel"/>
    <w:lvl w:ilvl="0">
      <w:lvlJc w:val="left"/>
      <w:lvlText w:val="(%1)"/>
      <w:numFmt w:val="lowerLetter"/>
      <w:start w:val="1"/>
    </w:lvl>
  </w:abstractNum>
  <w:abstractNum w:abstractNumId="473">
    <w:nsid w:val="5CA941"/>
    <w:multiLevelType w:val="hybridMultilevel"/>
    <w:lvl w:ilvl="0">
      <w:lvlJc w:val="left"/>
      <w:lvlText w:val="(%1)"/>
      <w:numFmt w:val="lowerLetter"/>
      <w:start w:val="4"/>
    </w:lvl>
  </w:abstractNum>
  <w:abstractNum w:abstractNumId="474">
    <w:nsid w:val="734C7D9F"/>
    <w:multiLevelType w:val="hybridMultilevel"/>
    <w:lvl w:ilvl="0">
      <w:lvlJc w:val="left"/>
      <w:lvlText w:val="(%1)"/>
      <w:numFmt w:val="lowerLetter"/>
      <w:start w:val="6"/>
    </w:lvl>
  </w:abstractNum>
  <w:abstractNum w:abstractNumId="475">
    <w:nsid w:val="24F5D018"/>
    <w:multiLevelType w:val="hybridMultilevel"/>
    <w:lvl w:ilvl="0">
      <w:lvlJc w:val="left"/>
      <w:lvlText w:val="%1"/>
      <w:numFmt w:val="lowerLetter"/>
      <w:start w:val="1"/>
    </w:lvl>
    <w:lvl w:ilvl="1">
      <w:lvlJc w:val="left"/>
      <w:lvlText w:val="(%2)"/>
      <w:numFmt w:val="lowerLetter"/>
      <w:start w:val="1"/>
    </w:lvl>
  </w:abstractNum>
  <w:abstractNum w:abstractNumId="476">
    <w:nsid w:val="6780C122"/>
    <w:multiLevelType w:val="hybridMultilevel"/>
    <w:lvl w:ilvl="0">
      <w:lvlJc w:val="left"/>
      <w:lvlText w:val="(%1)"/>
      <w:numFmt w:val="lowerLetter"/>
      <w:start w:val="9"/>
    </w:lvl>
    <w:lvl w:ilvl="1">
      <w:lvlJc w:val="left"/>
      <w:lvlText w:val="%2"/>
      <w:numFmt w:val="lowerLetter"/>
      <w:start w:val="1"/>
    </w:lvl>
  </w:abstractNum>
  <w:abstractNum w:abstractNumId="477">
    <w:nsid w:val="534347A8"/>
    <w:multiLevelType w:val="hybridMultilevel"/>
    <w:lvl w:ilvl="0">
      <w:lvlJc w:val="left"/>
      <w:lvlText w:val="(%1)"/>
      <w:numFmt w:val="lowerLetter"/>
      <w:start w:val="22"/>
    </w:lvl>
    <w:lvl w:ilvl="1">
      <w:lvlJc w:val="left"/>
      <w:lvlText w:val="(%2)"/>
      <w:numFmt w:val="lowerLetter"/>
      <w:start w:val="2"/>
    </w:lvl>
  </w:abstractNum>
  <w:abstractNum w:abstractNumId="478">
    <w:nsid w:val="5800E34B"/>
    <w:multiLevelType w:val="hybridMultilevel"/>
    <w:lvl w:ilvl="0">
      <w:lvlJc w:val="left"/>
      <w:lvlText w:val="(%1)"/>
      <w:numFmt w:val="lowerLetter"/>
      <w:start w:val="1"/>
    </w:lvl>
  </w:abstractNum>
  <w:abstractNum w:abstractNumId="479">
    <w:nsid w:val="1673EFC8"/>
    <w:multiLevelType w:val="hybridMultilevel"/>
    <w:lvl w:ilvl="0">
      <w:lvlJc w:val="left"/>
      <w:lvlText w:val="(%1)"/>
      <w:numFmt w:val="lowerLetter"/>
      <w:start w:val="2"/>
    </w:lvl>
  </w:abstractNum>
  <w:abstractNum w:abstractNumId="480">
    <w:nsid w:val="5B9B1FD"/>
    <w:multiLevelType w:val="hybridMultilevel"/>
    <w:lvl w:ilvl="0">
      <w:lvlJc w:val="left"/>
      <w:lvlText w:val="(%1)"/>
      <w:numFmt w:val="lowerLetter"/>
      <w:start w:val="1"/>
    </w:lvl>
    <w:lvl w:ilvl="1">
      <w:lvlJc w:val="left"/>
      <w:lvlText w:val="(%2)"/>
      <w:numFmt w:val="lowerRoman"/>
      <w:start w:val="1"/>
    </w:lvl>
  </w:abstractNum>
  <w:abstractNum w:abstractNumId="481">
    <w:nsid w:val="7AD7FCA2"/>
    <w:multiLevelType w:val="hybridMultilevel"/>
    <w:lvl w:ilvl="0">
      <w:lvlJc w:val="left"/>
      <w:lvlText w:val="(%1)"/>
      <w:numFmt w:val="lowerRoman"/>
      <w:start w:val="10"/>
    </w:lvl>
    <w:lvl w:ilvl="1">
      <w:lvlJc w:val="left"/>
      <w:lvlText w:val="(%2)"/>
      <w:numFmt w:val="lowerRoman"/>
      <w:start w:val="2"/>
    </w:lvl>
  </w:abstractNum>
  <w:abstractNum w:abstractNumId="482">
    <w:nsid w:val="63351604"/>
    <w:multiLevelType w:val="hybridMultilevel"/>
    <w:lvl w:ilvl="0">
      <w:lvlJc w:val="left"/>
      <w:lvlText w:val="(%1)"/>
      <w:numFmt w:val="lowerLetter"/>
      <w:start w:val="1"/>
    </w:lvl>
  </w:abstractNum>
  <w:abstractNum w:abstractNumId="483">
    <w:nsid w:val="E759D1A"/>
    <w:multiLevelType w:val="hybridMultilevel"/>
    <w:lvl w:ilvl="0">
      <w:lvlJc w:val="left"/>
      <w:lvlText w:val="(%1)"/>
      <w:numFmt w:val="lowerLetter"/>
      <w:start w:val="1"/>
    </w:lvl>
  </w:abstractNum>
  <w:abstractNum w:abstractNumId="484">
    <w:nsid w:val="6E3DEE90"/>
    <w:multiLevelType w:val="hybridMultilevel"/>
    <w:lvl w:ilvl="0">
      <w:lvlJc w:val="left"/>
      <w:lvlText w:val="(%1)"/>
      <w:numFmt w:val="lowerLetter"/>
      <w:start w:val="2"/>
    </w:lvl>
  </w:abstractNum>
  <w:abstractNum w:abstractNumId="485">
    <w:nsid w:val="1A8762F4"/>
    <w:multiLevelType w:val="hybridMultilevel"/>
    <w:lvl w:ilvl="0">
      <w:lvlJc w:val="left"/>
      <w:lvlText w:val="(%1)"/>
      <w:numFmt w:val="lowerLetter"/>
      <w:start w:val="1"/>
    </w:lvl>
  </w:abstractNum>
  <w:abstractNum w:abstractNumId="486">
    <w:nsid w:val="7F41D049"/>
    <w:multiLevelType w:val="hybridMultilevel"/>
    <w:lvl w:ilvl="0">
      <w:lvlJc w:val="left"/>
      <w:lvlText w:val="%1."/>
      <w:numFmt w:val="decimal"/>
      <w:start w:val="1"/>
    </w:lvl>
  </w:abstractNum>
  <w:abstractNum w:abstractNumId="487">
    <w:nsid w:val="449F66FE"/>
    <w:multiLevelType w:val="hybridMultilevel"/>
    <w:lvl w:ilvl="0">
      <w:lvlJc w:val="left"/>
      <w:lvlText w:val="(%1)"/>
      <w:numFmt w:val="lowerLetter"/>
      <w:start w:val="1"/>
    </w:lvl>
  </w:abstractNum>
  <w:abstractNum w:abstractNumId="488">
    <w:nsid w:val="557E0515"/>
    <w:multiLevelType w:val="hybridMultilevel"/>
    <w:lvl w:ilvl="0">
      <w:lvlJc w:val="left"/>
      <w:lvlText w:val="(%1)"/>
      <w:numFmt w:val="lowerLetter"/>
      <w:start w:val="2"/>
    </w:lvl>
    <w:lvl w:ilvl="1">
      <w:lvlJc w:val="left"/>
      <w:lvlText w:val="(%2)"/>
      <w:numFmt w:val="lowerRoman"/>
      <w:start w:val="1"/>
    </w:lvl>
  </w:abstractNum>
  <w:abstractNum w:abstractNumId="489">
    <w:nsid w:val="3BA0794B"/>
    <w:multiLevelType w:val="hybridMultilevel"/>
    <w:lvl w:ilvl="0">
      <w:lvlJc w:val="left"/>
      <w:lvlText w:val="(%1)"/>
      <w:numFmt w:val="lowerLetter"/>
      <w:start w:val="1"/>
    </w:lvl>
  </w:abstractNum>
  <w:abstractNum w:abstractNumId="490">
    <w:nsid w:val="6A0DCE48"/>
    <w:multiLevelType w:val="hybridMultilevel"/>
    <w:lvl w:ilvl="0">
      <w:lvlJc w:val="left"/>
      <w:lvlText w:val="(%1)"/>
      <w:numFmt w:val="lowerLetter"/>
      <w:start w:val="3"/>
    </w:lvl>
  </w:abstractNum>
  <w:abstractNum w:abstractNumId="491">
    <w:nsid w:val="7237AA96"/>
    <w:multiLevelType w:val="hybridMultilevel"/>
    <w:lvl w:ilvl="0">
      <w:lvlJc w:val="left"/>
      <w:lvlText w:val="(%1)"/>
      <w:numFmt w:val="lowerLetter"/>
      <w:start w:val="6"/>
    </w:lvl>
  </w:abstractNum>
  <w:abstractNum w:abstractNumId="492">
    <w:nsid w:val="5B1FBC2D"/>
    <w:multiLevelType w:val="hybridMultilevel"/>
    <w:lvl w:ilvl="0">
      <w:lvlJc w:val="left"/>
      <w:lvlText w:val="(%1)"/>
      <w:numFmt w:val="lowerLetter"/>
      <w:start w:val="1"/>
    </w:lvl>
  </w:abstractNum>
  <w:abstractNum w:abstractNumId="493">
    <w:nsid w:val="33DFCCE8"/>
    <w:multiLevelType w:val="hybridMultilevel"/>
    <w:lvl w:ilvl="0">
      <w:lvlJc w:val="left"/>
      <w:lvlText w:val="(%1)"/>
      <w:numFmt w:val="lowerLetter"/>
      <w:start w:val="3"/>
    </w:lvl>
  </w:abstractNum>
  <w:abstractNum w:abstractNumId="494">
    <w:nsid w:val="18C45E15"/>
    <w:multiLevelType w:val="hybridMultilevel"/>
    <w:lvl w:ilvl="0">
      <w:lvlJc w:val="left"/>
      <w:lvlText w:val="(%1)"/>
      <w:numFmt w:val="lowerLetter"/>
      <w:start w:val="3"/>
    </w:lvl>
  </w:abstractNum>
  <w:abstractNum w:abstractNumId="495">
    <w:nsid w:val="6B431F25"/>
    <w:multiLevelType w:val="hybridMultilevel"/>
    <w:lvl w:ilvl="0">
      <w:lvlJc w:val="left"/>
      <w:lvlText w:val="%1"/>
      <w:numFmt w:val="decimal"/>
      <w:start w:val="920"/>
    </w:lvl>
  </w:abstractNum>
  <w:abstractNum w:abstractNumId="496">
    <w:nsid w:val="13CD8DCB"/>
    <w:multiLevelType w:val="hybridMultilevel"/>
    <w:lvl w:ilvl="0">
      <w:lvlJc w:val="left"/>
      <w:lvlText w:val="§"/>
      <w:numFmt w:val="bullet"/>
      <w:start w:val="1"/>
    </w:lvl>
  </w:abstractNum>
  <w:abstractNum w:abstractNumId="497">
    <w:nsid w:val="563A1A5C"/>
    <w:multiLevelType w:val="hybridMultilevel"/>
    <w:lvl w:ilvl="0">
      <w:lvlJc w:val="left"/>
      <w:lvlText w:val="(%1)"/>
      <w:numFmt w:val="lowerLetter"/>
      <w:start w:val="1"/>
    </w:lvl>
  </w:abstractNum>
  <w:abstractNum w:abstractNumId="498">
    <w:nsid w:val="2973F88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2020-01-20T20:57:42Z</dcterms:created>
  <dcterms:modified xsi:type="dcterms:W3CDTF">2020-01-20T20:57:42Z</dcterms:modified>
</cp:coreProperties>
</file>