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CALCULATION OF REGISTRATION FEE</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60" w:type="dxa"/>
            <w:vAlign w:val="bottom"/>
            <w:tcBorders>
              <w:top w:val="single" w:sz="8" w:color="auto"/>
              <w:bottom w:val="single" w:sz="8" w:color="auto"/>
              <w:right w:val="single" w:sz="8" w:color="auto"/>
            </w:tcBorders>
          </w:tcPr>
          <w:p>
            <w:pPr>
              <w:spacing w:after="0"/>
              <w:rPr>
                <w:sz w:val="3"/>
                <w:szCs w:val="3"/>
                <w:color w:val="auto"/>
              </w:rPr>
            </w:pPr>
          </w:p>
        </w:tc>
        <w:tc>
          <w:tcPr>
            <w:tcW w:w="2480" w:type="dxa"/>
            <w:vAlign w:val="bottom"/>
            <w:tcBorders>
              <w:top w:val="single" w:sz="8" w:color="auto"/>
              <w:bottom w:val="single" w:sz="8" w:color="auto"/>
              <w:right w:val="single" w:sz="8" w:color="auto"/>
            </w:tcBorders>
          </w:tcPr>
          <w:p>
            <w:pPr>
              <w:spacing w:after="0"/>
              <w:rPr>
                <w:sz w:val="3"/>
                <w:szCs w:val="3"/>
                <w:color w:val="auto"/>
              </w:rPr>
            </w:pPr>
          </w:p>
        </w:tc>
        <w:tc>
          <w:tcPr>
            <w:tcW w:w="23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4"/>
                <w:szCs w:val="14"/>
                <w:b w:val="1"/>
                <w:bCs w:val="1"/>
                <w:color w:val="auto"/>
              </w:rPr>
              <w:t>Title of Each Class of Securities to be Offered</w:t>
            </w:r>
          </w:p>
        </w:tc>
        <w:tc>
          <w:tcPr>
            <w:tcW w:w="24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 Aggregate</w:t>
            </w:r>
          </w:p>
        </w:tc>
        <w:tc>
          <w:tcPr>
            <w:tcW w:w="23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auto"/>
              <w:right w:val="single" w:sz="8" w:color="auto"/>
            </w:tcBorders>
            <w:vMerge w:val="continue"/>
          </w:tcPr>
          <w:p>
            <w:pPr>
              <w:spacing w:after="0"/>
              <w:rPr>
                <w:sz w:val="14"/>
                <w:szCs w:val="14"/>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3.95% Senior Notes due 2015</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$400,000,000</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$28,520</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Guarantees of 2015 Notes (2)</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$400,000,000</w:t>
            </w:r>
          </w:p>
        </w:tc>
        <w:tc>
          <w:tcPr>
            <w:tcW w:w="2360" w:type="dxa"/>
            <w:vAlign w:val="bottom"/>
          </w:tcPr>
          <w:p>
            <w:pPr>
              <w:jc w:val="center"/>
              <w:spacing w:after="0"/>
              <w:rPr>
                <w:sz w:val="20"/>
                <w:szCs w:val="20"/>
                <w:color w:val="auto"/>
              </w:rPr>
            </w:pPr>
            <w:r>
              <w:rPr>
                <w:rFonts w:ascii="Arial" w:cs="Arial" w:eastAsia="Arial" w:hAnsi="Arial"/>
                <w:sz w:val="18"/>
                <w:szCs w:val="18"/>
                <w:color w:val="auto"/>
                <w:w w:val="92"/>
              </w:rPr>
              <w:t>$28,520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000" w:hanging="307"/>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pacing w:after="0" w:line="63" w:lineRule="exact"/>
        <w:rPr>
          <w:rFonts w:ascii="Arial" w:cs="Arial" w:eastAsia="Arial" w:hAnsi="Arial"/>
          <w:sz w:val="18"/>
          <w:szCs w:val="18"/>
          <w:color w:val="auto"/>
        </w:rPr>
      </w:pPr>
    </w:p>
    <w:p>
      <w:pPr>
        <w:ind w:left="1000" w:hanging="307"/>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is payable with respect to the Guarantees.</w:t>
      </w:r>
    </w:p>
    <w:p>
      <w:pPr>
        <w:sectPr>
          <w:pgSz w:w="11900" w:h="16838" w:orient="portrait"/>
          <w:cols w:equalWidth="0" w:num="1">
            <w:col w:w="10620"/>
          </w:cols>
          <w:pgMar w:left="240" w:top="122" w:right="1039" w:bottom="1440" w:gutter="0" w:footer="0" w:header="0"/>
        </w:sectPr>
      </w:pP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Prospectus supplement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prospectus dated October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63500</wp:posOffset>
            </wp:positionV>
            <wp:extent cx="168973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9735" cy="523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Filed pursuant to Rule 424(b)(5)</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Registration No. 333-162475</w:t>
      </w:r>
    </w:p>
    <w:p>
      <w:pPr>
        <w:spacing w:after="0" w:line="200" w:lineRule="exact"/>
        <w:rPr>
          <w:sz w:val="20"/>
          <w:szCs w:val="20"/>
          <w:color w:val="auto"/>
        </w:rPr>
      </w:pPr>
    </w:p>
    <w:p>
      <w:pPr>
        <w:sectPr>
          <w:pgSz w:w="11900" w:h="16838" w:orient="portrait"/>
          <w:cols w:equalWidth="0" w:num="2">
            <w:col w:w="7560" w:space="720"/>
            <w:col w:w="2340"/>
          </w:cols>
          <w:pgMar w:left="240" w:top="122"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Plains All American Pipeline, L.P.</w:t>
      </w:r>
    </w:p>
    <w:p>
      <w:pPr>
        <w:spacing w:after="0" w:line="38"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PAA Finance Corp.</w:t>
      </w:r>
    </w:p>
    <w:p>
      <w:pPr>
        <w:spacing w:after="0" w:line="3"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auto"/>
        </w:rPr>
        <w:t>$400,000,000</w:t>
      </w:r>
    </w:p>
    <w:p>
      <w:pPr>
        <w:jc w:val="center"/>
        <w:ind w:right="-699"/>
        <w:spacing w:after="0"/>
        <w:rPr>
          <w:sz w:val="20"/>
          <w:szCs w:val="20"/>
          <w:color w:val="auto"/>
        </w:rPr>
      </w:pPr>
      <w:r>
        <w:rPr>
          <w:rFonts w:ascii="Arial" w:cs="Arial" w:eastAsia="Arial" w:hAnsi="Arial"/>
          <w:sz w:val="20"/>
          <w:szCs w:val="20"/>
          <w:b w:val="1"/>
          <w:bCs w:val="1"/>
          <w:color w:val="auto"/>
        </w:rPr>
        <w:t>3.95% Senior Notes due 2015</w:t>
      </w:r>
    </w:p>
    <w:p>
      <w:pPr>
        <w:spacing w:after="0" w:line="108"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Plains All American Pipeline, L.P. and PAA Finance Corp. are offering $400,000,000 aggregate principal amount of 3.95% Senior Notes due 2015 (the “Notes”).</w:t>
      </w:r>
    </w:p>
    <w:p>
      <w:pPr>
        <w:spacing w:after="0" w:line="7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We will pay interest on the Notes semi-annually in arrears on March 15 and September 15 of each year, beginning on September 15, 2010. The Notes will mature on September 15, 2015, unless redeemed prior to the maturity date.</w:t>
      </w:r>
    </w:p>
    <w:p>
      <w:pPr>
        <w:spacing w:after="0" w:line="76"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 — Optional redemption.”</w:t>
      </w:r>
    </w:p>
    <w:p>
      <w:pPr>
        <w:spacing w:after="0" w:line="76"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Notes will be our unsecured senior obligations. Initially, the Notes will be fully and unconditionally guaranteed by all of our existing subsidiaries other than (i) PAA Finance Corp., the co-issuer of the Notes, (ii) PNGS GP LLC, PAA Natural Gas Storage, L.P. and their respective subsidiaries, (iii) subsidiaries regulated by the California Public Utilities Commission and (iv) subsidiaries that are minor. Subsidiaries acquired in the future may or may not become guarantors, but any subsidiary that guarantees other indebtedness of ours or another subsidiary must also guarantee the Notes. The guarantees are also subject to release in certain circumstances. The Notes and the guarantees will rank equally with any other unsecured senior indebtedness of Plains All American Pipeline, L.P., PAA Finance Corp. and the subsidiary guarantors from time to time outstanding.</w:t>
      </w:r>
    </w:p>
    <w:p>
      <w:pPr>
        <w:spacing w:after="0" w:line="75" w:lineRule="exact"/>
        <w:rPr>
          <w:sz w:val="20"/>
          <w:szCs w:val="20"/>
          <w:color w:val="auto"/>
        </w:rPr>
      </w:pPr>
    </w:p>
    <w:p>
      <w:pPr>
        <w:ind w:left="700" w:right="860" w:firstLine="397"/>
        <w:spacing w:after="0" w:line="267" w:lineRule="auto"/>
        <w:rPr>
          <w:sz w:val="20"/>
          <w:szCs w:val="20"/>
          <w:color w:val="auto"/>
        </w:rPr>
      </w:pPr>
      <w:r>
        <w:rPr>
          <w:rFonts w:ascii="Arial" w:cs="Arial" w:eastAsia="Arial" w:hAnsi="Arial"/>
          <w:sz w:val="20"/>
          <w:szCs w:val="20"/>
          <w:b w:val="1"/>
          <w:bCs w:val="1"/>
          <w:color w:val="auto"/>
        </w:rPr>
        <w:t>Investing in the Notes involves risks. See “Risk Factors” on page S-9 of this prospectus supplement and beginning on page 6 of the accompanying prospectus.</w:t>
      </w:r>
    </w:p>
    <w:p>
      <w:pPr>
        <w:spacing w:after="0" w:line="78"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15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Per Note</w:t>
            </w:r>
          </w:p>
        </w:tc>
        <w:tc>
          <w:tcPr>
            <w:tcW w:w="2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192"/>
        </w:trPr>
        <w:tc>
          <w:tcPr>
            <w:tcW w:w="6100" w:type="dxa"/>
            <w:vAlign w:val="bottom"/>
          </w:tcPr>
          <w:p>
            <w:pPr>
              <w:spacing w:after="0"/>
              <w:rPr>
                <w:sz w:val="20"/>
                <w:szCs w:val="20"/>
                <w:color w:val="auto"/>
              </w:rPr>
            </w:pPr>
            <w:r>
              <w:rPr>
                <w:rFonts w:ascii="Arial" w:cs="Arial" w:eastAsia="Arial" w:hAnsi="Arial"/>
                <w:sz w:val="16"/>
                <w:szCs w:val="16"/>
                <w:color w:val="auto"/>
              </w:rPr>
              <w:t>Public offering price(1)</w:t>
            </w: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99.889%</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19"/>
              <w:spacing w:after="0"/>
              <w:rPr>
                <w:sz w:val="20"/>
                <w:szCs w:val="20"/>
                <w:color w:val="auto"/>
              </w:rPr>
            </w:pPr>
            <w:r>
              <w:rPr>
                <w:rFonts w:ascii="Arial" w:cs="Arial" w:eastAsia="Arial" w:hAnsi="Arial"/>
                <w:sz w:val="16"/>
                <w:szCs w:val="16"/>
                <w:color w:val="auto"/>
                <w:w w:val="89"/>
              </w:rPr>
              <w:t>399,556,000</w:t>
            </w: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Underwriting discount</w:t>
            </w: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0.600%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19"/>
              <w:spacing w:after="0"/>
              <w:rPr>
                <w:sz w:val="20"/>
                <w:szCs w:val="20"/>
                <w:color w:val="auto"/>
              </w:rPr>
            </w:pPr>
            <w:r>
              <w:rPr>
                <w:rFonts w:ascii="Arial" w:cs="Arial" w:eastAsia="Arial" w:hAnsi="Arial"/>
                <w:sz w:val="16"/>
                <w:szCs w:val="16"/>
                <w:color w:val="auto"/>
              </w:rPr>
              <w:t>2,400,000</w:t>
            </w:r>
          </w:p>
        </w:tc>
      </w:tr>
      <w:tr>
        <w:trPr>
          <w:trHeight w:val="206"/>
        </w:trPr>
        <w:tc>
          <w:tcPr>
            <w:tcW w:w="6100" w:type="dxa"/>
            <w:vAlign w:val="bottom"/>
          </w:tcPr>
          <w:p>
            <w:pPr>
              <w:spacing w:after="0"/>
              <w:rPr>
                <w:sz w:val="20"/>
                <w:szCs w:val="20"/>
                <w:color w:val="auto"/>
              </w:rPr>
            </w:pPr>
            <w:r>
              <w:rPr>
                <w:rFonts w:ascii="Arial" w:cs="Arial" w:eastAsia="Arial" w:hAnsi="Arial"/>
                <w:sz w:val="16"/>
                <w:szCs w:val="16"/>
                <w:color w:val="auto"/>
              </w:rPr>
              <w:t>Proceeds, before expenses, to Plains All American Pipeline, L.P.(1)</w:t>
            </w: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99.289%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19"/>
              <w:spacing w:after="0"/>
              <w:rPr>
                <w:sz w:val="20"/>
                <w:szCs w:val="20"/>
                <w:color w:val="auto"/>
              </w:rPr>
            </w:pPr>
            <w:r>
              <w:rPr>
                <w:rFonts w:ascii="Arial" w:cs="Arial" w:eastAsia="Arial" w:hAnsi="Arial"/>
                <w:sz w:val="16"/>
                <w:szCs w:val="16"/>
                <w:color w:val="auto"/>
                <w:w w:val="89"/>
              </w:rPr>
              <w:t>397,156,000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55245</wp:posOffset>
            </wp:positionV>
            <wp:extent cx="1260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  Plus accrued interest, if any, from July 14, 2010 if settlement occurs after that date.</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90"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July 14, 2010.</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0620"/>
          </w:cols>
          <w:pgMar w:left="240" w:top="122" w:right="1039" w:bottom="1440" w:gutter="0" w:footer="0" w:header="0"/>
          <w:type w:val="continuous"/>
        </w:sectPr>
      </w:pP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BofA Merrill Lynch</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BNP PARIBAS</w:t>
      </w:r>
    </w:p>
    <w:p>
      <w:pPr>
        <w:spacing w:after="0" w:line="159" w:lineRule="exact"/>
        <w:rPr>
          <w:sz w:val="20"/>
          <w:szCs w:val="20"/>
          <w:color w:val="auto"/>
        </w:rPr>
      </w:pPr>
    </w:p>
    <w:p>
      <w:pPr>
        <w:sectPr>
          <w:pgSz w:w="11900" w:h="16838" w:orient="portrait"/>
          <w:cols w:equalWidth="0" w:num="3">
            <w:col w:w="4080" w:space="720"/>
            <w:col w:w="3300" w:space="720"/>
            <w:col w:w="1800"/>
          </w:cols>
          <w:pgMar w:left="240" w:top="122" w:right="1039" w:bottom="1440" w:gutter="0" w:footer="0" w:header="0"/>
          <w:type w:val="continuous"/>
        </w:sectPr>
      </w:pPr>
    </w:p>
    <w:p>
      <w:pPr>
        <w:ind w:left="5160"/>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0620"/>
          </w:cols>
          <w:pgMar w:left="240" w:top="122" w:right="1039" w:bottom="1440" w:gutter="0" w:footer="0" w:header="0"/>
          <w:type w:val="continuous"/>
        </w:sectPr>
      </w:pPr>
    </w:p>
    <w:p>
      <w:pPr>
        <w:spacing w:after="0" w:line="15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Mizuho Securities USA Inc.</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ING</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BBVA Securities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Morgan Stanley</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SOCIETE GENERALE</w:t>
      </w:r>
    </w:p>
    <w:p>
      <w:pPr>
        <w:spacing w:after="0" w:line="23"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BMO Capital Markets</w:t>
      </w:r>
      <w:r>
        <w:rPr>
          <w:sz w:val="20"/>
          <w:szCs w:val="20"/>
          <w:color w:val="auto"/>
        </w:rPr>
        <w:tab/>
      </w:r>
      <w:r>
        <w:rPr>
          <w:rFonts w:ascii="Arial" w:cs="Arial" w:eastAsia="Arial" w:hAnsi="Arial"/>
          <w:sz w:val="16"/>
          <w:szCs w:val="16"/>
          <w:color w:val="auto"/>
        </w:rPr>
        <w:t>Comerica Securities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Natixis Bleichroeder LLC</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Scotia Capital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US Bancorp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Daiwa Capital Markets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Williams Capital Group, L.P.</w:t>
      </w:r>
    </w:p>
    <w:p>
      <w:pPr>
        <w:spacing w:after="0" w:line="84" w:lineRule="exact"/>
        <w:rPr>
          <w:sz w:val="20"/>
          <w:szCs w:val="20"/>
          <w:color w:val="auto"/>
        </w:rPr>
      </w:pPr>
    </w:p>
    <w:p>
      <w:pPr>
        <w:sectPr>
          <w:pgSz w:w="11900" w:h="16838" w:orient="portrait"/>
          <w:cols w:equalWidth="0" w:num="3">
            <w:col w:w="2900" w:space="720"/>
            <w:col w:w="4020" w:space="560"/>
            <w:col w:w="2420"/>
          </w:cols>
          <w:pgMar w:left="240" w:top="122" w:right="1039" w:bottom="1440" w:gutter="0" w:footer="0" w:header="0"/>
          <w:type w:val="continuous"/>
        </w:sectPr>
      </w:pPr>
    </w:p>
    <w:p>
      <w:pPr>
        <w:ind w:left="3680"/>
        <w:spacing w:after="0"/>
        <w:rPr>
          <w:sz w:val="20"/>
          <w:szCs w:val="20"/>
          <w:color w:val="auto"/>
        </w:rPr>
      </w:pPr>
      <w:r>
        <w:rPr>
          <w:rFonts w:ascii="Arial" w:cs="Arial" w:eastAsia="Arial" w:hAnsi="Arial"/>
          <w:sz w:val="16"/>
          <w:szCs w:val="16"/>
          <w:color w:val="auto"/>
        </w:rPr>
        <w:t>The date of this prospectus supplement is July 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w w:val="98"/>
              </w:rPr>
              <w:t>TABLE OF CONTENTS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7"/>
              </w:rPr>
              <w:t>PROSPECTUS SUPPLEMENT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38"/>
        </w:trPr>
        <w:tc>
          <w:tcPr>
            <w:tcW w:w="78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SUMMARY</w:t>
              </w:r>
            </w:hyperlink>
          </w:p>
        </w:tc>
        <w:tc>
          <w:tcPr>
            <w:tcW w:w="2000" w:type="dxa"/>
            <w:vAlign w:val="bottom"/>
            <w:tcBorders>
              <w:top w:val="single" w:sz="8" w:color="0000EE"/>
            </w:tcBorders>
            <w:gridSpan w:val="7"/>
          </w:tcPr>
          <w:p>
            <w:pPr>
              <w:spacing w:after="0"/>
              <w:rPr>
                <w:sz w:val="17"/>
                <w:szCs w:val="17"/>
                <w:color w:val="auto"/>
              </w:rPr>
            </w:pPr>
          </w:p>
        </w:tc>
        <w:tc>
          <w:tcPr>
            <w:tcW w:w="492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784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OFFERING</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tcBorders>
            <w:gridSpan w:val="4"/>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RISK FACTORS</w:t>
              </w:r>
            </w:hyperlink>
          </w:p>
        </w:tc>
        <w:tc>
          <w:tcPr>
            <w:tcW w:w="6580" w:type="dxa"/>
            <w:vAlign w:val="bottom"/>
            <w:gridSpan w:val="11"/>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USE OF PROCEEDS</w:t>
              </w:r>
            </w:hyperlink>
          </w:p>
        </w:tc>
        <w:tc>
          <w:tcPr>
            <w:tcW w:w="6260" w:type="dxa"/>
            <w:vAlign w:val="bottom"/>
            <w:gridSpan w:val="8"/>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RATIO OF EARNINGS TO FIXED CHARGES</w:t>
              </w:r>
            </w:hyperlink>
          </w:p>
        </w:tc>
        <w:tc>
          <w:tcPr>
            <w:tcW w:w="434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CAPITALIZATION</w:t>
              </w:r>
            </w:hyperlink>
          </w:p>
        </w:tc>
        <w:tc>
          <w:tcPr>
            <w:tcW w:w="6380" w:type="dxa"/>
            <w:vAlign w:val="bottom"/>
            <w:gridSpan w:val="9"/>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784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NOTES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BOOK ENTRY, DELIVERY AND FORM</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gridSpan w:val="1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MATERIAL U.S. FEDERAL INCOME TAX CONSEQUENCES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196"/>
        </w:trPr>
        <w:tc>
          <w:tcPr>
            <w:tcW w:w="3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UNDERWRITING (CONFLICTS OF INTEREST)</w:t>
              </w:r>
            </w:hyperlink>
          </w:p>
        </w:tc>
        <w:tc>
          <w:tcPr>
            <w:tcW w:w="1040" w:type="dxa"/>
            <w:vAlign w:val="bottom"/>
            <w:tcBorders>
              <w:top w:val="single" w:sz="8" w:color="0000EE"/>
            </w:tcBorders>
            <w:gridSpan w:val="2"/>
          </w:tcPr>
          <w:p>
            <w:pPr>
              <w:spacing w:after="0"/>
              <w:rPr>
                <w:sz w:val="17"/>
                <w:szCs w:val="17"/>
                <w:color w:val="auto"/>
              </w:rPr>
            </w:pPr>
          </w:p>
        </w:tc>
        <w:tc>
          <w:tcPr>
            <w:tcW w:w="310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S-37</w:t>
            </w:r>
          </w:p>
        </w:tc>
        <w:tc>
          <w:tcPr>
            <w:tcW w:w="0" w:type="dxa"/>
            <w:vAlign w:val="bottom"/>
          </w:tcPr>
          <w:p>
            <w:pPr>
              <w:spacing w:after="0"/>
              <w:rPr>
                <w:sz w:val="1"/>
                <w:szCs w:val="1"/>
                <w:color w:val="auto"/>
              </w:rPr>
            </w:pPr>
          </w:p>
        </w:tc>
      </w:tr>
      <w:tr>
        <w:trPr>
          <w:trHeight w:val="196"/>
        </w:trPr>
        <w:tc>
          <w:tcPr>
            <w:tcW w:w="7840" w:type="dxa"/>
            <w:vAlign w:val="bottom"/>
            <w:gridSpan w:val="1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LEGAL MATTERS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S-40</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640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S-40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gridSpan w:val="1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WHERE YOU CAN FIND MORE INFORMATION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S-40</w:t>
            </w:r>
          </w:p>
        </w:tc>
        <w:tc>
          <w:tcPr>
            <w:tcW w:w="0" w:type="dxa"/>
            <w:vAlign w:val="bottom"/>
          </w:tcPr>
          <w:p>
            <w:pPr>
              <w:spacing w:after="0"/>
              <w:rPr>
                <w:sz w:val="1"/>
                <w:szCs w:val="1"/>
                <w:color w:val="auto"/>
              </w:rPr>
            </w:pPr>
          </w:p>
        </w:tc>
      </w:tr>
      <w:tr>
        <w:trPr>
          <w:trHeight w:val="561"/>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4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w w:val="96"/>
              </w:rPr>
              <w:t>PROSPECTUS</w:t>
            </w:r>
          </w:p>
        </w:tc>
        <w:tc>
          <w:tcPr>
            <w:tcW w:w="2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7840" w:type="dxa"/>
            <w:vAlign w:val="bottom"/>
            <w:gridSpan w:val="15"/>
          </w:tcPr>
          <w:p>
            <w:pPr>
              <w:spacing w:after="0"/>
              <w:rPr>
                <w:sz w:val="20"/>
                <w:szCs w:val="20"/>
                <w:color w:val="auto"/>
              </w:rPr>
            </w:pPr>
            <w:r>
              <w:rPr>
                <w:rFonts w:ascii="Arial" w:cs="Arial" w:eastAsia="Arial" w:hAnsi="Arial"/>
                <w:sz w:val="18"/>
                <w:szCs w:val="18"/>
                <w:color w:val="auto"/>
              </w:rPr>
              <w:t>ABOUT THIS PROSPECTUS</w:t>
            </w:r>
          </w:p>
        </w:tc>
        <w:tc>
          <w:tcPr>
            <w:tcW w:w="202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WHERE YOU CAN FIND MORE INFORMATION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FORWARD-LOOKING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WHO WE ARE</w:t>
            </w:r>
          </w:p>
        </w:tc>
        <w:tc>
          <w:tcPr>
            <w:tcW w:w="2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RISK FACTORS</w:t>
            </w:r>
          </w:p>
        </w:tc>
        <w:tc>
          <w:tcPr>
            <w:tcW w:w="2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USE OF PROCEEDS</w:t>
            </w:r>
          </w:p>
        </w:tc>
        <w:tc>
          <w:tcPr>
            <w:tcW w:w="2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RATIO OF EARNINGS TO FIXED CHARGES</w:t>
            </w:r>
          </w:p>
        </w:tc>
        <w:tc>
          <w:tcPr>
            <w:tcW w:w="2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DESCRIPTION OF OUR DEBT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DESCRIPTION OF OUR COMMON UNITS</w:t>
            </w:r>
          </w:p>
        </w:tc>
        <w:tc>
          <w:tcPr>
            <w:tcW w:w="20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CASH DISTRIBUTION POLICY</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DESCRIPTION OF OUR PARTNERSHIP AGREEMENT</w:t>
            </w:r>
          </w:p>
        </w:tc>
        <w:tc>
          <w:tcPr>
            <w:tcW w:w="20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MATERIAL INCOME TAX CONSIDERATIONS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840" w:type="dxa"/>
            <w:vAlign w:val="bottom"/>
            <w:gridSpan w:val="15"/>
          </w:tcPr>
          <w:p>
            <w:pPr>
              <w:spacing w:after="0"/>
              <w:rPr>
                <w:sz w:val="20"/>
                <w:szCs w:val="20"/>
                <w:color w:val="auto"/>
              </w:rPr>
            </w:pPr>
            <w:r>
              <w:rPr>
                <w:rFonts w:ascii="Arial" w:cs="Arial" w:eastAsia="Arial" w:hAnsi="Arial"/>
                <w:sz w:val="18"/>
                <w:szCs w:val="18"/>
                <w:color w:val="auto"/>
              </w:rPr>
              <w:t>LEGAL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7840" w:type="dxa"/>
            <w:vAlign w:val="bottom"/>
            <w:gridSpan w:val="15"/>
          </w:tcPr>
          <w:p>
            <w:pPr>
              <w:spacing w:after="0"/>
              <w:rPr>
                <w:sz w:val="20"/>
                <w:szCs w:val="20"/>
                <w:color w:val="auto"/>
              </w:rPr>
            </w:pPr>
            <w:r>
              <w:rPr>
                <w:rFonts w:ascii="Arial" w:cs="Arial" w:eastAsia="Arial" w:hAnsi="Arial"/>
                <w:sz w:val="18"/>
                <w:szCs w:val="18"/>
                <w:color w:val="auto"/>
              </w:rPr>
              <w:t>EXPERTS</w:t>
            </w: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72"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IMPORTANT NOTICE ABOUT INFORMATION IN THIS PROSPECTUS SUPPLEMENT</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AND THE ACCOMPANYING PROSPECTUS</w:t>
      </w:r>
    </w:p>
    <w:p>
      <w:pPr>
        <w:spacing w:after="0" w:line="112" w:lineRule="exact"/>
        <w:rPr>
          <w:sz w:val="20"/>
          <w:szCs w:val="20"/>
          <w:color w:val="auto"/>
        </w:rPr>
      </w:pPr>
    </w:p>
    <w:p>
      <w:pPr>
        <w:ind w:left="700" w:right="20" w:firstLine="397"/>
        <w:spacing w:after="0" w:line="298" w:lineRule="auto"/>
        <w:rPr>
          <w:sz w:val="20"/>
          <w:szCs w:val="20"/>
          <w:color w:val="auto"/>
        </w:rPr>
      </w:pPr>
      <w:r>
        <w:rPr>
          <w:rFonts w:ascii="Arial" w:cs="Arial" w:eastAsia="Arial" w:hAnsi="Arial"/>
          <w:sz w:val="16"/>
          <w:szCs w:val="16"/>
          <w:b w:val="1"/>
          <w:bCs w:val="1"/>
          <w:color w:val="auto"/>
        </w:rPr>
        <w:t>This document is in two parts. The first part is the prospectus supplement, which describes our business and the specific terms of this offering. The second part is the accompanying prospectus, which gives more general information and includes disclosures regarding the Notes and additional disclosures that would pertain if at some time in the future we were to offer other series of our debt securities or our common units. Accordingly, the accompanying prospectus may contain information that does not apply to this offering. Generally, when we refer only to the “prospectus,” we are referring to both parts combined.</w:t>
      </w:r>
    </w:p>
    <w:p>
      <w:pPr>
        <w:spacing w:after="0" w:line="60" w:lineRule="exact"/>
        <w:rPr>
          <w:sz w:val="20"/>
          <w:szCs w:val="20"/>
          <w:color w:val="auto"/>
        </w:rPr>
      </w:pPr>
    </w:p>
    <w:p>
      <w:pPr>
        <w:ind w:left="700" w:firstLine="397"/>
        <w:spacing w:after="0" w:line="282" w:lineRule="auto"/>
        <w:rPr>
          <w:sz w:val="20"/>
          <w:szCs w:val="20"/>
          <w:color w:val="auto"/>
        </w:rPr>
      </w:pPr>
      <w:r>
        <w:rPr>
          <w:rFonts w:ascii="Arial" w:cs="Arial" w:eastAsia="Arial" w:hAnsi="Arial"/>
          <w:sz w:val="18"/>
          <w:szCs w:val="18"/>
          <w:b w:val="1"/>
          <w:bCs w:val="1"/>
          <w:color w:val="auto"/>
        </w:rPr>
        <w:t>If the description of the offering in this prospectus supplement varies from statements in the accompanying prospectus, you should rely on the information in this prospectus supplement.</w:t>
      </w:r>
    </w:p>
    <w:p>
      <w:pPr>
        <w:spacing w:after="0" w:line="67" w:lineRule="exact"/>
        <w:rPr>
          <w:sz w:val="20"/>
          <w:szCs w:val="20"/>
          <w:color w:val="auto"/>
        </w:rPr>
      </w:pPr>
    </w:p>
    <w:p>
      <w:pPr>
        <w:ind w:left="700" w:right="160" w:firstLine="397"/>
        <w:spacing w:after="0" w:line="298"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or any free writing prospectus relating to this offering of Notes. Neither we nor the underwriters have authorized anyone to provide you with different information. We are not making an offer of the Notes in any jurisdiction where the offer is not permitted. You should not assume that the information contained in this prospectus, any free writing prospectus or in the documents incorporated by reference in this prospectus is accurate as of any date other than the date on the front of those documents.</w:t>
      </w:r>
    </w:p>
    <w:p>
      <w:pPr>
        <w:spacing w:after="0" w:line="60" w:lineRule="exact"/>
        <w:rPr>
          <w:sz w:val="20"/>
          <w:szCs w:val="20"/>
          <w:color w:val="auto"/>
        </w:rPr>
      </w:pPr>
    </w:p>
    <w:p>
      <w:pPr>
        <w:jc w:val="both"/>
        <w:ind w:left="700" w:right="120" w:firstLine="397"/>
        <w:spacing w:after="0" w:line="266"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p>
    <w:p>
      <w:pPr>
        <w:spacing w:after="0" w:line="36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All statements included or incorporated by reference in this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95" w:lineRule="exact"/>
        <w:rPr>
          <w:sz w:val="20"/>
          <w:szCs w:val="20"/>
          <w:color w:val="auto"/>
        </w:rPr>
      </w:pPr>
    </w:p>
    <w:p>
      <w:pPr>
        <w:ind w:left="1400" w:hanging="707"/>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1400" w:right="180" w:hanging="707"/>
        <w:spacing w:after="0" w:line="277"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1400" w:right="220" w:hanging="707"/>
        <w:spacing w:after="0" w:line="277"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abrupt or severe declines or interruptions in outer continental shelf production located offshore California and transported on our pipeline systems;</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1400" w:right="60" w:hanging="707"/>
        <w:spacing w:after="0" w:line="286" w:lineRule="auto"/>
        <w:tabs>
          <w:tab w:leader="none" w:pos="1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7" w:lineRule="exact"/>
        <w:rPr>
          <w:rFonts w:ascii="Arial" w:cs="Arial" w:eastAsia="Arial" w:hAnsi="Arial"/>
          <w:sz w:val="17"/>
          <w:szCs w:val="17"/>
          <w:color w:val="auto"/>
        </w:rPr>
      </w:pPr>
    </w:p>
    <w:p>
      <w:pPr>
        <w:ind w:left="1400" w:right="320" w:hanging="707"/>
        <w:spacing w:after="0" w:line="264"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73" w:lineRule="exact"/>
        <w:rPr>
          <w:rFonts w:ascii="Arial" w:cs="Arial" w:eastAsia="Arial" w:hAnsi="Arial"/>
          <w:sz w:val="18"/>
          <w:szCs w:val="18"/>
          <w:color w:val="auto"/>
        </w:rPr>
      </w:pPr>
    </w:p>
    <w:p>
      <w:pPr>
        <w:ind w:left="1400" w:right="120" w:hanging="707"/>
        <w:spacing w:after="0" w:line="277"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62" w:lineRule="exact"/>
        <w:rPr>
          <w:rFonts w:ascii="Arial" w:cs="Arial" w:eastAsia="Arial" w:hAnsi="Arial"/>
          <w:sz w:val="18"/>
          <w:szCs w:val="18"/>
          <w:color w:val="auto"/>
        </w:rPr>
      </w:pPr>
    </w:p>
    <w:p>
      <w:pPr>
        <w:ind w:left="1400" w:right="300" w:hanging="707"/>
        <w:spacing w:after="0" w:line="277"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17" w:lineRule="exact"/>
        <w:rPr>
          <w:rFonts w:ascii="Arial" w:cs="Arial" w:eastAsia="Arial" w:hAnsi="Arial"/>
          <w:sz w:val="18"/>
          <w:szCs w:val="18"/>
          <w:color w:val="auto"/>
        </w:rPr>
      </w:pPr>
    </w:p>
    <w:p>
      <w:pPr>
        <w:ind w:left="1400" w:right="480" w:hanging="707"/>
        <w:spacing w:after="0" w:line="277"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hanging="707"/>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third-party pipelines;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1400" w:right="80" w:hanging="707"/>
        <w:spacing w:after="0" w:line="277"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117" w:lineRule="exact"/>
        <w:rPr>
          <w:rFonts w:ascii="Arial" w:cs="Arial" w:eastAsia="Arial" w:hAnsi="Arial"/>
          <w:sz w:val="18"/>
          <w:szCs w:val="18"/>
          <w:color w:val="auto"/>
        </w:rPr>
      </w:pPr>
    </w:p>
    <w:p>
      <w:pPr>
        <w:ind w:left="1400" w:right="460" w:hanging="707"/>
        <w:spacing w:after="0" w:line="277"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62" w:lineRule="exact"/>
        <w:rPr>
          <w:rFonts w:ascii="Arial" w:cs="Arial" w:eastAsia="Arial" w:hAnsi="Arial"/>
          <w:sz w:val="18"/>
          <w:szCs w:val="18"/>
          <w:color w:val="auto"/>
        </w:rPr>
      </w:pPr>
    </w:p>
    <w:p>
      <w:pPr>
        <w:ind w:left="1400" w:right="120" w:hanging="707"/>
        <w:spacing w:after="0" w:line="277"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Other factors described herein or incorporated by reference, or factors that are unknown or unpredictable, could also have a material adverse effect on future results. Please read “Risk Factors” beginning on page S-9 of this prospectus supplement, beginning on page 6 of the accompanying prospectus and in Item 1A. “Risk Factors” in our Annual Report on Form 10-K for the year ended December 31, 2009 (File No. 001-14569), which are incorporated in this prospectus supplement by reference. Except as required by applicable securities laws, we do not intend to update these forward-looking statements and information.</w:t>
      </w:r>
    </w:p>
    <w:p>
      <w:pPr>
        <w:spacing w:after="0" w:line="3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435725" cy="7550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5725" cy="755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800" w:right="60" w:firstLine="397"/>
        <w:spacing w:after="0" w:line="272" w:lineRule="auto"/>
        <w:rPr>
          <w:sz w:val="20"/>
          <w:szCs w:val="20"/>
          <w:color w:val="auto"/>
        </w:rPr>
      </w:pPr>
      <w:r>
        <w:rPr>
          <w:rFonts w:ascii="Arial" w:cs="Arial" w:eastAsia="Arial" w:hAnsi="Arial"/>
          <w:sz w:val="17"/>
          <w:szCs w:val="17"/>
          <w:i w:val="1"/>
          <w:iCs w:val="1"/>
          <w:color w:val="auto"/>
        </w:rPr>
        <w:t>This summary highlights information contained elsewhere, or incorporated by reference, in this prospectus supplement and the accompanying prospectus. It does not contain all of the information that you should consider before making an investment decision. You should read this entire prospectus supplement, the accompanying prospectus and the documents incorporated herein by reference for a more complete understanding of this offering of Notes. Please read “Risk Factors” beginning on page S-9 of this prospectus supplement, on page 6 of the accompanying prospectus and in Item 1A. “Risk Factors” in our Annual Report on Form 10-K for the year ended December 31, 2009 (File No. 001-14569), which is incorporated into this prospectus supplement by reference, for information regarding risks you should consider before making a decision to purchase any Notes in this offering.</w:t>
      </w:r>
    </w:p>
    <w:p>
      <w:pPr>
        <w:spacing w:after="0" w:line="83" w:lineRule="exact"/>
        <w:rPr>
          <w:sz w:val="20"/>
          <w:szCs w:val="20"/>
          <w:color w:val="auto"/>
        </w:rPr>
      </w:pPr>
    </w:p>
    <w:p>
      <w:pPr>
        <w:jc w:val="both"/>
        <w:ind w:left="800" w:firstLine="397"/>
        <w:spacing w:after="0" w:line="286" w:lineRule="auto"/>
        <w:rPr>
          <w:sz w:val="20"/>
          <w:szCs w:val="20"/>
          <w:color w:val="auto"/>
        </w:rPr>
      </w:pPr>
      <w:r>
        <w:rPr>
          <w:rFonts w:ascii="Arial" w:cs="Arial" w:eastAsia="Arial" w:hAnsi="Arial"/>
          <w:sz w:val="17"/>
          <w:szCs w:val="17"/>
          <w:i w:val="1"/>
          <w:iCs w:val="1"/>
          <w:color w:val="auto"/>
        </w:rPr>
        <w:t>For purposes of this prospectus supplement and the accompanying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Plains All American Pipeline, L.P.</w:t>
      </w:r>
    </w:p>
    <w:p>
      <w:pPr>
        <w:spacing w:after="0" w:line="135" w:lineRule="exact"/>
        <w:rPr>
          <w:sz w:val="20"/>
          <w:szCs w:val="20"/>
          <w:color w:val="auto"/>
        </w:rPr>
      </w:pPr>
    </w:p>
    <w:p>
      <w:pPr>
        <w:ind w:left="800" w:right="60" w:firstLine="397"/>
        <w:spacing w:after="0" w:line="254" w:lineRule="auto"/>
        <w:rPr>
          <w:sz w:val="20"/>
          <w:szCs w:val="20"/>
          <w:color w:val="auto"/>
        </w:rPr>
      </w:pPr>
      <w:r>
        <w:rPr>
          <w:rFonts w:ascii="Arial" w:cs="Arial" w:eastAsia="Arial" w:hAnsi="Arial"/>
          <w:sz w:val="18"/>
          <w:szCs w:val="18"/>
          <w:color w:val="auto"/>
        </w:rPr>
        <w:t>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refer to liquefied petroleum gas and other natural gas-related petroleum products collectively as “LPG.” We are also engaged in the development and operation of natural gas storage facilities through our direct and indirect ownership of PAA Natural Gas Storage, L. P. (“PNG”). We own PNG’s general partner, PNGS GP LLC (“PNGS GP”), which holds a 2.0% general partner interest in PNG and all of its incentive distribution rights. We also own an approximate 74.8% limited partner interest in PNG. See “Recent developments” for a discussion of PNG’s recently completed initial public offering (the “IPO”).</w:t>
      </w:r>
    </w:p>
    <w:p>
      <w:pPr>
        <w:spacing w:after="0" w:line="98" w:lineRule="exact"/>
        <w:rPr>
          <w:sz w:val="20"/>
          <w:szCs w:val="20"/>
          <w:color w:val="auto"/>
        </w:rPr>
      </w:pPr>
    </w:p>
    <w:p>
      <w:pPr>
        <w:ind w:left="800" w:right="260" w:firstLine="397"/>
        <w:spacing w:after="0" w:line="259" w:lineRule="auto"/>
        <w:rPr>
          <w:sz w:val="20"/>
          <w:szCs w:val="20"/>
          <w:color w:val="auto"/>
        </w:rPr>
      </w:pPr>
      <w:r>
        <w:rPr>
          <w:rFonts w:ascii="Arial" w:cs="Arial" w:eastAsia="Arial" w:hAnsi="Arial"/>
          <w:sz w:val="18"/>
          <w:szCs w:val="18"/>
          <w:color w:val="auto"/>
        </w:rPr>
        <w:t>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(i) transportation, (ii) facilities and (iii) supply and logistics.</w:t>
      </w:r>
    </w:p>
    <w:p>
      <w:pPr>
        <w:spacing w:after="0" w:line="92" w:lineRule="exact"/>
        <w:rPr>
          <w:sz w:val="20"/>
          <w:szCs w:val="20"/>
          <w:color w:val="auto"/>
        </w:rPr>
      </w:pPr>
    </w:p>
    <w:p>
      <w:pPr>
        <w:ind w:left="800" w:firstLine="397"/>
        <w:spacing w:after="0" w:line="302" w:lineRule="auto"/>
        <w:rPr>
          <w:sz w:val="20"/>
          <w:szCs w:val="20"/>
          <w:color w:val="auto"/>
        </w:rPr>
      </w:pPr>
      <w:r>
        <w:rPr>
          <w:rFonts w:ascii="Arial" w:cs="Arial" w:eastAsia="Arial" w:hAnsi="Arial"/>
          <w:sz w:val="16"/>
          <w:szCs w:val="16"/>
          <w:i w:val="1"/>
          <w:iCs w:val="1"/>
          <w:color w:val="auto"/>
        </w:rPr>
        <w:t xml:space="preserve">Transportation segment. </w:t>
      </w:r>
      <w:r>
        <w:rPr>
          <w:rFonts w:ascii="Arial" w:cs="Arial" w:eastAsia="Arial" w:hAnsi="Arial"/>
          <w:sz w:val="16"/>
          <w:szCs w:val="16"/>
          <w:color w:val="auto"/>
        </w:rPr>
        <w:t>Our transportation segment operations generally consist of fee-based activities associated with transporting</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and refined products on pipelines, gathering systems, trucks and barges. We generate revenue through a combination of tariffs, third-party leases of pipeline capacity and transportation fees. As of December 31, 2009, we employed a variety of owned or leased long-term physical assets throughout the United States and Canada in this segment, including approximately:</w:t>
      </w:r>
    </w:p>
    <w:p>
      <w:pPr>
        <w:spacing w:after="0" w:line="60" w:lineRule="exact"/>
        <w:rPr>
          <w:sz w:val="20"/>
          <w:szCs w:val="20"/>
          <w:color w:val="auto"/>
        </w:rPr>
      </w:pPr>
    </w:p>
    <w:p>
      <w:pPr>
        <w:ind w:left="1500" w:hanging="704"/>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16,000 miles of active crude oil and refined products pipelines and gathering systems;</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 million barrels of active, above-ground tank capacity used primarily to facilitate pipeline throughput;</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84 trucks and 353 trailers; and</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68 transport and storage barges and 39 transport tugs through our interest in Settoon Towing, LLC (“Settoon Towing”).</w:t>
      </w:r>
    </w:p>
    <w:p>
      <w:pPr>
        <w:spacing w:after="0" w:line="142" w:lineRule="exact"/>
        <w:rPr>
          <w:sz w:val="20"/>
          <w:szCs w:val="20"/>
          <w:color w:val="auto"/>
        </w:rPr>
      </w:pPr>
    </w:p>
    <w:p>
      <w:pPr>
        <w:ind w:left="800" w:right="80" w:firstLine="397"/>
        <w:spacing w:after="0" w:line="277" w:lineRule="auto"/>
        <w:rPr>
          <w:sz w:val="20"/>
          <w:szCs w:val="20"/>
          <w:color w:val="auto"/>
        </w:rPr>
      </w:pPr>
      <w:r>
        <w:rPr>
          <w:rFonts w:ascii="Arial" w:cs="Arial" w:eastAsia="Arial" w:hAnsi="Arial"/>
          <w:sz w:val="18"/>
          <w:szCs w:val="18"/>
          <w:color w:val="auto"/>
        </w:rPr>
        <w:t>We also include in this segment our equity earnings from our investments in Butte Pipe Line Company, Frontier Pipeline Company and Settoon Towing, in which we own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435725" cy="7550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5725" cy="7550785"/>
                    </a:xfrm>
                    <a:prstGeom prst="rect">
                      <a:avLst/>
                    </a:prstGeom>
                    <a:noFill/>
                  </pic:spPr>
                </pic:pic>
              </a:graphicData>
            </a:graphic>
          </wp:anchor>
        </w:drawing>
      </w:r>
    </w:p>
    <w:p>
      <w:pPr>
        <w:spacing w:after="0" w:line="398" w:lineRule="exact"/>
        <w:rPr>
          <w:sz w:val="20"/>
          <w:szCs w:val="20"/>
          <w:color w:val="auto"/>
        </w:rPr>
      </w:pPr>
    </w:p>
    <w:p>
      <w:pPr>
        <w:ind w:left="800" w:right="40" w:firstLine="397"/>
        <w:spacing w:after="0" w:line="284" w:lineRule="auto"/>
        <w:rPr>
          <w:sz w:val="20"/>
          <w:szCs w:val="20"/>
          <w:color w:val="auto"/>
        </w:rPr>
      </w:pPr>
      <w:r>
        <w:rPr>
          <w:rFonts w:ascii="Arial" w:cs="Arial" w:eastAsia="Arial" w:hAnsi="Arial"/>
          <w:sz w:val="16"/>
          <w:szCs w:val="16"/>
          <w:i w:val="1"/>
          <w:iCs w:val="1"/>
          <w:color w:val="auto"/>
        </w:rPr>
        <w:t xml:space="preserve">Facilities segment. </w:t>
      </w:r>
      <w:r>
        <w:rPr>
          <w:rFonts w:ascii="Arial" w:cs="Arial" w:eastAsia="Arial" w:hAnsi="Arial"/>
          <w:sz w:val="16"/>
          <w:szCs w:val="16"/>
          <w:color w:val="auto"/>
        </w:rPr>
        <w:t>Our facilities segment operations generally consist of fee-based activities associated with providing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terminalling and throughput services for crude oil, refined products, LPG and natural gas, as well as LPG fractionation and isomerization services. We generate revenue through a combination of month-to-month and multi-year leases and processing arrangements. Revenues generated in this segment include (i) storage fees that are generated when we lease storage capacity, (ii) terminalling fees, or throughput fees, that are generated when we receive crude oil, refined products, LPG or natural gas from one connecting pipeline and redeliver the applicable product to another connecting carrier, (iii) hub service fees for the movement of natural gas across our header systems and</w:t>
      </w:r>
    </w:p>
    <w:p>
      <w:pPr>
        <w:spacing w:after="0" w:line="5" w:lineRule="exact"/>
        <w:rPr>
          <w:sz w:val="20"/>
          <w:szCs w:val="20"/>
          <w:color w:val="auto"/>
        </w:rPr>
      </w:pPr>
    </w:p>
    <w:p>
      <w:pPr>
        <w:ind w:left="800" w:right="220" w:hanging="4"/>
        <w:spacing w:after="0" w:line="261" w:lineRule="auto"/>
        <w:tabs>
          <w:tab w:leader="none" w:pos="1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from LPG fractionation and isomerization services. As of December 31, 2009, we owned, operated and employed a variety of long-term physical assets throughout the United States and Canada in this segment, including:</w:t>
      </w:r>
    </w:p>
    <w:p>
      <w:pPr>
        <w:spacing w:after="0" w:line="89" w:lineRule="exact"/>
        <w:rPr>
          <w:sz w:val="20"/>
          <w:szCs w:val="20"/>
          <w:color w:val="auto"/>
        </w:rPr>
      </w:pPr>
    </w:p>
    <w:p>
      <w:pPr>
        <w:ind w:left="1500" w:hanging="704"/>
        <w:spacing w:after="0"/>
        <w:tabs>
          <w:tab w:leader="none" w:pos="1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approximately 51 million barrels of crude oil and refined products capacity primarily at our terminalling and storage locations;</w:t>
      </w:r>
    </w:p>
    <w:p>
      <w:pPr>
        <w:spacing w:after="0" w:line="140" w:lineRule="exact"/>
        <w:rPr>
          <w:rFonts w:ascii="Arial" w:cs="Arial" w:eastAsia="Arial" w:hAnsi="Arial"/>
          <w:sz w:val="16"/>
          <w:szCs w:val="16"/>
          <w:color w:val="auto"/>
        </w:rPr>
      </w:pPr>
    </w:p>
    <w:p>
      <w:pPr>
        <w:ind w:left="1500" w:hanging="704"/>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6 million barrels of LPG storage capacity;</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40 billion cubic feet (“Bcf”) of natural gas storage capacity;</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9 Bcf of base gas in storage facilities owned by us; and</w:t>
      </w:r>
    </w:p>
    <w:p>
      <w:pPr>
        <w:spacing w:after="0" w:line="117" w:lineRule="exact"/>
        <w:rPr>
          <w:rFonts w:ascii="Arial" w:cs="Arial" w:eastAsia="Arial" w:hAnsi="Arial"/>
          <w:sz w:val="18"/>
          <w:szCs w:val="18"/>
          <w:color w:val="auto"/>
        </w:rPr>
      </w:pPr>
    </w:p>
    <w:p>
      <w:pPr>
        <w:ind w:left="1500" w:right="540" w:hanging="704"/>
        <w:spacing w:after="0" w:line="277" w:lineRule="auto"/>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fractionation plant in Canada with a processing capacity of 4,400 barrels per day, and a fractionation and isomerization facility in California with an aggregate processing capacity of 22,500 barrels per day.</w:t>
      </w:r>
    </w:p>
    <w:p>
      <w:pPr>
        <w:spacing w:after="0" w:line="76" w:lineRule="exact"/>
        <w:rPr>
          <w:sz w:val="20"/>
          <w:szCs w:val="20"/>
          <w:color w:val="auto"/>
        </w:rPr>
      </w:pPr>
    </w:p>
    <w:p>
      <w:pPr>
        <w:ind w:left="800" w:right="60" w:firstLine="397"/>
        <w:spacing w:after="0" w:line="277" w:lineRule="auto"/>
        <w:rPr>
          <w:sz w:val="20"/>
          <w:szCs w:val="20"/>
          <w:color w:val="auto"/>
        </w:rPr>
      </w:pPr>
      <w:r>
        <w:rPr>
          <w:rFonts w:ascii="Arial" w:cs="Arial" w:eastAsia="Arial" w:hAnsi="Arial"/>
          <w:sz w:val="18"/>
          <w:szCs w:val="18"/>
          <w:color w:val="auto"/>
        </w:rPr>
        <w:t>Our facilities segment includes our investment in PNG. PNG currently owns and operates natural gas storage capacity, as described above, at its Bluewater facility in Michigan and Pine Prairie facility in South Louisiana.</w:t>
      </w:r>
    </w:p>
    <w:p>
      <w:pPr>
        <w:spacing w:after="0" w:line="76"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 xml:space="preserve">Supply and logistics segment. </w:t>
      </w:r>
      <w:r>
        <w:rPr>
          <w:rFonts w:ascii="Arial" w:cs="Arial" w:eastAsia="Arial" w:hAnsi="Arial"/>
          <w:sz w:val="16"/>
          <w:szCs w:val="16"/>
          <w:color w:val="auto"/>
        </w:rPr>
        <w:t>Our supply and logistics segment operations generally consist of the following merchant activities:</w:t>
      </w:r>
    </w:p>
    <w:p>
      <w:pPr>
        <w:spacing w:after="0" w:line="154" w:lineRule="exact"/>
        <w:rPr>
          <w:sz w:val="20"/>
          <w:szCs w:val="20"/>
          <w:color w:val="auto"/>
        </w:rPr>
      </w:pPr>
    </w:p>
    <w:p>
      <w:pPr>
        <w:ind w:left="1500" w:right="660" w:hanging="704"/>
        <w:spacing w:after="0" w:line="342" w:lineRule="auto"/>
        <w:tabs>
          <w:tab w:leader="none" w:pos="1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purchase of U.S. and Canadian crude oil at the wellhead and the bulk purchase of crude oil at pipeline and terminal facilities, as well as the purchase of foreign cargoes at their load port and various other locations in transit;</w:t>
      </w:r>
    </w:p>
    <w:p>
      <w:pPr>
        <w:spacing w:after="0" w:line="15" w:lineRule="exact"/>
        <w:rPr>
          <w:rFonts w:ascii="Arial" w:cs="Arial" w:eastAsia="Arial" w:hAnsi="Arial"/>
          <w:sz w:val="16"/>
          <w:szCs w:val="16"/>
          <w:color w:val="auto"/>
        </w:rPr>
      </w:pPr>
    </w:p>
    <w:p>
      <w:pPr>
        <w:ind w:left="1500" w:hanging="704"/>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LPG;</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of refined products and LPG from producers, refiners and other marketers;</w:t>
      </w:r>
    </w:p>
    <w:p>
      <w:pPr>
        <w:spacing w:after="0" w:line="117" w:lineRule="exact"/>
        <w:rPr>
          <w:rFonts w:ascii="Arial" w:cs="Arial" w:eastAsia="Arial" w:hAnsi="Arial"/>
          <w:sz w:val="18"/>
          <w:szCs w:val="18"/>
          <w:color w:val="auto"/>
        </w:rPr>
      </w:pPr>
    </w:p>
    <w:p>
      <w:pPr>
        <w:ind w:left="1500" w:right="140" w:hanging="704"/>
        <w:spacing w:after="0" w:line="277" w:lineRule="auto"/>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resale or exchange of crude oil, refined products and LPG at various points along the distribution chain to refiners or other resellers to maximize profits; and</w:t>
      </w:r>
    </w:p>
    <w:p>
      <w:pPr>
        <w:spacing w:after="0" w:line="62" w:lineRule="exact"/>
        <w:rPr>
          <w:rFonts w:ascii="Arial" w:cs="Arial" w:eastAsia="Arial" w:hAnsi="Arial"/>
          <w:sz w:val="18"/>
          <w:szCs w:val="18"/>
          <w:color w:val="auto"/>
        </w:rPr>
      </w:pPr>
    </w:p>
    <w:p>
      <w:pPr>
        <w:ind w:left="1500" w:right="240" w:hanging="704"/>
        <w:spacing w:after="0" w:line="277" w:lineRule="auto"/>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transportation of crude oil, refined products and LPG on trucks, barges, railcars, pipelines and ocean-going vessels to our terminals and third-party terminals.</w:t>
      </w:r>
    </w:p>
    <w:p>
      <w:pPr>
        <w:spacing w:after="0" w:line="76" w:lineRule="exact"/>
        <w:rPr>
          <w:sz w:val="20"/>
          <w:szCs w:val="20"/>
          <w:color w:val="auto"/>
        </w:rPr>
      </w:pPr>
    </w:p>
    <w:p>
      <w:pPr>
        <w:ind w:left="800" w:firstLine="397"/>
        <w:spacing w:after="0" w:line="293" w:lineRule="auto"/>
        <w:rPr>
          <w:sz w:val="20"/>
          <w:szCs w:val="20"/>
          <w:color w:val="auto"/>
        </w:rPr>
      </w:pPr>
      <w:r>
        <w:rPr>
          <w:rFonts w:ascii="Arial" w:cs="Arial" w:eastAsia="Arial" w:hAnsi="Arial"/>
          <w:sz w:val="16"/>
          <w:szCs w:val="16"/>
          <w:color w:val="auto"/>
        </w:rPr>
        <w:t>We believe that the majority of activities that are carried out within our supply and logistics segment are counter-cyclically balanced to produce a stable baseline of results in a variety of market conditions, while at the same time providing upside potential associated with opportunities inherent in volatile market conditions. These activities utilize storage facilities at major interchange and terminalling locations and various hedging strategies to provide a counter-cyclical balance. The tankage that is used to support our arbitrage activities positions us to capture margins in a contango market (when the oil prices for future deliveries are higher than the current prices) or when the market switches from contango to backwardation (when the oil prices for future deliveries are lower than the current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435725" cy="7550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5725" cy="7550785"/>
                    </a:xfrm>
                    <a:prstGeom prst="rect">
                      <a:avLst/>
                    </a:prstGeom>
                    <a:noFill/>
                  </pic:spPr>
                </pic:pic>
              </a:graphicData>
            </a:graphic>
          </wp:anchor>
        </w:drawing>
      </w:r>
    </w:p>
    <w:p>
      <w:pPr>
        <w:spacing w:after="0" w:line="398" w:lineRule="exact"/>
        <w:rPr>
          <w:sz w:val="20"/>
          <w:szCs w:val="20"/>
          <w:color w:val="auto"/>
        </w:rPr>
      </w:pPr>
    </w:p>
    <w:p>
      <w:pPr>
        <w:ind w:left="800" w:right="120" w:firstLine="397"/>
        <w:spacing w:after="0" w:line="259" w:lineRule="auto"/>
        <w:rPr>
          <w:sz w:val="20"/>
          <w:szCs w:val="20"/>
          <w:color w:val="auto"/>
        </w:rPr>
      </w:pPr>
      <w:r>
        <w:rPr>
          <w:rFonts w:ascii="Arial" w:cs="Arial" w:eastAsia="Arial" w:hAnsi="Arial"/>
          <w:sz w:val="18"/>
          <w:szCs w:val="18"/>
          <w:color w:val="auto"/>
        </w:rPr>
        <w:t>Except for pre-defined inventory positions, our policy is generally (i) to purchase only product for which we have a market, (ii) to structure our sales contracts so that price fluctuations do not materially affect the segment profit we receive and (iii) not to acquire and hold physical inventory, futures contracts or other derivative products for the purpose of speculating on outright commodity price changes.</w:t>
      </w:r>
    </w:p>
    <w:p>
      <w:pPr>
        <w:spacing w:after="0" w:line="92" w:lineRule="exact"/>
        <w:rPr>
          <w:sz w:val="20"/>
          <w:szCs w:val="20"/>
          <w:color w:val="auto"/>
        </w:rPr>
      </w:pPr>
    </w:p>
    <w:p>
      <w:pPr>
        <w:ind w:left="800" w:right="120" w:firstLine="397"/>
        <w:spacing w:after="0" w:line="302" w:lineRule="auto"/>
        <w:rPr>
          <w:sz w:val="20"/>
          <w:szCs w:val="20"/>
          <w:color w:val="auto"/>
        </w:rPr>
      </w:pPr>
      <w:r>
        <w:rPr>
          <w:rFonts w:ascii="Arial" w:cs="Arial" w:eastAsia="Arial" w:hAnsi="Arial"/>
          <w:sz w:val="16"/>
          <w:szCs w:val="16"/>
          <w:color w:val="auto"/>
        </w:rPr>
        <w:t>In addition to substantial working inventories associated with its merchant activities, as of December 31, 2009, our supply and logistics segment also owned significant volumes of crude oil and LPG classified as long-term assets for linefill or minimum inventory requirements under service arrangements with transportation carriers and terminalling providers. The supply and logistics segment also employs a variety of owned or leased physical assets throughout the United States and Canada, including approximately:</w:t>
      </w:r>
    </w:p>
    <w:p>
      <w:pPr>
        <w:spacing w:after="0" w:line="60" w:lineRule="exact"/>
        <w:rPr>
          <w:sz w:val="20"/>
          <w:szCs w:val="20"/>
          <w:color w:val="auto"/>
        </w:rPr>
      </w:pPr>
    </w:p>
    <w:p>
      <w:pPr>
        <w:ind w:left="1500" w:hanging="704"/>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million barrels of crude oil and LPG linefill in pipelines owned by us;</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 million barrels of crude oil and LPG linefill in pipelines owned by third parties and other long-term inventory;</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522 trucks and 630 trailers; and</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1,473 railcars.</w:t>
      </w:r>
    </w:p>
    <w:p>
      <w:pPr>
        <w:spacing w:after="0" w:line="131" w:lineRule="exact"/>
        <w:rPr>
          <w:sz w:val="20"/>
          <w:szCs w:val="20"/>
          <w:color w:val="auto"/>
        </w:rPr>
      </w:pPr>
    </w:p>
    <w:p>
      <w:pPr>
        <w:ind w:left="800" w:right="60" w:firstLine="397"/>
        <w:spacing w:after="0" w:line="297" w:lineRule="auto"/>
        <w:rPr>
          <w:sz w:val="20"/>
          <w:szCs w:val="20"/>
          <w:color w:val="auto"/>
        </w:rPr>
      </w:pPr>
      <w:r>
        <w:rPr>
          <w:rFonts w:ascii="Arial" w:cs="Arial" w:eastAsia="Arial" w:hAnsi="Arial"/>
          <w:sz w:val="16"/>
          <w:szCs w:val="16"/>
          <w:color w:val="auto"/>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w:t>
      </w:r>
    </w:p>
    <w:p>
      <w:pPr>
        <w:spacing w:after="0" w:line="64" w:lineRule="exact"/>
        <w:rPr>
          <w:sz w:val="20"/>
          <w:szCs w:val="20"/>
          <w:color w:val="auto"/>
        </w:rPr>
      </w:pPr>
    </w:p>
    <w:p>
      <w:pPr>
        <w:ind w:left="800" w:right="240" w:firstLine="397"/>
        <w:spacing w:after="0" w:line="308" w:lineRule="auto"/>
        <w:rPr>
          <w:sz w:val="20"/>
          <w:szCs w:val="20"/>
          <w:color w:val="auto"/>
        </w:rPr>
      </w:pPr>
      <w:r>
        <w:rPr>
          <w:rFonts w:ascii="Arial" w:cs="Arial" w:eastAsia="Arial" w:hAnsi="Arial"/>
          <w:sz w:val="17"/>
          <w:szCs w:val="17"/>
          <w:color w:val="auto"/>
        </w:rPr>
        <w:t>Certain activities in our supply and logistics segment are affected by seasonal aspects, primarily with respect to LPG supply and logistics activities, which generally have higher activity levels during the first and fourth quarters of each year.</w:t>
      </w:r>
    </w:p>
    <w:p>
      <w:pPr>
        <w:spacing w:after="0" w:line="4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Business strategy</w:t>
      </w:r>
    </w:p>
    <w:p>
      <w:pPr>
        <w:spacing w:after="0" w:line="135" w:lineRule="exact"/>
        <w:rPr>
          <w:sz w:val="20"/>
          <w:szCs w:val="20"/>
          <w:color w:val="auto"/>
        </w:rPr>
      </w:pPr>
    </w:p>
    <w:p>
      <w:pPr>
        <w:ind w:left="800" w:right="20" w:firstLine="397"/>
        <w:spacing w:after="0" w:line="302" w:lineRule="auto"/>
        <w:rPr>
          <w:sz w:val="20"/>
          <w:szCs w:val="20"/>
          <w:color w:val="auto"/>
        </w:rPr>
      </w:pPr>
      <w:r>
        <w:rPr>
          <w:rFonts w:ascii="Arial" w:cs="Arial" w:eastAsia="Arial" w:hAnsi="Arial"/>
          <w:sz w:val="16"/>
          <w:szCs w:val="16"/>
          <w:color w:val="auto"/>
        </w:rPr>
        <w:t>Our principal business strategy is to provide competitive and efficient midstream transportation, terminalling, storage and supply and logistics services to our producer, refiner and other customers. Toward this end, we endeavor to address regional supply and demand imbalances for crude oil, refined products, LPG and natural gas in the United States and Canada by combining the strategic location and capabilities of our transportation, terminalling and storage assets with our extensive supply, logistics and distribution expertise.</w:t>
      </w:r>
    </w:p>
    <w:p>
      <w:pPr>
        <w:spacing w:after="0" w:line="60" w:lineRule="exact"/>
        <w:rPr>
          <w:sz w:val="20"/>
          <w:szCs w:val="20"/>
          <w:color w:val="auto"/>
        </w:rPr>
      </w:pPr>
    </w:p>
    <w:p>
      <w:pPr>
        <w:ind w:left="800" w:right="180" w:firstLine="397"/>
        <w:spacing w:after="0" w:line="277" w:lineRule="auto"/>
        <w:rPr>
          <w:sz w:val="20"/>
          <w:szCs w:val="20"/>
          <w:color w:val="auto"/>
        </w:rPr>
      </w:pPr>
      <w:r>
        <w:rPr>
          <w:rFonts w:ascii="Arial" w:cs="Arial" w:eastAsia="Arial" w:hAnsi="Arial"/>
          <w:sz w:val="18"/>
          <w:szCs w:val="18"/>
          <w:color w:val="auto"/>
        </w:rPr>
        <w:t>We believe successful execution of this strategy will enable us to generate sustainable earnings and cash flow. We intend to grow our business by:</w:t>
      </w:r>
    </w:p>
    <w:p>
      <w:pPr>
        <w:spacing w:after="0" w:line="76" w:lineRule="exact"/>
        <w:rPr>
          <w:sz w:val="20"/>
          <w:szCs w:val="20"/>
          <w:color w:val="auto"/>
        </w:rPr>
      </w:pPr>
    </w:p>
    <w:p>
      <w:pPr>
        <w:ind w:left="1500" w:hanging="704"/>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optimizing our existing assets and realizing cost efficiencies through operational improvements;</w:t>
      </w:r>
    </w:p>
    <w:p>
      <w:pPr>
        <w:spacing w:after="0" w:line="117" w:lineRule="exact"/>
        <w:rPr>
          <w:rFonts w:ascii="Arial" w:cs="Arial" w:eastAsia="Arial" w:hAnsi="Arial"/>
          <w:sz w:val="18"/>
          <w:szCs w:val="18"/>
          <w:color w:val="auto"/>
        </w:rPr>
      </w:pPr>
    </w:p>
    <w:p>
      <w:pPr>
        <w:ind w:left="1500" w:hanging="704"/>
        <w:spacing w:after="0" w:line="264"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and implementing internal growth projects that (i) address evolving crude oil, refined products and LPG needs in the midstream transportation and infrastructure sector and (ii) are well-positioned to benefit from long-term industry trends and opportunities;</w:t>
      </w:r>
    </w:p>
    <w:p>
      <w:pPr>
        <w:spacing w:after="0" w:line="73" w:lineRule="exact"/>
        <w:rPr>
          <w:rFonts w:ascii="Arial" w:cs="Arial" w:eastAsia="Arial" w:hAnsi="Arial"/>
          <w:sz w:val="18"/>
          <w:szCs w:val="18"/>
          <w:color w:val="auto"/>
        </w:rPr>
      </w:pPr>
    </w:p>
    <w:p>
      <w:pPr>
        <w:ind w:left="1500" w:right="120" w:hanging="704"/>
        <w:spacing w:after="0" w:line="277"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utilizing our assets along the Gulf, West and East Coasts, along with our terminals and leased assets, to optimize our presence in the waterborne importation of foreign crude 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419" w:right="9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435725" cy="7550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5725" cy="755078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500" w:right="240" w:hanging="704"/>
        <w:spacing w:after="0" w:line="264"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w:t>
      </w:r>
    </w:p>
    <w:p>
      <w:pPr>
        <w:spacing w:after="0" w:line="73" w:lineRule="exact"/>
        <w:rPr>
          <w:rFonts w:ascii="Arial" w:cs="Arial" w:eastAsia="Arial" w:hAnsi="Arial"/>
          <w:sz w:val="18"/>
          <w:szCs w:val="18"/>
          <w:color w:val="auto"/>
        </w:rPr>
      </w:pPr>
    </w:p>
    <w:p>
      <w:pPr>
        <w:ind w:left="1500" w:right="320" w:hanging="704"/>
        <w:spacing w:after="0" w:line="342" w:lineRule="auto"/>
        <w:tabs>
          <w:tab w:leader="none" w:pos="1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selectively pursuing strategic and accretive acquisitions of crude oil, refined products and LPG transportation, terminalling, storage and marketing assets and businesses that complement our existing asset base and distribution capabilities; and</w:t>
      </w:r>
    </w:p>
    <w:p>
      <w:pPr>
        <w:spacing w:after="0" w:line="15" w:lineRule="exact"/>
        <w:rPr>
          <w:rFonts w:ascii="Arial" w:cs="Arial" w:eastAsia="Arial" w:hAnsi="Arial"/>
          <w:sz w:val="16"/>
          <w:szCs w:val="16"/>
          <w:color w:val="auto"/>
        </w:rPr>
      </w:pPr>
    </w:p>
    <w:p>
      <w:pPr>
        <w:ind w:left="1500" w:hanging="704"/>
        <w:spacing w:after="0" w:line="277"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using our terminalling and storage assets in conjunction with our supply and logistic activities to capitalize on inefficient energy markets and to address physical market imbalances, mitigate inherent risks and increase margin.</w:t>
      </w:r>
    </w:p>
    <w:p>
      <w:pPr>
        <w:spacing w:after="0" w:line="76" w:lineRule="exact"/>
        <w:rPr>
          <w:sz w:val="20"/>
          <w:szCs w:val="20"/>
          <w:color w:val="auto"/>
        </w:rPr>
      </w:pPr>
    </w:p>
    <w:p>
      <w:pPr>
        <w:ind w:left="800" w:firstLine="397"/>
        <w:spacing w:after="0" w:line="255" w:lineRule="auto"/>
        <w:rPr>
          <w:sz w:val="20"/>
          <w:szCs w:val="20"/>
          <w:color w:val="auto"/>
        </w:rPr>
      </w:pPr>
      <w:r>
        <w:rPr>
          <w:rFonts w:ascii="Arial" w:cs="Arial" w:eastAsia="Arial" w:hAnsi="Arial"/>
          <w:sz w:val="18"/>
          <w:szCs w:val="18"/>
          <w:color w:val="auto"/>
        </w:rPr>
        <w:t>We believe PNG’s natural gas storage assets are also well-positioned to benefit from long-term industry trends and opportunities. See “Recent developments.” PNG’s growth strategies are to develop and implement internal growth projects and to selectively pursue strategic and accretive natural gas storage projects and facilities. Through the execution of such growth strategies, we intend to expand the scale and scope of our natural gas storage business. We may also prudently and economically leverage our asset base, knowledge base and skill sets to participate in other energy-related businesses that have characteristics and opportunities similar to, or that otherwise complement, our existing activities.</w:t>
      </w:r>
    </w:p>
    <w:p>
      <w:pPr>
        <w:spacing w:after="0" w:line="9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Ongoing acquisition activities</w:t>
      </w:r>
    </w:p>
    <w:p>
      <w:pPr>
        <w:spacing w:after="0" w:line="135" w:lineRule="exact"/>
        <w:rPr>
          <w:sz w:val="20"/>
          <w:szCs w:val="20"/>
          <w:color w:val="auto"/>
        </w:rPr>
      </w:pPr>
    </w:p>
    <w:p>
      <w:pPr>
        <w:ind w:left="800" w:firstLine="397"/>
        <w:spacing w:after="0" w:line="255" w:lineRule="auto"/>
        <w:rPr>
          <w:sz w:val="20"/>
          <w:szCs w:val="20"/>
          <w:color w:val="auto"/>
        </w:rPr>
      </w:pPr>
      <w:r>
        <w:rPr>
          <w:rFonts w:ascii="Arial" w:cs="Arial" w:eastAsia="Arial" w:hAnsi="Arial"/>
          <w:sz w:val="18"/>
          <w:szCs w:val="18"/>
          <w:color w:val="auto"/>
        </w:rPr>
        <w:t>Consistent with our business strategy, we are continuously engaged in discussions with potential sellers regarding the possible purchase of assets and operations that we believe are strategic and complementary to our existing operations. Targeted assets and operations might include crude oil, refined products, LPG or natural gas storage related assets. Such acquisition efforts involve our participation in processes that have been made public, involve a number of potential buyers and are commonly referred to as “auction” processes, as well as situations where we believe we are the only party or one of a very limited number of potential buyers in negotiations with the potential seller. These acquisition efforts often involve assets which, if acquired, would have a material effect on our financial condition and results of operations.</w:t>
      </w:r>
    </w:p>
    <w:p>
      <w:pPr>
        <w:spacing w:after="0" w:line="95" w:lineRule="exact"/>
        <w:rPr>
          <w:sz w:val="20"/>
          <w:szCs w:val="20"/>
          <w:color w:val="auto"/>
        </w:rPr>
      </w:pPr>
    </w:p>
    <w:p>
      <w:pPr>
        <w:ind w:left="800" w:right="200" w:firstLine="397"/>
        <w:spacing w:after="0" w:line="273" w:lineRule="auto"/>
        <w:rPr>
          <w:sz w:val="20"/>
          <w:szCs w:val="20"/>
          <w:color w:val="auto"/>
        </w:rPr>
      </w:pPr>
      <w:r>
        <w:rPr>
          <w:rFonts w:ascii="Arial" w:cs="Arial" w:eastAsia="Arial" w:hAnsi="Arial"/>
          <w:sz w:val="17"/>
          <w:szCs w:val="17"/>
          <w:color w:val="auto"/>
        </w:rPr>
        <w:t>We are currently involved in a number of discussions and auction processes and, in certain cases, are engaged in advanced negotiations and/or have entered into agreements with several potential sellers regarding the purchase of certain assets that have a potential aggregate purchase price of approximately $500 million. Past experience has demonstrated that any of these discussions and negotiations could advance or terminate in a short period of time.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Financial strategy</w:t>
      </w:r>
    </w:p>
    <w:p>
      <w:pPr>
        <w:spacing w:after="0" w:line="135" w:lineRule="exact"/>
        <w:rPr>
          <w:sz w:val="20"/>
          <w:szCs w:val="20"/>
          <w:color w:val="auto"/>
        </w:rPr>
      </w:pPr>
    </w:p>
    <w:p>
      <w:pPr>
        <w:ind w:left="800" w:right="340" w:firstLine="397"/>
        <w:spacing w:after="0" w:line="264" w:lineRule="auto"/>
        <w:rPr>
          <w:sz w:val="20"/>
          <w:szCs w:val="20"/>
          <w:color w:val="auto"/>
        </w:rPr>
      </w:pPr>
      <w:r>
        <w:rPr>
          <w:rFonts w:ascii="Arial" w:cs="Arial" w:eastAsia="Arial" w:hAnsi="Arial"/>
          <w:sz w:val="18"/>
          <w:szCs w:val="18"/>
          <w:i w:val="1"/>
          <w:iCs w:val="1"/>
          <w:color w:val="auto"/>
        </w:rPr>
        <w:t xml:space="preserve">Targeted credit profile. </w:t>
      </w:r>
      <w:r>
        <w:rPr>
          <w:rFonts w:ascii="Arial" w:cs="Arial" w:eastAsia="Arial" w:hAnsi="Arial"/>
          <w:sz w:val="18"/>
          <w:szCs w:val="18"/>
          <w:color w:val="auto"/>
        </w:rPr>
        <w:t>We believe that a major factor in our continued success is our ability to maintain a competitive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and access to the capital markets. We intend to maintain a credit profile that we believe is consistent with an investment grade credit rating. We have targeted a general credit profile with the following attributes:</w:t>
      </w:r>
    </w:p>
    <w:p>
      <w:pPr>
        <w:spacing w:after="0" w:line="87" w:lineRule="exact"/>
        <w:rPr>
          <w:sz w:val="20"/>
          <w:szCs w:val="20"/>
          <w:color w:val="auto"/>
        </w:rPr>
      </w:pPr>
    </w:p>
    <w:p>
      <w:pPr>
        <w:ind w:left="1500" w:hanging="704"/>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w:t>
      </w:r>
    </w:p>
    <w:p>
      <w:pPr>
        <w:spacing w:after="0" w:line="117" w:lineRule="exact"/>
        <w:rPr>
          <w:rFonts w:ascii="Arial" w:cs="Arial" w:eastAsia="Arial" w:hAnsi="Arial"/>
          <w:sz w:val="18"/>
          <w:szCs w:val="18"/>
          <w:color w:val="auto"/>
        </w:rPr>
      </w:pPr>
    </w:p>
    <w:p>
      <w:pPr>
        <w:ind w:left="1500" w:right="40" w:hanging="704"/>
        <w:spacing w:after="0" w:line="264"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long-term debt-to-adjusted EBITDA multiple of approximately 3.5x (adjusted EBITDA is earnings before interest, taxes, depreciation and amortization, equity compensation plan charges, gains and losses from derivative activities and selected items that are generally unusual or non-recurring);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435725" cy="7550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35725" cy="755078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500" w:hanging="704"/>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and</w:t>
      </w:r>
    </w:p>
    <w:p>
      <w:pPr>
        <w:spacing w:after="0" w:line="117" w:lineRule="exact"/>
        <w:rPr>
          <w:rFonts w:ascii="Arial" w:cs="Arial" w:eastAsia="Arial" w:hAnsi="Arial"/>
          <w:sz w:val="18"/>
          <w:szCs w:val="18"/>
          <w:color w:val="auto"/>
        </w:rPr>
      </w:pPr>
    </w:p>
    <w:p>
      <w:pPr>
        <w:ind w:left="1500" w:hanging="704"/>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131" w:lineRule="exact"/>
        <w:rPr>
          <w:sz w:val="20"/>
          <w:szCs w:val="20"/>
          <w:color w:val="auto"/>
        </w:rPr>
      </w:pPr>
    </w:p>
    <w:p>
      <w:pPr>
        <w:ind w:left="800" w:right="40" w:firstLine="397"/>
        <w:spacing w:after="0" w:line="255" w:lineRule="auto"/>
        <w:rPr>
          <w:sz w:val="20"/>
          <w:szCs w:val="20"/>
          <w:color w:val="auto"/>
        </w:rPr>
      </w:pPr>
      <w:r>
        <w:rPr>
          <w:rFonts w:ascii="Arial" w:cs="Arial" w:eastAsia="Arial" w:hAnsi="Arial"/>
          <w:sz w:val="18"/>
          <w:szCs w:val="18"/>
          <w:color w:val="auto"/>
        </w:rPr>
        <w:t>The first two of these four metrics include long-term debt as a critical measure. In certain market conditions, we also incur short-term debt in connection with supply and logistics activities that involve the simultaneous purchase and forward sale of crude oil, refined products and LPG. The crude oil, refined products and LPG purchased in these transactions are hedged. We do not consider the working capital borrowings associated with this activity to be part of our long-term capital structure. These borrowings are self-liquidating as they are repaid with sales proceeds. We also incur short-term debt for New York Mercantile Exchange (“NYMEX”) and IntercontinentalExchange (“ICE”) margin requirements.</w:t>
      </w:r>
    </w:p>
    <w:p>
      <w:pPr>
        <w:spacing w:after="0" w:line="99" w:lineRule="exact"/>
        <w:rPr>
          <w:sz w:val="20"/>
          <w:szCs w:val="20"/>
          <w:color w:val="auto"/>
        </w:rPr>
      </w:pPr>
    </w:p>
    <w:p>
      <w:pPr>
        <w:ind w:left="800" w:right="420" w:firstLine="397"/>
        <w:spacing w:after="0" w:line="255" w:lineRule="auto"/>
        <w:rPr>
          <w:sz w:val="20"/>
          <w:szCs w:val="20"/>
          <w:color w:val="auto"/>
        </w:rPr>
      </w:pPr>
      <w:r>
        <w:rPr>
          <w:rFonts w:ascii="Arial" w:cs="Arial" w:eastAsia="Arial" w:hAnsi="Arial"/>
          <w:sz w:val="18"/>
          <w:szCs w:val="18"/>
          <w:color w:val="auto"/>
        </w:rPr>
        <w:t>In order for us to maintain our targeted credit profile and achieve growth through internal growth projects and acquisitions, we intend to fund at least 50% of the capital requirements associated with these activities with equity and cash flow in excess of distributions. From time to time, we may be outside the parameters of our targeted credit profile as, in certain cases, these capital expenditures and acquisitions may be financed initially using debt or there may be delays in realizing anticipated synergies from acquisitions or contributions from capital expansion projects to adjusted EBITDA. At March 31, 2010 and for the three months then ended, we were in line with our targeted metrics.</w:t>
      </w:r>
    </w:p>
    <w:p>
      <w:pPr>
        <w:spacing w:after="0" w:line="99" w:lineRule="exact"/>
        <w:rPr>
          <w:sz w:val="20"/>
          <w:szCs w:val="20"/>
          <w:color w:val="auto"/>
        </w:rPr>
      </w:pPr>
    </w:p>
    <w:p>
      <w:pPr>
        <w:ind w:left="800" w:right="20" w:firstLine="397"/>
        <w:spacing w:after="0" w:line="255" w:lineRule="auto"/>
        <w:rPr>
          <w:sz w:val="20"/>
          <w:szCs w:val="20"/>
          <w:color w:val="auto"/>
        </w:rPr>
      </w:pPr>
      <w:r>
        <w:rPr>
          <w:rFonts w:ascii="Arial" w:cs="Arial" w:eastAsia="Arial" w:hAnsi="Arial"/>
          <w:sz w:val="18"/>
          <w:szCs w:val="18"/>
          <w:i w:val="1"/>
          <w:iCs w:val="1"/>
          <w:color w:val="auto"/>
        </w:rPr>
        <w:t xml:space="preserve">Credit rating. </w:t>
      </w:r>
      <w:r>
        <w:rPr>
          <w:rFonts w:ascii="Arial" w:cs="Arial" w:eastAsia="Arial" w:hAnsi="Arial"/>
          <w:sz w:val="18"/>
          <w:szCs w:val="18"/>
          <w:color w:val="auto"/>
        </w:rPr>
        <w:t>As of July 1, 2010, our senior unsecured ratings with Standard &amp; Poor’s Ratings Services (“Standard &amp; Poor’s”) and</w:t>
      </w:r>
      <w:r>
        <w:rPr>
          <w:rFonts w:ascii="Arial" w:cs="Arial" w:eastAsia="Arial" w:hAnsi="Arial"/>
          <w:sz w:val="18"/>
          <w:szCs w:val="18"/>
          <w:i w:val="1"/>
          <w:iCs w:val="1"/>
          <w:color w:val="auto"/>
        </w:rPr>
        <w:t xml:space="preserve"> </w:t>
      </w:r>
      <w:r>
        <w:rPr>
          <w:rFonts w:ascii="Arial" w:cs="Arial" w:eastAsia="Arial" w:hAnsi="Arial"/>
          <w:sz w:val="18"/>
          <w:szCs w:val="18"/>
          <w:color w:val="auto"/>
        </w:rPr>
        <w:t>Moody’s Investors Service (“Moody’s”) were BBB-, stable outlook, and Baa3, stable outlook, respectively, both of which are considered “investment grade” ratings. We have targeted the attainment of stronger investment grade ratings of mid- to high-BBB and Baa categories for Standard &amp; Poor’s and Moody’s, respectively. However, our current ratings might not remain in effect for any given period of time, we might not be able to attain the higher ratings we have targeted and one or both of these ratings might be lowered or withdrawn entirely by the rating agencies. Note that a credit rating is not a recommendation to buy, sell or hold securities, and may be revised or withdrawn at any time.</w:t>
      </w:r>
    </w:p>
    <w:p>
      <w:pPr>
        <w:spacing w:after="0" w:line="9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Competitive strengths</w:t>
      </w:r>
    </w:p>
    <w:p>
      <w:pPr>
        <w:spacing w:after="0" w:line="13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131" w:lineRule="exact"/>
        <w:rPr>
          <w:sz w:val="20"/>
          <w:szCs w:val="20"/>
          <w:color w:val="auto"/>
        </w:rPr>
      </w:pPr>
    </w:p>
    <w:p>
      <w:pPr>
        <w:ind w:left="1500" w:right="20" w:hanging="704"/>
        <w:spacing w:after="0" w:line="257"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Many of our transportation segment and facilities segment assets are strategically located and operationally flexible.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primary transportation segment assets are in crude oil service, are located in well-established oil producing regions and transportation corridors, and are connected, directly or indirectly, with our facilities segment assets located at major trading locations and premium markets that serve as gateways to major North American refinery and distribution markets where we have strong business relationships.</w:t>
      </w:r>
    </w:p>
    <w:p>
      <w:pPr>
        <w:spacing w:after="0" w:line="80" w:lineRule="exact"/>
        <w:rPr>
          <w:rFonts w:ascii="Arial" w:cs="Arial" w:eastAsia="Arial" w:hAnsi="Arial"/>
          <w:sz w:val="18"/>
          <w:szCs w:val="18"/>
          <w:color w:val="auto"/>
        </w:rPr>
      </w:pPr>
    </w:p>
    <w:p>
      <w:pPr>
        <w:ind w:left="1500" w:hanging="704"/>
        <w:spacing w:after="0" w:line="264"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We possess specialized crude oil market knowledge. </w:t>
      </w:r>
      <w:r>
        <w:rPr>
          <w:rFonts w:ascii="Arial" w:cs="Arial" w:eastAsia="Arial" w:hAnsi="Arial"/>
          <w:sz w:val="18"/>
          <w:szCs w:val="18"/>
          <w:color w:val="auto"/>
        </w:rPr>
        <w:t>We believe our business relationships with participants in various phases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crude oil distribution chain, from crude oil producers to refiners, as well as our own industry expertise, provide us with an extensive understanding of the North American physical crude oil markets.</w:t>
      </w:r>
    </w:p>
    <w:p>
      <w:pPr>
        <w:spacing w:after="0" w:line="73" w:lineRule="exact"/>
        <w:rPr>
          <w:rFonts w:ascii="Arial" w:cs="Arial" w:eastAsia="Arial" w:hAnsi="Arial"/>
          <w:sz w:val="18"/>
          <w:szCs w:val="18"/>
          <w:color w:val="auto"/>
        </w:rPr>
      </w:pPr>
    </w:p>
    <w:p>
      <w:pPr>
        <w:ind w:left="1500" w:right="260" w:hanging="704"/>
        <w:spacing w:after="0" w:line="259"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Our crude oil supply and logistics activities are counter-cyclically balanced. </w:t>
      </w:r>
      <w:r>
        <w:rPr>
          <w:rFonts w:ascii="Arial" w:cs="Arial" w:eastAsia="Arial" w:hAnsi="Arial"/>
          <w:sz w:val="18"/>
          <w:szCs w:val="18"/>
          <w:color w:val="auto"/>
        </w:rPr>
        <w:t>We believe the variety of activities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supply and logistics segment provides us with a counter-cyclical balance that generally affords us the flexibility (i) to maintain a base level of margin irrespective of crude oil market conditions and (ii) in certain circumstances, to realize incremental margin during volatile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435725" cy="7550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5725" cy="755078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500" w:hanging="704"/>
        <w:spacing w:after="0" w:line="273" w:lineRule="auto"/>
        <w:tabs>
          <w:tab w:leader="none" w:pos="15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We have the evaluation, integration and engineering skill sets and the financial flexibility to continue to pursue acquisition and expansion opportunities. </w:t>
      </w:r>
      <w:r>
        <w:rPr>
          <w:rFonts w:ascii="Arial" w:cs="Arial" w:eastAsia="Arial" w:hAnsi="Arial"/>
          <w:sz w:val="17"/>
          <w:szCs w:val="17"/>
          <w:color w:val="auto"/>
        </w:rPr>
        <w:t>Over the past twelve years, we have completed and integrated approximately 60 acquisitions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purchase price of approximately $6.4 billion. We have also implemented internal expansion capital projects totaling approximately $2.2 billion through March 31, 2010. In addition, we believe we have resources to finance future strategic expansion and acquisition opportunities. As of June 30, 2010, we had approximately $1.2 billion available under our committed credit facilities, subject to continued covenant compliance.</w:t>
      </w:r>
    </w:p>
    <w:p>
      <w:pPr>
        <w:spacing w:after="0" w:line="70" w:lineRule="exact"/>
        <w:rPr>
          <w:rFonts w:ascii="Arial" w:cs="Arial" w:eastAsia="Arial" w:hAnsi="Arial"/>
          <w:sz w:val="17"/>
          <w:szCs w:val="17"/>
          <w:color w:val="auto"/>
        </w:rPr>
      </w:pPr>
    </w:p>
    <w:p>
      <w:pPr>
        <w:ind w:left="1500" w:right="120" w:hanging="704"/>
        <w:spacing w:after="0" w:line="276" w:lineRule="auto"/>
        <w:tabs>
          <w:tab w:leader="none" w:pos="15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We have an experienced management team whose interests are aligned with those of our unitholders. </w:t>
      </w:r>
      <w:r>
        <w:rPr>
          <w:rFonts w:ascii="Arial" w:cs="Arial" w:eastAsia="Arial" w:hAnsi="Arial"/>
          <w:sz w:val="17"/>
          <w:szCs w:val="17"/>
          <w:color w:val="auto"/>
        </w:rPr>
        <w:t>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team has an average of approximately 25 years industry experience, and an average of approximately 16 years with us or our predecessors and affiliates. In addition, through their ownership of common units, indirect interests in our general partner, grants of phantom units and the Class B units in Plains AAP, L.P. (a Delaware limited partnership and the sole member of our general partner), our management team has a vested interest in our continued success.</w:t>
      </w:r>
    </w:p>
    <w:p>
      <w:pPr>
        <w:spacing w:after="0" w:line="78" w:lineRule="exact"/>
        <w:rPr>
          <w:sz w:val="20"/>
          <w:szCs w:val="20"/>
          <w:color w:val="auto"/>
        </w:rPr>
      </w:pPr>
    </w:p>
    <w:p>
      <w:pPr>
        <w:ind w:left="800" w:right="400" w:firstLine="397"/>
        <w:spacing w:after="0" w:line="277" w:lineRule="auto"/>
        <w:rPr>
          <w:sz w:val="20"/>
          <w:szCs w:val="20"/>
          <w:color w:val="auto"/>
        </w:rPr>
      </w:pPr>
      <w:r>
        <w:rPr>
          <w:rFonts w:ascii="Arial" w:cs="Arial" w:eastAsia="Arial" w:hAnsi="Arial"/>
          <w:sz w:val="18"/>
          <w:szCs w:val="18"/>
          <w:color w:val="auto"/>
        </w:rPr>
        <w:t>We believe these competitive strengths will aid our efforts to expand our presence in the refined products, LPG and natural gas storage sectors.</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800" w:right="180" w:firstLine="397"/>
        <w:spacing w:after="0" w:line="273" w:lineRule="auto"/>
        <w:rPr>
          <w:sz w:val="20"/>
          <w:szCs w:val="20"/>
          <w:color w:val="auto"/>
        </w:rPr>
      </w:pPr>
      <w:r>
        <w:rPr>
          <w:rFonts w:ascii="Arial" w:cs="Arial" w:eastAsia="Arial" w:hAnsi="Arial"/>
          <w:sz w:val="17"/>
          <w:szCs w:val="17"/>
          <w:i w:val="1"/>
          <w:iCs w:val="1"/>
          <w:color w:val="auto"/>
        </w:rPr>
        <w:t xml:space="preserve">PNG IPO. </w:t>
      </w:r>
      <w:r>
        <w:rPr>
          <w:rFonts w:ascii="Arial" w:cs="Arial" w:eastAsia="Arial" w:hAnsi="Arial"/>
          <w:sz w:val="17"/>
          <w:szCs w:val="17"/>
          <w:color w:val="auto"/>
        </w:rPr>
        <w:t>On May 5, 2010, PNG completed its IPO of 13,478,000 common units representing limited partner interests at $21.50</w:t>
      </w:r>
      <w:r>
        <w:rPr>
          <w:rFonts w:ascii="Arial" w:cs="Arial" w:eastAsia="Arial" w:hAnsi="Arial"/>
          <w:sz w:val="17"/>
          <w:szCs w:val="17"/>
          <w:i w:val="1"/>
          <w:iCs w:val="1"/>
          <w:color w:val="auto"/>
        </w:rPr>
        <w:t xml:space="preserve"> </w:t>
      </w:r>
      <w:r>
        <w:rPr>
          <w:rFonts w:ascii="Arial" w:cs="Arial" w:eastAsia="Arial" w:hAnsi="Arial"/>
          <w:sz w:val="17"/>
          <w:szCs w:val="17"/>
          <w:color w:val="auto"/>
        </w:rPr>
        <w:t>per common unit. The number of units issued at closing included 1,758,000 common units issued pursuant to the full exercise of the underwriters’ over-allotment option. Net proceeds received by PNG from the sale of the 13,478,000 common units were approximately $268 million. The common units offered represent approximately 23% of the outstanding equity of PNG. We own the remaining 77% equity interests in PNG including the 2% general partner interest, the incentive distribution rights, 18.1 million common units, 13.9 million series A subordinated units, and 11.5 million series B subordinated units.</w:t>
      </w:r>
    </w:p>
    <w:p>
      <w:pPr>
        <w:spacing w:after="0" w:line="84" w:lineRule="exact"/>
        <w:rPr>
          <w:sz w:val="20"/>
          <w:szCs w:val="20"/>
          <w:color w:val="auto"/>
        </w:rPr>
      </w:pPr>
    </w:p>
    <w:p>
      <w:pPr>
        <w:ind w:left="800" w:right="20" w:firstLine="397"/>
        <w:spacing w:after="0" w:line="277" w:lineRule="auto"/>
        <w:rPr>
          <w:sz w:val="20"/>
          <w:szCs w:val="20"/>
          <w:color w:val="auto"/>
        </w:rPr>
      </w:pPr>
      <w:r>
        <w:rPr>
          <w:rFonts w:ascii="Arial" w:cs="Arial" w:eastAsia="Arial" w:hAnsi="Arial"/>
          <w:sz w:val="18"/>
          <w:szCs w:val="18"/>
          <w:color w:val="auto"/>
        </w:rPr>
        <w:t>In connection with the IPO, PNG entered into a new $400 million revolving credit facility, which will mature on May 5, 2013. PNG borrowed approximately $200 million under the credit facility as of the closing of the IPO.</w:t>
      </w:r>
    </w:p>
    <w:p>
      <w:pPr>
        <w:spacing w:after="0" w:line="76" w:lineRule="exact"/>
        <w:rPr>
          <w:sz w:val="20"/>
          <w:szCs w:val="20"/>
          <w:color w:val="auto"/>
        </w:rPr>
      </w:pPr>
    </w:p>
    <w:p>
      <w:pPr>
        <w:jc w:val="both"/>
        <w:ind w:left="800" w:right="820" w:firstLine="397"/>
        <w:spacing w:after="0" w:line="342" w:lineRule="auto"/>
        <w:rPr>
          <w:sz w:val="20"/>
          <w:szCs w:val="20"/>
          <w:color w:val="auto"/>
        </w:rPr>
      </w:pPr>
      <w:r>
        <w:rPr>
          <w:rFonts w:ascii="Arial" w:cs="Arial" w:eastAsia="Arial" w:hAnsi="Arial"/>
          <w:sz w:val="16"/>
          <w:szCs w:val="16"/>
          <w:color w:val="auto"/>
        </w:rPr>
        <w:t>PNG used the net proceeds from the IPO, together with $200 million of borrowings under its new credit facility, to repay intercompany indebtedness owed to us. We used all of these proceeds to repay amounts outstanding under our credit facilities.</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Additional information</w:t>
      </w:r>
    </w:p>
    <w:p>
      <w:pPr>
        <w:spacing w:after="0" w:line="13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For additional information about us, including our partnership structure and management, please see our Annual Report on</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Form 10-K for the year ended December 31, 2009 and our Quarterly Report on Form 10-Q for the quarter ended March 31, 2010. Please</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refer to the section in this prospectus supplement entitled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435725" cy="7550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5725" cy="755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800" w:right="520" w:firstLine="397"/>
        <w:spacing w:after="0" w:line="312" w:lineRule="auto"/>
        <w:rPr>
          <w:sz w:val="20"/>
          <w:szCs w:val="20"/>
          <w:color w:val="auto"/>
        </w:rPr>
      </w:pPr>
      <w:r>
        <w:rPr>
          <w:rFonts w:ascii="Arial" w:cs="Arial" w:eastAsia="Arial" w:hAnsi="Arial"/>
          <w:sz w:val="16"/>
          <w:szCs w:val="16"/>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prospectus contain a more detailed description of the terms of the Notes.</w:t>
      </w:r>
    </w:p>
    <w:p>
      <w:pPr>
        <w:sectPr>
          <w:pgSz w:w="11900" w:h="16838" w:orient="portrait"/>
          <w:cols w:equalWidth="0" w:num="1">
            <w:col w:w="10720"/>
          </w:cols>
          <w:pgMar w:left="240" w:top="419" w:right="939" w:bottom="1440" w:gutter="0" w:footer="0" w:header="0"/>
        </w:sectPr>
      </w:pPr>
    </w:p>
    <w:p>
      <w:pPr>
        <w:spacing w:after="0" w:line="5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Issuers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and PAA Finance Corp.</w:t>
      </w:r>
    </w:p>
    <w:p>
      <w:pPr>
        <w:spacing w:after="0" w:line="86" w:lineRule="exact"/>
        <w:rPr>
          <w:sz w:val="20"/>
          <w:szCs w:val="20"/>
          <w:color w:val="auto"/>
        </w:rPr>
      </w:pPr>
    </w:p>
    <w:p>
      <w:pPr>
        <w:sectPr>
          <w:pgSz w:w="11900" w:h="16838" w:orient="portrait"/>
          <w:cols w:equalWidth="0" w:num="2">
            <w:col w:w="3360" w:space="720"/>
            <w:col w:w="6640"/>
          </w:cols>
          <w:pgMar w:left="240" w:top="419" w:right="939" w:bottom="1440" w:gutter="0" w:footer="0" w:header="0"/>
          <w:type w:val="continuous"/>
        </w:sectPr>
      </w:pPr>
    </w:p>
    <w:p>
      <w:pPr>
        <w:ind w:left="4080" w:right="20"/>
        <w:spacing w:after="0" w:line="276" w:lineRule="auto"/>
        <w:rPr>
          <w:sz w:val="20"/>
          <w:szCs w:val="20"/>
          <w:color w:val="auto"/>
        </w:rPr>
      </w:pPr>
      <w:r>
        <w:rPr>
          <w:rFonts w:ascii="Arial" w:cs="Arial" w:eastAsia="Arial" w:hAnsi="Arial"/>
          <w:sz w:val="17"/>
          <w:szCs w:val="17"/>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ectPr>
          <w:pgSz w:w="11900" w:h="16838" w:orient="portrait"/>
          <w:cols w:equalWidth="0" w:num="1">
            <w:col w:w="10720"/>
          </w:cols>
          <w:pgMar w:left="240" w:top="419" w:right="939" w:bottom="1440" w:gutter="0" w:footer="0" w:header="0"/>
          <w:type w:val="continuous"/>
        </w:sectPr>
      </w:pPr>
    </w:p>
    <w:p>
      <w:pPr>
        <w:spacing w:after="0" w:line="1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Guarantees</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Initially, all payments with respect to the Notes (including principal and interest) will be fully and unconditionally guaranteed, jointly and severally, by all of our existing subsidiaries other than (i) PAA Finance Corp., the co-issuer of the Notes, (ii) PNGS GP, PNG and their respective subsidiaries, (iii) subsidiaries regulated by the California Public Utilities Commission and (iv) subsidiaries that are minor. Subsidiaries acquired in the future may or may not become guarantors, but any subsidiary that guarantees other indebtedness of ours or another subsidiary must also guarantee the Notes. The guarantees are also subject to release in certain circumstances. The guarantees of the Notes are general unsecured obligations of the subsidiary guarantors and rank equally with any existing and future senior unsecured indebtedness of the subsidiary guarantors. See “Description of Notes — The guarantees.”</w:t>
      </w:r>
    </w:p>
    <w:p>
      <w:pPr>
        <w:spacing w:after="0" w:line="21" w:lineRule="exact"/>
        <w:rPr>
          <w:sz w:val="20"/>
          <w:szCs w:val="20"/>
          <w:color w:val="auto"/>
        </w:rPr>
      </w:pPr>
    </w:p>
    <w:p>
      <w:pPr>
        <w:sectPr>
          <w:pgSz w:w="11900" w:h="16838" w:orient="portrait"/>
          <w:cols w:equalWidth="0" w:num="2">
            <w:col w:w="3360" w:space="720"/>
            <w:col w:w="6640"/>
          </w:cols>
          <w:pgMar w:left="240" w:top="419" w:right="9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$400 million aggregate principal amount of 3.95% Senior Notes due 2015.</w:t>
      </w:r>
    </w:p>
    <w:p>
      <w:pPr>
        <w:spacing w:after="0" w:line="86" w:lineRule="exact"/>
        <w:rPr>
          <w:sz w:val="20"/>
          <w:szCs w:val="20"/>
          <w:color w:val="auto"/>
        </w:rPr>
      </w:pPr>
    </w:p>
    <w:p>
      <w:pPr>
        <w:sectPr>
          <w:pgSz w:w="11900" w:h="16838" w:orient="portrait"/>
          <w:cols w:equalWidth="0" w:num="2">
            <w:col w:w="3360" w:space="720"/>
            <w:col w:w="6640"/>
          </w:cols>
          <w:pgMar w:left="240" w:top="419" w:right="9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September 15, 2015.</w:t>
      </w:r>
    </w:p>
    <w:p>
      <w:pPr>
        <w:spacing w:after="0" w:line="97" w:lineRule="exact"/>
        <w:rPr>
          <w:sz w:val="20"/>
          <w:szCs w:val="20"/>
          <w:color w:val="auto"/>
        </w:rPr>
      </w:pPr>
    </w:p>
    <w:p>
      <w:pPr>
        <w:sectPr>
          <w:pgSz w:w="11900" w:h="16838" w:orient="portrait"/>
          <w:cols w:equalWidth="0" w:num="2">
            <w:col w:w="3360" w:space="720"/>
            <w:col w:w="6640"/>
          </w:cols>
          <w:pgMar w:left="240" w:top="419" w:right="9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3.95%.</w:t>
      </w:r>
    </w:p>
    <w:p>
      <w:pPr>
        <w:spacing w:after="0" w:line="86" w:lineRule="exact"/>
        <w:rPr>
          <w:sz w:val="20"/>
          <w:szCs w:val="20"/>
          <w:color w:val="auto"/>
        </w:rPr>
      </w:pPr>
    </w:p>
    <w:p>
      <w:pPr>
        <w:sectPr>
          <w:pgSz w:w="11900" w:h="16838" w:orient="portrait"/>
          <w:cols w:equalWidth="0" w:num="2">
            <w:col w:w="3360" w:space="720"/>
            <w:col w:w="6640"/>
          </w:cols>
          <w:pgMar w:left="240" w:top="419" w:right="939" w:bottom="1440" w:gutter="0" w:footer="0" w:header="0"/>
          <w:type w:val="continuous"/>
        </w:sectPr>
      </w:pPr>
    </w:p>
    <w:p>
      <w:pPr>
        <w:ind w:left="8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We will pay interest on the Notes semi-annually in arrears on March 15 and September 15 of each year, beginning on September 15, 2010.</w:t>
      </w:r>
    </w:p>
    <w:p>
      <w:pPr>
        <w:spacing w:after="0" w:line="8" w:lineRule="exact"/>
        <w:rPr>
          <w:sz w:val="20"/>
          <w:szCs w:val="20"/>
          <w:color w:val="auto"/>
        </w:rPr>
      </w:pPr>
    </w:p>
    <w:p>
      <w:pPr>
        <w:sectPr>
          <w:pgSz w:w="11900" w:h="16838" w:orient="portrait"/>
          <w:cols w:equalWidth="0" w:num="2">
            <w:col w:w="3360" w:space="720"/>
            <w:col w:w="6640"/>
          </w:cols>
          <w:pgMar w:left="240" w:top="419" w:right="9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We may redeem the Notes, in whole or in part, at any time and from time to time at a price equal to the greater of (i) 100% of the principal amount of the Notes to be redeemed or (ii) the sum of the present values of the remaining scheduled payments of principal of and interest on the Notes to be redeemed, discounted to the redemption date on a semi annual basis at the Adjusted Treasury Rate (as defined herein) plus 35 basis points, together with accrued interest to the date of redemption. See “Description of Notes — Optional redemption.”</w:t>
      </w:r>
    </w:p>
    <w:p>
      <w:pPr>
        <w:spacing w:after="0" w:line="27" w:lineRule="exact"/>
        <w:rPr>
          <w:sz w:val="20"/>
          <w:szCs w:val="20"/>
          <w:color w:val="auto"/>
        </w:rPr>
      </w:pPr>
    </w:p>
    <w:p>
      <w:pPr>
        <w:sectPr>
          <w:pgSz w:w="11900" w:h="16838" w:orient="portrait"/>
          <w:cols w:equalWidth="0" w:num="2">
            <w:col w:w="3360" w:space="720"/>
            <w:col w:w="6640"/>
          </w:cols>
          <w:pgMar w:left="240" w:top="419" w:right="9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120"/>
        <w:spacing w:after="0" w:line="317" w:lineRule="auto"/>
        <w:rPr>
          <w:sz w:val="20"/>
          <w:szCs w:val="20"/>
          <w:color w:val="auto"/>
        </w:rPr>
      </w:pPr>
      <w:r>
        <w:rPr>
          <w:rFonts w:ascii="Arial" w:cs="Arial" w:eastAsia="Arial" w:hAnsi="Arial"/>
          <w:sz w:val="16"/>
          <w:szCs w:val="16"/>
          <w:color w:val="auto"/>
        </w:rPr>
        <w:t>The Notes will be general senior unsecured obligations of the issuers and will rank equally in right of payment with the existing and future senior indebtedness of the issuers.</w:t>
      </w:r>
    </w:p>
    <w:p>
      <w:pPr>
        <w:spacing w:after="0" w:line="1" w:lineRule="exact"/>
        <w:rPr>
          <w:sz w:val="20"/>
          <w:szCs w:val="20"/>
          <w:color w:val="auto"/>
        </w:rPr>
      </w:pPr>
    </w:p>
    <w:p>
      <w:pPr>
        <w:sectPr>
          <w:pgSz w:w="11900" w:h="16838" w:orient="portrait"/>
          <w:cols w:equalWidth="0" w:num="2">
            <w:col w:w="3360" w:space="720"/>
            <w:col w:w="6640"/>
          </w:cols>
          <w:pgMar w:left="240" w:top="419" w:right="9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The Notes will be issued under an indenture containing covenants for your benefit. These covenants restrict our ability, with certain exceptions, to:</w:t>
      </w:r>
    </w:p>
    <w:p>
      <w:pPr>
        <w:spacing w:after="0" w:line="8" w:lineRule="exact"/>
        <w:rPr>
          <w:sz w:val="20"/>
          <w:szCs w:val="20"/>
          <w:color w:val="auto"/>
        </w:rPr>
      </w:pPr>
    </w:p>
    <w:p>
      <w:pPr>
        <w:sectPr>
          <w:pgSz w:w="11900" w:h="16838" w:orient="portrait"/>
          <w:cols w:equalWidth="0" w:num="2">
            <w:col w:w="3360" w:space="720"/>
            <w:col w:w="6640"/>
          </w:cols>
          <w:pgMar w:left="240" w:top="419" w:right="939" w:bottom="1440" w:gutter="0" w:footer="0" w:header="0"/>
          <w:type w:val="continuous"/>
        </w:sectPr>
      </w:pPr>
    </w:p>
    <w:p>
      <w:pPr>
        <w:ind w:left="4080"/>
        <w:spacing w:after="0"/>
        <w:rPr>
          <w:sz w:val="20"/>
          <w:szCs w:val="20"/>
          <w:color w:val="auto"/>
        </w:rPr>
      </w:pPr>
      <w:r>
        <w:rPr>
          <w:rFonts w:ascii="Arial" w:cs="Arial" w:eastAsia="Arial" w:hAnsi="Arial"/>
          <w:sz w:val="16"/>
          <w:szCs w:val="16"/>
          <w:color w:val="auto"/>
        </w:rPr>
        <w:t>• incur liens on principal properties to secure debt;</w:t>
      </w:r>
    </w:p>
    <w:p>
      <w:pPr>
        <w:sectPr>
          <w:pgSz w:w="11900" w:h="16838" w:orient="portrait"/>
          <w:cols w:equalWidth="0" w:num="1">
            <w:col w:w="10720"/>
          </w:cols>
          <w:pgMar w:left="240" w:top="419"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435725" cy="7550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35725" cy="755078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660" w:type="dxa"/>
            <w:vAlign w:val="bottom"/>
          </w:tcPr>
          <w:p>
            <w:pPr>
              <w:ind w:left="560"/>
              <w:spacing w:after="0"/>
              <w:rPr>
                <w:sz w:val="20"/>
                <w:szCs w:val="20"/>
                <w:color w:val="auto"/>
              </w:rPr>
            </w:pPr>
            <w:r>
              <w:rPr>
                <w:rFonts w:ascii="Arial" w:cs="Arial" w:eastAsia="Arial" w:hAnsi="Arial"/>
                <w:sz w:val="18"/>
                <w:szCs w:val="18"/>
                <w:color w:val="auto"/>
              </w:rPr>
              <w:t>•</w:t>
            </w:r>
          </w:p>
        </w:tc>
        <w:tc>
          <w:tcPr>
            <w:tcW w:w="6540" w:type="dxa"/>
            <w:vAlign w:val="bottom"/>
          </w:tcPr>
          <w:p>
            <w:pPr>
              <w:ind w:left="60"/>
              <w:spacing w:after="0"/>
              <w:rPr>
                <w:sz w:val="20"/>
                <w:szCs w:val="20"/>
                <w:color w:val="auto"/>
              </w:rPr>
            </w:pPr>
            <w:r>
              <w:rPr>
                <w:rFonts w:ascii="Arial" w:cs="Arial" w:eastAsia="Arial" w:hAnsi="Arial"/>
                <w:sz w:val="18"/>
                <w:szCs w:val="18"/>
                <w:color w:val="auto"/>
              </w:rPr>
              <w:t>engage in sale-leaseback transactions; and</w:t>
            </w:r>
          </w:p>
        </w:tc>
      </w:tr>
      <w:tr>
        <w:trPr>
          <w:trHeight w:val="256"/>
        </w:trPr>
        <w:tc>
          <w:tcPr>
            <w:tcW w:w="2720" w:type="dxa"/>
            <w:vAlign w:val="bottom"/>
          </w:tcPr>
          <w:p>
            <w:pPr>
              <w:spacing w:after="0"/>
              <w:rPr>
                <w:sz w:val="22"/>
                <w:szCs w:val="22"/>
                <w:color w:val="auto"/>
              </w:rPr>
            </w:pPr>
          </w:p>
        </w:tc>
        <w:tc>
          <w:tcPr>
            <w:tcW w:w="660" w:type="dxa"/>
            <w:vAlign w:val="bottom"/>
          </w:tcPr>
          <w:p>
            <w:pPr>
              <w:ind w:left="560"/>
              <w:spacing w:after="0"/>
              <w:rPr>
                <w:sz w:val="20"/>
                <w:szCs w:val="20"/>
                <w:color w:val="auto"/>
              </w:rPr>
            </w:pPr>
            <w:r>
              <w:rPr>
                <w:rFonts w:ascii="Arial" w:cs="Arial" w:eastAsia="Arial" w:hAnsi="Arial"/>
                <w:sz w:val="18"/>
                <w:szCs w:val="18"/>
                <w:color w:val="auto"/>
              </w:rPr>
              <w:t>•</w:t>
            </w:r>
          </w:p>
        </w:tc>
        <w:tc>
          <w:tcPr>
            <w:tcW w:w="6540" w:type="dxa"/>
            <w:vAlign w:val="bottom"/>
          </w:tcPr>
          <w:p>
            <w:pPr>
              <w:ind w:left="60"/>
              <w:spacing w:after="0"/>
              <w:rPr>
                <w:sz w:val="20"/>
                <w:szCs w:val="20"/>
                <w:color w:val="auto"/>
              </w:rPr>
            </w:pPr>
            <w:r>
              <w:rPr>
                <w:rFonts w:ascii="Arial" w:cs="Arial" w:eastAsia="Arial" w:hAnsi="Arial"/>
                <w:sz w:val="18"/>
                <w:szCs w:val="18"/>
                <w:color w:val="auto"/>
                <w:w w:val="93"/>
              </w:rPr>
              <w:t>merge or consolidate with another entity or sell, lease or transfer substantially all of our</w:t>
            </w:r>
          </w:p>
        </w:tc>
      </w:tr>
      <w:tr>
        <w:trPr>
          <w:trHeight w:val="230"/>
        </w:trPr>
        <w:tc>
          <w:tcPr>
            <w:tcW w:w="2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properties or assets to another entity.</w:t>
            </w:r>
          </w:p>
        </w:tc>
      </w:tr>
      <w:tr>
        <w:trPr>
          <w:trHeight w:val="270"/>
        </w:trPr>
        <w:tc>
          <w:tcPr>
            <w:tcW w:w="2720" w:type="dxa"/>
            <w:vAlign w:val="bottom"/>
          </w:tcPr>
          <w:p>
            <w:pPr>
              <w:spacing w:after="0"/>
              <w:rPr>
                <w:sz w:val="23"/>
                <w:szCs w:val="23"/>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See “Description of Notes — Covenants.”</w:t>
            </w: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Use of proceeds</w:t>
            </w: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We expect the net proceeds of this offering to be approximately $396 million after</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deducting the underwriters’ discounts and commissions and our estimated offering</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8"/>
              </w:rPr>
              <w:t>expenses. We expect to use the net proceeds from this offering to repay outstanding</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3"/>
              </w:rPr>
              <w:t>indebtedness under our credit facilities. Amounts repaid under our credit facilities may be</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1"/>
              </w:rPr>
              <w:t>reborrowed to fund our ongoing expansion capital program, potential future acquisitions, or</w:t>
            </w:r>
          </w:p>
        </w:tc>
      </w:tr>
      <w:tr>
        <w:trPr>
          <w:trHeight w:val="230"/>
        </w:trPr>
        <w:tc>
          <w:tcPr>
            <w:tcW w:w="2720" w:type="dxa"/>
            <w:vAlign w:val="bottom"/>
          </w:tcPr>
          <w:p>
            <w:pPr>
              <w:spacing w:after="0"/>
              <w:rPr>
                <w:sz w:val="20"/>
                <w:szCs w:val="20"/>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the potential redemption of our outstanding 6.25% Senior Notes due 2015.</w:t>
            </w: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Book entry, delivery and form</w:t>
            </w: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The Notes will be represented by one or more permanent global certificates in fully</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1"/>
              </w:rPr>
              <w:t>registered form deposited with a custodian for, and registered in the name of, a nominee of</w:t>
            </w:r>
          </w:p>
        </w:tc>
      </w:tr>
      <w:tr>
        <w:trPr>
          <w:trHeight w:val="230"/>
        </w:trPr>
        <w:tc>
          <w:tcPr>
            <w:tcW w:w="2720" w:type="dxa"/>
            <w:vAlign w:val="bottom"/>
          </w:tcPr>
          <w:p>
            <w:pPr>
              <w:spacing w:after="0"/>
              <w:rPr>
                <w:sz w:val="20"/>
                <w:szCs w:val="20"/>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The Depository Trust Company.</w:t>
            </w: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Further issuances</w:t>
            </w: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7"/>
              </w:rPr>
              <w:t>We may create and issue additional Notes ranking equally and ratably with the Notes</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2"/>
              </w:rPr>
              <w:t>offered by this prospectus supplement in all respects, so that such additional Notes will be</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4"/>
              </w:rPr>
              <w:t>consolidated and form a single series with the Notes and will have the same terms, as to</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0"/>
              </w:rPr>
              <w:t>status, redemption or otherwise except for the issue date, the initial interest payment date, if</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3"/>
              </w:rPr>
              <w:t>applicable, and the payment of interest accruing prior to the issue date of such additional</w:t>
            </w:r>
          </w:p>
        </w:tc>
      </w:tr>
      <w:tr>
        <w:trPr>
          <w:trHeight w:val="230"/>
        </w:trPr>
        <w:tc>
          <w:tcPr>
            <w:tcW w:w="2720" w:type="dxa"/>
            <w:vAlign w:val="bottom"/>
          </w:tcPr>
          <w:p>
            <w:pPr>
              <w:spacing w:after="0"/>
              <w:rPr>
                <w:sz w:val="20"/>
                <w:szCs w:val="20"/>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notes.</w:t>
            </w: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No listing</w:t>
            </w: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1"/>
              </w:rPr>
              <w:t>The Notes will not be listed on any securities exchange. Currently, there is no public market</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2"/>
              </w:rPr>
              <w:t>for the Notes. See “Risk Factors — Your ability to transfer the Notes may be limited by the</w:t>
            </w:r>
          </w:p>
        </w:tc>
      </w:tr>
      <w:tr>
        <w:trPr>
          <w:trHeight w:val="230"/>
        </w:trPr>
        <w:tc>
          <w:tcPr>
            <w:tcW w:w="2720" w:type="dxa"/>
            <w:vAlign w:val="bottom"/>
          </w:tcPr>
          <w:p>
            <w:pPr>
              <w:spacing w:after="0"/>
              <w:rPr>
                <w:sz w:val="20"/>
                <w:szCs w:val="20"/>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absence of an organized trading market.”</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Governing law</w:t>
            </w: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New York.</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Trustee</w:t>
            </w: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U.S. Bank National Association.</w:t>
            </w: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Risk factors</w:t>
            </w: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2"/>
              </w:rPr>
              <w:t>Investing in the Notes involves risks. You should consider carefully all of the information in</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0"/>
              </w:rPr>
              <w:t>this prospectus supplement, the accompanying prospectus and the documents incorporated</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5"/>
              </w:rPr>
              <w:t>by reference herein and therein. In particular, you should consider carefully the specific</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3"/>
              </w:rPr>
              <w:t>risks set forth in “Risk Factors” beginning on page S-9 of this prospectus supplement and</w:t>
            </w:r>
          </w:p>
        </w:tc>
      </w:tr>
      <w:tr>
        <w:trPr>
          <w:trHeight w:val="230"/>
        </w:trPr>
        <w:tc>
          <w:tcPr>
            <w:tcW w:w="2720" w:type="dxa"/>
            <w:vAlign w:val="bottom"/>
          </w:tcPr>
          <w:p>
            <w:pPr>
              <w:spacing w:after="0"/>
              <w:rPr>
                <w:sz w:val="20"/>
                <w:szCs w:val="20"/>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beginning on page 6 of the accompanying prospectus.</w:t>
            </w: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Conflicts of interest</w:t>
            </w: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rPr>
              <w:t>Affiliates of certain of the underwriters are lenders under our credit facilities. These</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0"/>
              </w:rPr>
              <w:t>affiliates may receive their respective share of any repayment by us of amounts outstanding</w:t>
            </w:r>
          </w:p>
        </w:tc>
      </w:tr>
      <w:tr>
        <w:trPr>
          <w:trHeight w:val="216"/>
        </w:trPr>
        <w:tc>
          <w:tcPr>
            <w:tcW w:w="2720" w:type="dxa"/>
            <w:vAlign w:val="bottom"/>
          </w:tcPr>
          <w:p>
            <w:pPr>
              <w:spacing w:after="0"/>
              <w:rPr>
                <w:sz w:val="18"/>
                <w:szCs w:val="18"/>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9"/>
              </w:rPr>
              <w:t>under our credit facilities from the proceeds of this offering. Each of the underwriters</w:t>
            </w:r>
          </w:p>
        </w:tc>
      </w:tr>
      <w:tr>
        <w:trPr>
          <w:trHeight w:val="230"/>
        </w:trPr>
        <w:tc>
          <w:tcPr>
            <w:tcW w:w="2720" w:type="dxa"/>
            <w:vAlign w:val="bottom"/>
          </w:tcPr>
          <w:p>
            <w:pPr>
              <w:spacing w:after="0"/>
              <w:rPr>
                <w:sz w:val="20"/>
                <w:szCs w:val="20"/>
                <w:color w:val="auto"/>
              </w:rPr>
            </w:pPr>
          </w:p>
        </w:tc>
        <w:tc>
          <w:tcPr>
            <w:tcW w:w="7200" w:type="dxa"/>
            <w:vAlign w:val="bottom"/>
            <w:gridSpan w:val="2"/>
          </w:tcPr>
          <w:p>
            <w:pPr>
              <w:ind w:left="560"/>
              <w:spacing w:after="0"/>
              <w:rPr>
                <w:sz w:val="20"/>
                <w:szCs w:val="20"/>
                <w:color w:val="auto"/>
              </w:rPr>
            </w:pPr>
            <w:r>
              <w:rPr>
                <w:rFonts w:ascii="Arial" w:cs="Arial" w:eastAsia="Arial" w:hAnsi="Arial"/>
                <w:sz w:val="18"/>
                <w:szCs w:val="18"/>
                <w:color w:val="auto"/>
                <w:w w:val="93"/>
              </w:rPr>
              <w:t>whose affiliates will receive at least 5% of the net proceeds is considered by the Financial</w:t>
            </w:r>
          </w:p>
        </w:tc>
      </w:tr>
    </w:tbl>
    <w:p>
      <w:pPr>
        <w:ind w:left="4080" w:right="60"/>
        <w:spacing w:after="0" w:line="295" w:lineRule="auto"/>
        <w:rPr>
          <w:sz w:val="20"/>
          <w:szCs w:val="20"/>
          <w:color w:val="auto"/>
        </w:rPr>
      </w:pPr>
      <w:r>
        <w:rPr>
          <w:rFonts w:ascii="Arial" w:cs="Arial" w:eastAsia="Arial" w:hAnsi="Arial"/>
          <w:sz w:val="16"/>
          <w:szCs w:val="16"/>
          <w:color w:val="auto"/>
        </w:rPr>
        <w:t>Industry Regulatory Authority, Inc. to have a conflict of interest with us in regards to this offering. However, the appointment of a qualified independent underwriter is not necessary in connection with the offering because the offering is of a class of securities that are investment grade rated. See “Use of Proceeds” and “Underwriting —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i w:val="1"/>
          <w:iCs w:val="1"/>
          <w:color w:val="auto"/>
        </w:rPr>
        <w:t>Before making an investment in the Notes offered hereby, you should carefully consider the risk factors included below, as well as the risk factors beginning on page 6 of the accompanying prospectus and those included in Item 1A. “Risk Factors” in our Annual Report on Form 10-K for the year ended December 31, 2009 (File No. 001-14569), which are incorporated into this prospectus supplement by reference, together with all of the other information included or incorporated by reference in this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700" w:right="240"/>
        <w:spacing w:after="0" w:line="264" w:lineRule="auto"/>
        <w:rPr>
          <w:sz w:val="20"/>
          <w:szCs w:val="20"/>
          <w:color w:val="auto"/>
        </w:rPr>
      </w:pPr>
      <w:r>
        <w:rPr>
          <w:rFonts w:ascii="Arial" w:cs="Arial" w:eastAsia="Arial" w:hAnsi="Arial"/>
          <w:sz w:val="18"/>
          <w:szCs w:val="18"/>
          <w:b w:val="1"/>
          <w:bCs w:val="1"/>
          <w:i w:val="1"/>
          <w:iCs w:val="1"/>
          <w:color w:val="auto"/>
        </w:rPr>
        <w:t>Your right to receive payments on the Notes and subsidiary guarantees is unsecured and will be effectively subordinated to our and our subsidiary guarantors’ existing and future secured indebtedness as well as to any existing and future indebtedness of our subsidiaries that do not guarantee the Notes.</w:t>
      </w:r>
    </w:p>
    <w:p>
      <w:pPr>
        <w:spacing w:after="0" w:line="87"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The Notes are effectively subordinated to claims of our secured creditors, and the guarantees are effectively subordinated to the claims of our secured creditors as well as the secured creditors of our subsidiary guarantors. As of March 31, 2010, on a pro forma basis as described under “Capitalization,” and as further adjusted to give effect to this offering and the application of the net proceeds therefrom as described under “Use of Proceeds,” the Notes and the guarantees would have been effectively subordinated to $85 million of short-term secured indebtedness.</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Although our subsidiaries other than (i) PAA Finance Corp., the co-issuer of the Notes, (ii) PNGS GP, PNG and their respective subsidiaries, (iii) subsidiaries regulated by the California Public Utilities Commission and (iv) minor subsidiaries, will initially guarantee the Notes, the guarantees are subject to release under certain circumstances and in the future we may have other subsidiaries that are not guarantors. The Notes will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w:t>
      </w:r>
    </w:p>
    <w:p>
      <w:pPr>
        <w:spacing w:after="0" w:line="83"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b w:val="1"/>
          <w:bCs w:val="1"/>
          <w:i w:val="1"/>
          <w:iCs w:val="1"/>
          <w:color w:val="auto"/>
        </w:rPr>
        <w:t>Our leverage may limit our ability to borrow additional funds, comply with the terms of our indebtedness or capitalize on business opportunities.</w:t>
      </w:r>
    </w:p>
    <w:p>
      <w:pPr>
        <w:spacing w:after="0" w:line="76"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Our leverage is significant in relation to our partners’ capital. As of March 31, 2010, on a pro forma basis as described under “Capitalization,” and as further adjusted to give effect to this offering and the application of the net proceeds therefrom as described under “Use of Proceeds,” our total outstanding long-term debt was approximately $4.7 billion.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99"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w:t>
      </w:r>
    </w:p>
    <w:p>
      <w:pPr>
        <w:spacing w:after="0" w:line="3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In addition, if one or more rating agencies were to lower our debt ratings, we could be required by some of our counterparties to post additional collateral, which would reduce our available liquidity and cash flow.</w:t>
      </w:r>
    </w:p>
    <w:p>
      <w:pPr>
        <w:spacing w:after="0" w:line="94"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 court may use fraudulent conveyance considerations to avoid or subordinate the subsidiary guarantees.</w:t>
      </w:r>
    </w:p>
    <w:p>
      <w:pPr>
        <w:spacing w:after="0" w:line="131"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Various applicable fraudulent conveyance laws have been enacted for the protection of creditors. A court may use fraudulent conveyance laws to subordinate or avoid the subsidiary guarantees of the Notes issued by any of our subsidiary guarantors. It is also possible that under certain circumstances a court could hold that the direct obligations of a subsidiary guaranteeing the Notes could be superior to the obligations under that guarantee.</w:t>
      </w:r>
    </w:p>
    <w:p>
      <w:pPr>
        <w:spacing w:after="0" w:line="92"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A court could avoid or subordinate the guarantee of the Notes by any of our subsidiaries in favor of that subsidiary’s other debts or liabilities to the extent that the court determined either of the following were true at the time the subsidiary issued the guarantee:</w:t>
      </w:r>
    </w:p>
    <w:p>
      <w:pPr>
        <w:spacing w:after="0" w:line="29" w:lineRule="exact"/>
        <w:rPr>
          <w:sz w:val="20"/>
          <w:szCs w:val="20"/>
          <w:color w:val="auto"/>
        </w:rPr>
      </w:pPr>
    </w:p>
    <w:p>
      <w:pPr>
        <w:ind w:left="1400" w:right="180" w:hanging="707"/>
        <w:spacing w:after="0" w:line="342" w:lineRule="auto"/>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that subsidiary incurred the guarantee with the intent to hinder, delay or defraud any of its present or future creditors or that subsidiary contemplated insolvency with a design to favor one or more creditors to the total or partial exclusion of others; or</w:t>
      </w:r>
    </w:p>
    <w:p>
      <w:pPr>
        <w:spacing w:after="0" w:line="15" w:lineRule="exact"/>
        <w:rPr>
          <w:rFonts w:ascii="Arial" w:cs="Arial" w:eastAsia="Arial" w:hAnsi="Arial"/>
          <w:sz w:val="16"/>
          <w:szCs w:val="16"/>
          <w:color w:val="auto"/>
        </w:rPr>
      </w:pPr>
    </w:p>
    <w:p>
      <w:pPr>
        <w:ind w:left="1400" w:right="300" w:hanging="707"/>
        <w:spacing w:after="0" w:line="277"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subsidiary did not receive fair consideration or reasonable equivalent value for issuing the guarantee and, at the time it issued the guarantee, that subsidiary:</w:t>
      </w:r>
    </w:p>
    <w:p>
      <w:pPr>
        <w:spacing w:after="0" w:line="75" w:lineRule="exact"/>
        <w:rPr>
          <w:rFonts w:ascii="Arial" w:cs="Arial" w:eastAsia="Arial" w:hAnsi="Arial"/>
          <w:sz w:val="18"/>
          <w:szCs w:val="18"/>
          <w:color w:val="auto"/>
        </w:rPr>
      </w:pPr>
    </w:p>
    <w:p>
      <w:pPr>
        <w:ind w:left="2280" w:hanging="791"/>
        <w:spacing w:after="0"/>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was insolvent or rendered insolvent by reason of the issuance of the guarantee;</w:t>
      </w:r>
    </w:p>
    <w:p>
      <w:pPr>
        <w:spacing w:after="0" w:line="117" w:lineRule="exact"/>
        <w:rPr>
          <w:rFonts w:ascii="Arial" w:cs="Arial" w:eastAsia="Arial" w:hAnsi="Arial"/>
          <w:sz w:val="18"/>
          <w:szCs w:val="18"/>
          <w:color w:val="auto"/>
        </w:rPr>
      </w:pPr>
    </w:p>
    <w:p>
      <w:pPr>
        <w:ind w:left="2280" w:right="420" w:hanging="791"/>
        <w:spacing w:after="0" w:line="277" w:lineRule="auto"/>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was engaged or about to engage in a business or transaction for which the remaining assets of that subsidiary constituted unreasonably small capital; or</w:t>
      </w:r>
    </w:p>
    <w:p>
      <w:pPr>
        <w:spacing w:after="0" w:line="62" w:lineRule="exact"/>
        <w:rPr>
          <w:rFonts w:ascii="Arial" w:cs="Arial" w:eastAsia="Arial" w:hAnsi="Arial"/>
          <w:sz w:val="18"/>
          <w:szCs w:val="18"/>
          <w:color w:val="auto"/>
        </w:rPr>
      </w:pPr>
    </w:p>
    <w:p>
      <w:pPr>
        <w:ind w:left="2280" w:hanging="791"/>
        <w:spacing w:after="0"/>
        <w:tabs>
          <w:tab w:leader="none" w:pos="22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intended to incur, or believed that it would incur, debts beyond its ability to pay such debts as they matured.</w:t>
      </w:r>
    </w:p>
    <w:p>
      <w:pPr>
        <w:spacing w:after="0" w:line="142"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w:t>
      </w:r>
    </w:p>
    <w:p>
      <w:pPr>
        <w:spacing w:after="0" w:line="94"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Among other things, a legal challenge of a subsidiary’s guarantee of the Notes on fraudulent conveyance grounds may focus on the benefits, if any, realized by that subsidiary as a result of our issuance of the Notes.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To the extent a subsidiary’s guarantee of the Notes is avoided as a result of fraudulent conveyance or held unenforceable for any other reason, the note holders would cease to have any claim in respect of that guarantee.</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Notes will be new securities for which currently there is no organized trading market. We do not currently intend to apply for listing of the Notes on any securities exchange or other market.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those Notes and other factors. Accordingly, we can give no assurance as to the development, continuation or liquidity of any market for the Notes.</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We have a holding company structure in which our subsidiaries conduct our operations and own our operating assets.</w:t>
      </w:r>
    </w:p>
    <w:p>
      <w:pPr>
        <w:spacing w:after="0" w:line="142"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84"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94" w:lineRule="exact"/>
        <w:rPr>
          <w:sz w:val="20"/>
          <w:szCs w:val="20"/>
          <w:color w:val="auto"/>
        </w:rPr>
      </w:pPr>
    </w:p>
    <w:p>
      <w:pPr>
        <w:ind w:left="1400" w:right="40" w:hanging="707"/>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1400" w:right="520" w:hanging="707"/>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the general partner for any one or more of the next four calendar quarters; or</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31"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3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We expect the net proceeds of this offering to be approximately $396 million after deducting the underwriters’ discounts and commissions and our estimated offering expenses. We expect to use the net proceeds from this offering to repay outstanding indebtedness under our credit facilities. Amounts repaid under our credit facilities may be reborrowed to fund our ongoing expansion capital program, potential future acquisitions, or the potential redemption of our outstanding 6.25% Senior Notes due 2015.</w:t>
      </w:r>
    </w:p>
    <w:p>
      <w:pPr>
        <w:spacing w:after="0" w:line="6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Affiliates of certain of the underwriters are lenders under our credit facilities, and accordingly, may receive a portion of the proceeds from this offering pursuant to the repayment of borrowings under such facilities. Please read “Underwriting—Conflicts of interest” in this prospectus supplement for further information.</w:t>
      </w:r>
    </w:p>
    <w:p>
      <w:pPr>
        <w:spacing w:after="0" w:line="87"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At June 30, 2010, we had approximately $1.2 billion of debt outstanding under our credit facilities with a weighted average interest rate of approximately 1.7%. Substantially all of the borrowings we expect to repay were incurred for working capital requirements.</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Three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Months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Ended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5"/>
            <w:vMerge w:val="restart"/>
          </w:tcPr>
          <w:p>
            <w:pPr>
              <w:ind w:left="480"/>
              <w:spacing w:after="0"/>
              <w:rPr>
                <w:sz w:val="20"/>
                <w:szCs w:val="20"/>
                <w:color w:val="auto"/>
              </w:rPr>
            </w:pPr>
            <w:r>
              <w:rPr>
                <w:rFonts w:ascii="Arial" w:cs="Arial" w:eastAsia="Arial" w:hAnsi="Arial"/>
                <w:sz w:val="16"/>
                <w:szCs w:val="16"/>
                <w:b w:val="1"/>
                <w:bCs w:val="1"/>
                <w:color w:val="auto"/>
              </w:rPr>
              <w:t>Years Ended December 31,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160" w:type="dxa"/>
            <w:vAlign w:val="bottom"/>
            <w:tcBorders>
              <w:bottom w:val="single" w:sz="8" w:color="auto"/>
            </w:tcBorders>
          </w:tcPr>
          <w:p>
            <w:pPr>
              <w:jc w:val="right"/>
              <w:ind w:right="337"/>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17"/>
                <w:szCs w:val="17"/>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2009</w:t>
            </w:r>
          </w:p>
        </w:tc>
        <w:tc>
          <w:tcPr>
            <w:tcW w:w="240" w:type="dxa"/>
            <w:vAlign w:val="bottom"/>
          </w:tcPr>
          <w:p>
            <w:pPr>
              <w:spacing w:after="0"/>
              <w:rPr>
                <w:sz w:val="17"/>
                <w:szCs w:val="17"/>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2008</w:t>
            </w:r>
          </w:p>
        </w:tc>
        <w:tc>
          <w:tcPr>
            <w:tcW w:w="260" w:type="dxa"/>
            <w:vAlign w:val="bottom"/>
          </w:tcPr>
          <w:p>
            <w:pPr>
              <w:spacing w:after="0"/>
              <w:rPr>
                <w:sz w:val="17"/>
                <w:szCs w:val="17"/>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2007</w:t>
            </w:r>
          </w:p>
        </w:tc>
        <w:tc>
          <w:tcPr>
            <w:tcW w:w="260" w:type="dxa"/>
            <w:vAlign w:val="bottom"/>
          </w:tcPr>
          <w:p>
            <w:pPr>
              <w:spacing w:after="0"/>
              <w:rPr>
                <w:sz w:val="17"/>
                <w:szCs w:val="17"/>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2006</w:t>
            </w:r>
          </w:p>
        </w:tc>
        <w:tc>
          <w:tcPr>
            <w:tcW w:w="240" w:type="dxa"/>
            <w:vAlign w:val="bottom"/>
          </w:tcPr>
          <w:p>
            <w:pPr>
              <w:spacing w:after="0"/>
              <w:rPr>
                <w:sz w:val="17"/>
                <w:szCs w:val="17"/>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2005</w:t>
            </w:r>
          </w:p>
        </w:tc>
        <w:tc>
          <w:tcPr>
            <w:tcW w:w="0" w:type="dxa"/>
            <w:vAlign w:val="bottom"/>
          </w:tcPr>
          <w:p>
            <w:pPr>
              <w:spacing w:after="0"/>
              <w:rPr>
                <w:sz w:val="1"/>
                <w:szCs w:val="1"/>
                <w:color w:val="auto"/>
              </w:rPr>
            </w:pPr>
          </w:p>
        </w:tc>
      </w:tr>
      <w:tr>
        <w:trPr>
          <w:trHeight w:val="264"/>
        </w:trPr>
        <w:tc>
          <w:tcPr>
            <w:tcW w:w="3720" w:type="dxa"/>
            <w:vAlign w:val="bottom"/>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15"/>
                <w:szCs w:val="15"/>
                <w:color w:val="auto"/>
              </w:rPr>
              <w:t>(1)</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2.91x</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3.00x</w:t>
            </w:r>
          </w:p>
        </w:tc>
        <w:tc>
          <w:tcPr>
            <w:tcW w:w="2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2.60x</w:t>
            </w:r>
          </w:p>
        </w:tc>
        <w:tc>
          <w:tcPr>
            <w:tcW w:w="2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2.45x</w:t>
            </w:r>
          </w:p>
        </w:tc>
        <w:tc>
          <w:tcPr>
            <w:tcW w:w="2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2.83x</w:t>
            </w:r>
          </w:p>
        </w:tc>
        <w:tc>
          <w:tcPr>
            <w:tcW w:w="2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3.34x</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00" w:hanging="301"/>
        <w:spacing w:after="0" w:line="26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inventory stored in a contango market of $24 million, $49 million, $44 million, $21 million and $11 million for each of the years ended December 31, 2005, 2006, 2007, 2008 and 2009, respectively, and $3 million for the three months ended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-432435</wp:posOffset>
            </wp:positionV>
            <wp:extent cx="1320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following table sets forth our capitalization as of March 31, 2010 (i) on a historical basis, (ii) on a pro forma basis to give effect to the PNG IPO and the application of the net proceeds therefrom to repay intercompany indebtedness owed to us, which we used to reduce outstanding borrowings under our credit facilities, and (iii) as further adjusted to give effect to the sale of the Notes offered hereby and the application of the net proceeds therefrom as described under “Use of Proceeds” in this prospectus supplement. This table should also be read in conjunction with our financial statements and the notes thereto that are incorporated by reference into this prospectus supplement. As of June 30, 2010, we had approximately $1.2 billion of debt outstanding under our credit facilities with a weighted average interest rate of approximately 1.7%. See “Use of Proceeds.”</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March 31, 2010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0"/>
                <w:szCs w:val="10"/>
                <w:color w:val="auto"/>
              </w:rPr>
            </w:pPr>
          </w:p>
        </w:tc>
        <w:tc>
          <w:tcPr>
            <w:tcW w:w="13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As Further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(for PNG IPO)</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for this Offering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12"/>
              <w:spacing w:after="0"/>
              <w:rPr>
                <w:sz w:val="20"/>
                <w:szCs w:val="20"/>
                <w:color w:val="auto"/>
              </w:rPr>
            </w:pPr>
            <w:r>
              <w:rPr>
                <w:rFonts w:ascii="Arial" w:cs="Arial" w:eastAsia="Arial" w:hAnsi="Arial"/>
                <w:sz w:val="14"/>
                <w:szCs w:val="14"/>
                <w:b w:val="1"/>
                <w:bCs w:val="1"/>
                <w:i w:val="1"/>
                <w:iCs w:val="1"/>
                <w:color w:val="auto"/>
                <w:w w:val="94"/>
              </w:rPr>
              <w:t>(In millions)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SHORT-TERM DEBT</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Hedged inventory facility</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Working capital borrowings</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Total short-term debt</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Long-term debt under credit facilities and other</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4.25%</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2012</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0"/>
              </w:rPr>
              <w:t>7.75%</w:t>
            </w: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Senior Notes due 2012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5.63%</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0"/>
              </w:rPr>
              <w:t>5.25%</w:t>
            </w: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Senior Notes due 2015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6.25%</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2015</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0"/>
              </w:rPr>
              <w:t>5.88%</w:t>
            </w: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Senior Notes due 2016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6.13%</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0"/>
              </w:rPr>
              <w:t>6.50%</w:t>
            </w: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Senior Notes due 2018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8.75%</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0"/>
              </w:rPr>
              <w:t>5.75%</w:t>
            </w: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Senior Notes due 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6.70%</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0"/>
              </w:rPr>
              <w:t>6.65%</w:t>
            </w: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Senior Notes due 2037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Notes offered hereby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Unamortized premium/(discount),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long-term debt</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PARTNERS’ CAPITAL</w:t>
            </w: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2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000" w:right="580" w:hanging="294"/>
        <w:spacing w:after="0" w:line="27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March 31, 2010, we had classified $549 million of borrowings under our senior unsecured revolving credit facility as short-term. These borrowings were designated as working capital borrowings, must be repaid within one year and are primarily for hedged LPG and crude oil inventory and NYMEX and ICE margin deposits.</w:t>
      </w:r>
    </w:p>
    <w:p>
      <w:pPr>
        <w:spacing w:after="0" w:line="26" w:lineRule="exact"/>
        <w:rPr>
          <w:rFonts w:ascii="Arial" w:cs="Arial" w:eastAsia="Arial" w:hAnsi="Arial"/>
          <w:sz w:val="16"/>
          <w:szCs w:val="16"/>
          <w:color w:val="auto"/>
        </w:rPr>
      </w:pPr>
    </w:p>
    <w:p>
      <w:pPr>
        <w:ind w:left="1000" w:right="200" w:hanging="294"/>
        <w:spacing w:after="0" w:line="278"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notes were issued in July 2009 and the proceeds are being used to supplement capital available from our hedged inventory facility. At March 31, 2010, approximately $209 million had been used to fund hedged inventory and would be classified as short-term debt if funded on our credit facilities.</w:t>
      </w:r>
    </w:p>
    <w:p>
      <w:pPr>
        <w:spacing w:after="0" w:line="22" w:lineRule="exact"/>
        <w:rPr>
          <w:rFonts w:ascii="Arial" w:cs="Arial" w:eastAsia="Arial" w:hAnsi="Arial"/>
          <w:sz w:val="16"/>
          <w:szCs w:val="16"/>
          <w:color w:val="auto"/>
        </w:rPr>
      </w:pPr>
    </w:p>
    <w:p>
      <w:pPr>
        <w:ind w:left="1000" w:hanging="294"/>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Notes offered hereby will be issued under a separate base indenture than that under which such indicated series were issued.</w:t>
      </w:r>
    </w:p>
    <w:p>
      <w:pPr>
        <w:spacing w:after="0" w:line="200" w:lineRule="exact"/>
        <w:rPr>
          <w:sz w:val="20"/>
          <w:szCs w:val="20"/>
          <w:color w:val="auto"/>
        </w:rPr>
      </w:pPr>
    </w:p>
    <w:p>
      <w:pPr>
        <w:spacing w:after="0" w:line="20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will issue the Notes under an indenture (the “Base Indenture”) dated as of September 25, 2002, among us, the subsidiary guarantors and U.S. Bank National Association, as successor trustee, and a supplemental indenture thereto to be dated as of July 14, 2010 (such supplemental indenture, together with the Base Indenture, the “Indenture”). The Notes will constitute a new series of debt securities under the Indenture, and eleven other series are now outstanding under the Base Indenture, each issued under a separate supplemental indenture.</w:t>
      </w:r>
    </w:p>
    <w:p>
      <w:pPr>
        <w:spacing w:after="0" w:line="9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95"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w:t>
      </w:r>
    </w:p>
    <w:p>
      <w:pPr>
        <w:spacing w:after="0" w:line="71" w:lineRule="exact"/>
        <w:rPr>
          <w:sz w:val="20"/>
          <w:szCs w:val="20"/>
          <w:color w:val="auto"/>
        </w:rPr>
      </w:pPr>
    </w:p>
    <w:p>
      <w:pPr>
        <w:ind w:left="700" w:right="400" w:firstLine="397"/>
        <w:spacing w:after="0" w:line="259" w:lineRule="auto"/>
        <w:rPr>
          <w:sz w:val="20"/>
          <w:szCs w:val="20"/>
          <w:color w:val="auto"/>
        </w:rPr>
      </w:pPr>
      <w:r>
        <w:rPr>
          <w:rFonts w:ascii="Arial" w:cs="Arial" w:eastAsia="Arial" w:hAnsi="Arial"/>
          <w:sz w:val="18"/>
          <w:szCs w:val="18"/>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is only a summary, you should refer to the Indenture for a complete description of our obligations and your rights.</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description of the Notes and the guarantees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be:</w:t>
      </w:r>
    </w:p>
    <w:p>
      <w:pPr>
        <w:spacing w:after="0" w:line="131" w:lineRule="exact"/>
        <w:rPr>
          <w:sz w:val="20"/>
          <w:szCs w:val="20"/>
          <w:color w:val="auto"/>
        </w:rPr>
      </w:pPr>
    </w:p>
    <w:p>
      <w:pPr>
        <w:ind w:left="1400" w:hanging="707"/>
        <w:spacing w:after="0"/>
        <w:tabs>
          <w:tab w:leader="none" w:pos="1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debt;</w:t>
      </w:r>
    </w:p>
    <w:p>
      <w:pPr>
        <w:spacing w:after="0" w:line="140" w:lineRule="exact"/>
        <w:rPr>
          <w:rFonts w:ascii="Arial" w:cs="Arial" w:eastAsia="Arial" w:hAnsi="Arial"/>
          <w:sz w:val="16"/>
          <w:szCs w:val="16"/>
          <w:color w:val="auto"/>
        </w:rPr>
      </w:pPr>
    </w:p>
    <w:p>
      <w:pPr>
        <w:ind w:left="1400" w:hanging="707"/>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unconditionally guaranteed by the subsidiary guarantors;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series of debt securities issued under the Indenture;</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debt;</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debt, to the extent of the security for that debt; and</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junior to any existing and future debt of our subsidiaries that do not guarantee the Notes.</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Initially our obligations under the Notes will be jointly and severally guaranteed by all of the existing subsidiaries of Plains All American Pipeline other than (i) PAA Finance Corp., (ii) PNGS GP and PNG and their respective subsidiaries, (iii) subsidiaries regulated by the California Public Utilities Commission and</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40" w:hanging="7"/>
        <w:spacing w:after="0" w:line="277" w:lineRule="auto"/>
        <w:tabs>
          <w:tab w:leader="none" w:pos="10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subsidiaries that are minor, which we sometimes refer to collectively as the “non-guarantor subsidiaries.” Each guarantee by a subsidiary guarantor of the Notes will be:</w:t>
      </w:r>
    </w:p>
    <w:p>
      <w:pPr>
        <w:spacing w:after="0" w:line="76" w:lineRule="exact"/>
        <w:rPr>
          <w:sz w:val="20"/>
          <w:szCs w:val="20"/>
          <w:color w:val="auto"/>
        </w:rPr>
      </w:pPr>
    </w:p>
    <w:p>
      <w:pPr>
        <w:ind w:left="1400" w:hanging="707"/>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general unsecured obligation of that subsidiary guarantor;</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equal in right of payment with all other existing and future unsubordinated debt of that subsidiary guarantor;</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senior in right of payment to any future subordinated debt of that subsidiary guarantor; and</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junior to any secured debt of that subsidiary guarantor, to the extent of the security for that debt.</w:t>
      </w:r>
    </w:p>
    <w:p>
      <w:pPr>
        <w:spacing w:after="0" w:line="131"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As of March 31, 2010, on a pro forma basis as described under “Capitalization,” and as further adjusted to give effect to this offering and the application of the net proceeds therefrom as described under “Use of Proceeds,” the Notes and the guarantees would have been effectively subordinated to $85 million of short-term secured indebtedness. See “Risk Factors — Risks related to the Notes — Your right to receive payments on the Notes and subsidiary guarantees is unsecured and will be effectively subordinated to our and our subsidiary guarantors’ existing and future secured indebtedness as well as to any existing and future indebtedness of our subsidiaries that do not guarantee the Notes.”</w:t>
      </w:r>
    </w:p>
    <w:p>
      <w:pPr>
        <w:spacing w:after="0" w:line="99"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The Indenture does not limit the aggregate principal amount of debt securities that may be issued thereunder and provides that debt securities may be issued thereunder from time to time in one or more series. Except to the extent described under “— Covenants,” the Indenture does not limit our ability or the ability of our subsidiaries to incur either secured or unsecured additional indebtedness.</w:t>
      </w:r>
    </w:p>
    <w:p>
      <w:pPr>
        <w:spacing w:after="0" w:line="4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right="200" w:firstLine="397"/>
        <w:spacing w:after="0" w:line="279" w:lineRule="auto"/>
        <w:rPr>
          <w:sz w:val="20"/>
          <w:szCs w:val="20"/>
          <w:color w:val="auto"/>
        </w:rPr>
      </w:pPr>
      <w:r>
        <w:rPr>
          <w:rFonts w:ascii="Arial" w:cs="Arial" w:eastAsia="Arial" w:hAnsi="Arial"/>
          <w:sz w:val="17"/>
          <w:szCs w:val="17"/>
          <w:color w:val="auto"/>
        </w:rPr>
        <w:t>We may, from time to time, without notice to or the consent of the holders of the Notes, create and issue additional notes ranking equally and ratably with the Notes offered hereby in all respects, so that such additional notes form a single series with the Notes and have the same terms as to status, redemption or otherwise as the Notes (except for the issue date, the initial payment date, if applicable, and the payment of interest accruing prior to the issue date of such additional notes).</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Principal, maturity and interest</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will issue the Notes in an initial aggregate principal amount of $400 million. The Notes will mature on September 15, 2015. The Notes will bear interest at the annual rate of 3.95%. Interest on the Notes will accrue from July 14, 2010 and will be payable semi-annually in arrears on March 15 and September 15 of each year, beginning September 15, 2010. We will make each interest payment to the holders of record at the close of business on the March 1 and September 1 preceding such interest payment dates. Interest will be computed on the basis of a 360-day year consisting of twelve 30-day months. We will issue the Notes in minimum denominations of $2,000 and integral multiples of $1,000.</w:t>
      </w:r>
    </w:p>
    <w:p>
      <w:pPr>
        <w:spacing w:after="0" w:line="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liability of general partner</w:t>
      </w:r>
    </w:p>
    <w:p>
      <w:pPr>
        <w:spacing w:after="0" w:line="13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guarantees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Initially, our payment obligations under the Notes will be jointly and severally guaranteed by all of the existing Subsidiaries of Plains All American Pipeline other than the non-guarantor subsidiaries. The obligations of each subsidiary guarantor under its guarantee will be limited to the maximum amount that will, after giving effect to all other contingent and fixed liabilities of the subsidiary guarantor and to any collections from or payments made by or on behalf of any other subsidiary guarantor in respect of the obligations of the other subsidiary guarantor under its guarantee, result in the obligations of the subsidiary guarantor under the guarantee not constituting a fraudulent conveyance or fraudulent transfer under federal or state law.</w:t>
      </w:r>
    </w:p>
    <w:p>
      <w:pPr>
        <w:spacing w:after="0" w:line="84" w:lineRule="exact"/>
        <w:rPr>
          <w:sz w:val="20"/>
          <w:szCs w:val="20"/>
          <w:color w:val="auto"/>
        </w:rPr>
      </w:pPr>
    </w:p>
    <w:p>
      <w:pPr>
        <w:ind w:left="700" w:right="940" w:firstLine="397"/>
        <w:spacing w:after="0" w:line="277" w:lineRule="auto"/>
        <w:rPr>
          <w:sz w:val="20"/>
          <w:szCs w:val="20"/>
          <w:color w:val="auto"/>
        </w:rPr>
      </w:pPr>
      <w:r>
        <w:rPr>
          <w:rFonts w:ascii="Arial" w:cs="Arial" w:eastAsia="Arial" w:hAnsi="Arial"/>
          <w:sz w:val="18"/>
          <w:szCs w:val="18"/>
          <w:color w:val="auto"/>
        </w:rPr>
        <w:t>Provided that no default shall have occurred and shall be continuing under the Indenture, a subsidiary guarantor will be unconditionally released and discharged from its guarantee:</w:t>
      </w:r>
    </w:p>
    <w:p>
      <w:pPr>
        <w:spacing w:after="0" w:line="76" w:lineRule="exact"/>
        <w:rPr>
          <w:sz w:val="20"/>
          <w:szCs w:val="20"/>
          <w:color w:val="auto"/>
        </w:rPr>
      </w:pPr>
    </w:p>
    <w:p>
      <w:pPr>
        <w:ind w:left="1400" w:right="520" w:hanging="707"/>
        <w:spacing w:after="0" w:line="264"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73" w:lineRule="exact"/>
        <w:rPr>
          <w:rFonts w:ascii="Arial" w:cs="Arial" w:eastAsia="Arial" w:hAnsi="Arial"/>
          <w:sz w:val="18"/>
          <w:szCs w:val="18"/>
          <w:color w:val="auto"/>
        </w:rPr>
      </w:pPr>
    </w:p>
    <w:p>
      <w:pPr>
        <w:ind w:left="1400" w:right="160" w:hanging="707"/>
        <w:spacing w:after="0" w:line="277"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w:t>
      </w:r>
    </w:p>
    <w:p>
      <w:pPr>
        <w:spacing w:after="0" w:line="62" w:lineRule="exact"/>
        <w:rPr>
          <w:rFonts w:ascii="Arial" w:cs="Arial" w:eastAsia="Arial" w:hAnsi="Arial"/>
          <w:sz w:val="18"/>
          <w:szCs w:val="18"/>
          <w:color w:val="auto"/>
        </w:rPr>
      </w:pPr>
    </w:p>
    <w:p>
      <w:pPr>
        <w:jc w:val="both"/>
        <w:ind w:left="1400" w:right="180" w:hanging="707"/>
        <w:spacing w:after="0" w:line="264"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and any Subsidiary of Plains All American Pipeline (other than debt securities issued under the Indenture).</w:t>
      </w:r>
    </w:p>
    <w:p>
      <w:pPr>
        <w:spacing w:after="0" w:line="87"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Notes will be redeemable, in whole or in part, at our option at any time and from time to time prior to maturity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35 basis points, in each case together with accrued interest to the date of redemption.</w:t>
      </w:r>
    </w:p>
    <w:p>
      <w:pPr>
        <w:spacing w:after="0" w:line="8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87" w:lineRule="exact"/>
        <w:rPr>
          <w:sz w:val="20"/>
          <w:szCs w:val="20"/>
          <w:color w:val="auto"/>
        </w:rPr>
      </w:pPr>
    </w:p>
    <w:p>
      <w:pPr>
        <w:jc w:val="both"/>
        <w:ind w:left="700" w:right="34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w:t>
      </w:r>
    </w:p>
    <w:p>
      <w:pPr>
        <w:spacing w:after="0" w:line="92"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Reference Treasury Dealer Quotations, or (b) if the trustee obtains fewer than four Reference Treasury Dealer Quotations, the average of all such Reference Treasury Dealer Quotations.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131"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J.P. Morgan Securities Inc., Banc of America Securities LLC, BNP Paribas Securities Corp., and one other dealer selected by us that is a Primary Treasury Dealer and each of their successors; provided, however, that if any of the foregoing shall cease to be a primary U.S. government securities dealer in the United States (a “Primary Treasury Dealer”), we shall substitute another Primary Treasury Dealer.</w:t>
      </w:r>
    </w:p>
    <w:p>
      <w:pPr>
        <w:spacing w:after="0" w:line="92"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92"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76"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76" w:lineRule="exact"/>
        <w:rPr>
          <w:sz w:val="20"/>
          <w:szCs w:val="20"/>
          <w:color w:val="auto"/>
        </w:rPr>
      </w:pPr>
    </w:p>
    <w:p>
      <w:pPr>
        <w:ind w:left="700" w:right="700" w:firstLine="397"/>
        <w:spacing w:after="0" w:line="277"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76" w:lineRule="exact"/>
        <w:rPr>
          <w:sz w:val="20"/>
          <w:szCs w:val="20"/>
          <w:color w:val="auto"/>
        </w:rPr>
      </w:pPr>
    </w:p>
    <w:p>
      <w:pPr>
        <w:ind w:left="1400" w:right="40" w:hanging="707"/>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Notes are listed, in compliance with the requirements of the principal national securities exchange on which the Notes are listed; or</w:t>
      </w:r>
    </w:p>
    <w:p>
      <w:pPr>
        <w:spacing w:after="0" w:line="62" w:lineRule="exact"/>
        <w:rPr>
          <w:rFonts w:ascii="Arial" w:cs="Arial" w:eastAsia="Arial" w:hAnsi="Arial"/>
          <w:sz w:val="18"/>
          <w:szCs w:val="18"/>
          <w:color w:val="auto"/>
        </w:rPr>
      </w:pPr>
    </w:p>
    <w:p>
      <w:pPr>
        <w:ind w:left="1400" w:right="100" w:hanging="707"/>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76"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However, no Note with a principal amount of $2,000 or less will be redeemed in part. Notice of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131" w:lineRule="exact"/>
        <w:rPr>
          <w:sz w:val="20"/>
          <w:szCs w:val="20"/>
          <w:color w:val="auto"/>
        </w:rPr>
      </w:pPr>
    </w:p>
    <w:p>
      <w:pPr>
        <w:ind w:left="1400" w:hanging="707"/>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default in payment when due of the principal of or any premium on any Note at maturity, upon redemption or otherwise;</w:t>
      </w:r>
    </w:p>
    <w:p>
      <w:pPr>
        <w:spacing w:after="0" w:line="128" w:lineRule="exact"/>
        <w:rPr>
          <w:rFonts w:ascii="Arial" w:cs="Arial" w:eastAsia="Arial" w:hAnsi="Arial"/>
          <w:sz w:val="17"/>
          <w:szCs w:val="17"/>
          <w:color w:val="auto"/>
        </w:rPr>
      </w:pPr>
    </w:p>
    <w:p>
      <w:pPr>
        <w:ind w:left="1400" w:hanging="707"/>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117" w:lineRule="exact"/>
        <w:rPr>
          <w:rFonts w:ascii="Arial" w:cs="Arial" w:eastAsia="Arial" w:hAnsi="Arial"/>
          <w:sz w:val="18"/>
          <w:szCs w:val="18"/>
          <w:color w:val="auto"/>
        </w:rPr>
      </w:pPr>
    </w:p>
    <w:p>
      <w:pPr>
        <w:ind w:left="1400" w:right="200" w:hanging="707"/>
        <w:spacing w:after="0" w:line="259"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us or,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 Consolidation, merger or sale”);</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hanging="707"/>
        <w:spacing w:after="0" w:line="269" w:lineRule="auto"/>
        <w:tabs>
          <w:tab w:leader="none" w:pos="1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71" w:lineRule="exact"/>
        <w:rPr>
          <w:rFonts w:ascii="Arial" w:cs="Arial" w:eastAsia="Arial" w:hAnsi="Arial"/>
          <w:sz w:val="17"/>
          <w:szCs w:val="17"/>
          <w:color w:val="auto"/>
        </w:rPr>
      </w:pPr>
    </w:p>
    <w:p>
      <w:pPr>
        <w:ind w:left="1400" w:right="540" w:hanging="707"/>
        <w:spacing w:after="0" w:line="277"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so long as the Notes are guaranteed by a subsidiary guarantor, by such subsidiary guarantor; or</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 long as the Notes are guaranteed by a subsidiary guarantor:</w:t>
      </w:r>
    </w:p>
    <w:p>
      <w:pPr>
        <w:spacing w:after="0" w:line="130" w:lineRule="exact"/>
        <w:rPr>
          <w:rFonts w:ascii="Arial" w:cs="Arial" w:eastAsia="Arial" w:hAnsi="Arial"/>
          <w:sz w:val="18"/>
          <w:szCs w:val="18"/>
          <w:color w:val="auto"/>
        </w:rPr>
      </w:pPr>
    </w:p>
    <w:p>
      <w:pPr>
        <w:ind w:left="1900" w:right="460" w:hanging="505"/>
        <w:spacing w:after="0" w:line="277" w:lineRule="auto"/>
        <w:tabs>
          <w:tab w:leader="none" w:pos="1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62" w:lineRule="exact"/>
        <w:rPr>
          <w:rFonts w:ascii="Arial" w:cs="Arial" w:eastAsia="Arial" w:hAnsi="Arial"/>
          <w:sz w:val="18"/>
          <w:szCs w:val="18"/>
          <w:color w:val="auto"/>
        </w:rPr>
      </w:pPr>
    </w:p>
    <w:p>
      <w:pPr>
        <w:ind w:left="1900" w:hanging="505"/>
        <w:spacing w:after="0"/>
        <w:tabs>
          <w:tab w:leader="none" w:pos="1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117" w:lineRule="exact"/>
        <w:rPr>
          <w:rFonts w:ascii="Arial" w:cs="Arial" w:eastAsia="Arial" w:hAnsi="Arial"/>
          <w:sz w:val="18"/>
          <w:szCs w:val="18"/>
          <w:color w:val="auto"/>
        </w:rPr>
      </w:pPr>
    </w:p>
    <w:p>
      <w:pPr>
        <w:ind w:left="1900" w:hanging="505"/>
        <w:spacing w:after="0"/>
        <w:tabs>
          <w:tab w:leader="none" w:pos="1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131"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6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Within five days after any of our officers becomes aware of the occurrence of any Default (meaning an event that is, or after the giving of notice or passage of time or both would be, an Event of Default) or Event of Default with respect to the Notes, we are required to give an officers’ certificate to the trustee specifying the Default or Event of Default and what action we are taking or propose to take to cure it. In addition, we and the subsidiary guarantors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99"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If a Default with respect to the Notes occurs and is continuing and is known to the trustee, the trustee must mail to each holder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the holders.</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Consolidation, merger or sale</w:t>
      </w:r>
    </w:p>
    <w:p>
      <w:pPr>
        <w:spacing w:after="0" w:line="135" w:lineRule="exact"/>
        <w:rPr>
          <w:sz w:val="20"/>
          <w:szCs w:val="20"/>
          <w:color w:val="auto"/>
        </w:rPr>
      </w:pPr>
    </w:p>
    <w:p>
      <w:pPr>
        <w:jc w:val="both"/>
        <w:ind w:left="700" w:right="140" w:firstLine="397"/>
        <w:spacing w:after="0" w:line="286" w:lineRule="auto"/>
        <w:rPr>
          <w:sz w:val="20"/>
          <w:szCs w:val="20"/>
          <w:color w:val="auto"/>
        </w:rPr>
      </w:pPr>
      <w:r>
        <w:rPr>
          <w:rFonts w:ascii="Arial" w:cs="Arial" w:eastAsia="Arial" w:hAnsi="Arial"/>
          <w:sz w:val="17"/>
          <w:szCs w:val="17"/>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71" w:lineRule="exact"/>
        <w:rPr>
          <w:sz w:val="20"/>
          <w:szCs w:val="20"/>
          <w:color w:val="auto"/>
        </w:rPr>
      </w:pPr>
    </w:p>
    <w:p>
      <w:pPr>
        <w:ind w:left="1400" w:hanging="707"/>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130" w:lineRule="exact"/>
        <w:rPr>
          <w:rFonts w:ascii="Arial" w:cs="Arial" w:eastAsia="Arial" w:hAnsi="Arial"/>
          <w:sz w:val="18"/>
          <w:szCs w:val="18"/>
          <w:color w:val="auto"/>
        </w:rPr>
      </w:pPr>
    </w:p>
    <w:p>
      <w:pPr>
        <w:ind w:left="1900" w:right="40" w:hanging="505"/>
        <w:spacing w:after="0" w:line="259" w:lineRule="auto"/>
        <w:tabs>
          <w:tab w:leader="none" w:pos="1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78" w:lineRule="exact"/>
        <w:rPr>
          <w:rFonts w:ascii="Arial" w:cs="Arial" w:eastAsia="Arial" w:hAnsi="Arial"/>
          <w:sz w:val="18"/>
          <w:szCs w:val="18"/>
          <w:color w:val="auto"/>
        </w:rPr>
      </w:pPr>
    </w:p>
    <w:p>
      <w:pPr>
        <w:ind w:left="1900" w:right="200" w:hanging="505"/>
        <w:spacing w:after="0" w:line="286" w:lineRule="auto"/>
        <w:tabs>
          <w:tab w:leader="none" w:pos="19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70" w:lineRule="exact"/>
        <w:rPr>
          <w:rFonts w:ascii="Arial" w:cs="Arial" w:eastAsia="Arial" w:hAnsi="Arial"/>
          <w:sz w:val="17"/>
          <w:szCs w:val="17"/>
          <w:color w:val="auto"/>
        </w:rPr>
      </w:pPr>
    </w:p>
    <w:p>
      <w:pPr>
        <w:ind w:left="1400" w:right="240" w:hanging="707"/>
        <w:spacing w:after="0" w:line="277"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or series of transactions, no Default or Event of Default has occurred and is continuing;</w:t>
      </w:r>
    </w:p>
    <w:p>
      <w:pPr>
        <w:spacing w:after="0" w:line="62" w:lineRule="exact"/>
        <w:rPr>
          <w:rFonts w:ascii="Arial" w:cs="Arial" w:eastAsia="Arial" w:hAnsi="Arial"/>
          <w:sz w:val="18"/>
          <w:szCs w:val="18"/>
          <w:color w:val="auto"/>
        </w:rPr>
      </w:pPr>
    </w:p>
    <w:p>
      <w:pPr>
        <w:ind w:left="1400" w:hanging="707"/>
        <w:spacing w:after="0" w:line="264"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not the surviving Person, then each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73" w:lineRule="exact"/>
        <w:rPr>
          <w:rFonts w:ascii="Arial" w:cs="Arial" w:eastAsia="Arial" w:hAnsi="Arial"/>
          <w:sz w:val="18"/>
          <w:szCs w:val="18"/>
          <w:color w:val="auto"/>
        </w:rPr>
      </w:pPr>
    </w:p>
    <w:p>
      <w:pPr>
        <w:ind w:left="1400" w:right="300" w:hanging="707"/>
        <w:spacing w:after="0" w:line="259"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9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of the Indenture</w:t>
      </w:r>
    </w:p>
    <w:p>
      <w:pPr>
        <w:spacing w:after="0" w:line="135" w:lineRule="exact"/>
        <w:rPr>
          <w:sz w:val="20"/>
          <w:szCs w:val="20"/>
          <w:color w:val="auto"/>
        </w:rPr>
      </w:pPr>
    </w:p>
    <w:p>
      <w:pPr>
        <w:jc w:val="both"/>
        <w:ind w:left="700" w:right="60" w:firstLine="397"/>
        <w:spacing w:after="0" w:line="312" w:lineRule="auto"/>
        <w:rPr>
          <w:sz w:val="20"/>
          <w:szCs w:val="20"/>
          <w:color w:val="auto"/>
        </w:rPr>
      </w:pPr>
      <w:r>
        <w:rPr>
          <w:rFonts w:ascii="Arial" w:cs="Arial" w:eastAsia="Arial" w:hAnsi="Arial"/>
          <w:sz w:val="16"/>
          <w:szCs w:val="16"/>
          <w:color w:val="auto"/>
        </w:rPr>
        <w:t>Generally, we, the subsidiary guarantors and the trustee may amend or supplement the Indenture, the guarantees and the Notes with the written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52" w:lineRule="exact"/>
        <w:rPr>
          <w:sz w:val="20"/>
          <w:szCs w:val="20"/>
          <w:color w:val="auto"/>
        </w:rPr>
      </w:pPr>
    </w:p>
    <w:p>
      <w:pPr>
        <w:ind w:left="1400" w:hanging="707"/>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117" w:lineRule="exact"/>
        <w:rPr>
          <w:rFonts w:ascii="Arial" w:cs="Arial" w:eastAsia="Arial" w:hAnsi="Arial"/>
          <w:sz w:val="18"/>
          <w:szCs w:val="18"/>
          <w:color w:val="auto"/>
        </w:rPr>
      </w:pPr>
    </w:p>
    <w:p>
      <w:pPr>
        <w:ind w:left="1400" w:right="100" w:hanging="707"/>
        <w:spacing w:after="0" w:line="27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other provisions with respect to the redemption of any Notes;</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400" w:right="100" w:hanging="707"/>
        <w:spacing w:after="0" w:line="264"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73" w:lineRule="exact"/>
        <w:rPr>
          <w:rFonts w:ascii="Arial" w:cs="Arial" w:eastAsia="Arial" w:hAnsi="Arial"/>
          <w:sz w:val="18"/>
          <w:szCs w:val="18"/>
          <w:color w:val="auto"/>
        </w:rPr>
      </w:pPr>
    </w:p>
    <w:p>
      <w:pPr>
        <w:ind w:left="1400" w:hanging="707"/>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117" w:lineRule="exact"/>
        <w:rPr>
          <w:rFonts w:ascii="Arial" w:cs="Arial" w:eastAsia="Arial" w:hAnsi="Arial"/>
          <w:sz w:val="18"/>
          <w:szCs w:val="18"/>
          <w:color w:val="auto"/>
        </w:rPr>
      </w:pPr>
    </w:p>
    <w:p>
      <w:pPr>
        <w:ind w:left="1400" w:right="280" w:hanging="707"/>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117" w:lineRule="exact"/>
        <w:rPr>
          <w:rFonts w:ascii="Arial" w:cs="Arial" w:eastAsia="Arial" w:hAnsi="Arial"/>
          <w:sz w:val="18"/>
          <w:szCs w:val="18"/>
          <w:color w:val="auto"/>
        </w:rPr>
      </w:pPr>
    </w:p>
    <w:p>
      <w:pPr>
        <w:ind w:left="1400" w:hanging="707"/>
        <w:spacing w:after="0" w:line="308" w:lineRule="auto"/>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38" w:lineRule="exact"/>
        <w:rPr>
          <w:rFonts w:ascii="Arial" w:cs="Arial" w:eastAsia="Arial" w:hAnsi="Arial"/>
          <w:sz w:val="17"/>
          <w:szCs w:val="17"/>
          <w:color w:val="auto"/>
        </w:rPr>
      </w:pPr>
    </w:p>
    <w:p>
      <w:pPr>
        <w:ind w:left="1400" w:hanging="707"/>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76"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we, the subsidiary guarantors, and the trustee may amend or supplement the Indenture or the Notes:</w:t>
      </w:r>
    </w:p>
    <w:p>
      <w:pPr>
        <w:spacing w:after="0" w:line="76" w:lineRule="exact"/>
        <w:rPr>
          <w:sz w:val="20"/>
          <w:szCs w:val="20"/>
          <w:color w:val="auto"/>
        </w:rPr>
      </w:pPr>
    </w:p>
    <w:p>
      <w:pPr>
        <w:ind w:left="1400" w:hanging="707"/>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400" w:hanging="707"/>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 subsidiary guarantor’s obligations to holders of Notes in the case of a merger or consolidation or sale of all or substantially all of our assets;</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add or release subsidiary guarantors as permitted pursuant to the terms of the Indenture (see “— The guarantees”);</w:t>
      </w:r>
    </w:p>
    <w:p>
      <w:pPr>
        <w:spacing w:after="0" w:line="128" w:lineRule="exact"/>
        <w:rPr>
          <w:rFonts w:ascii="Arial" w:cs="Arial" w:eastAsia="Arial" w:hAnsi="Arial"/>
          <w:sz w:val="17"/>
          <w:szCs w:val="17"/>
          <w:color w:val="auto"/>
        </w:rPr>
      </w:pPr>
    </w:p>
    <w:p>
      <w:pPr>
        <w:ind w:left="1400" w:hanging="707"/>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62" w:lineRule="exact"/>
        <w:rPr>
          <w:rFonts w:ascii="Arial" w:cs="Arial" w:eastAsia="Arial" w:hAnsi="Arial"/>
          <w:sz w:val="18"/>
          <w:szCs w:val="18"/>
          <w:color w:val="auto"/>
        </w:rPr>
      </w:pPr>
    </w:p>
    <w:p>
      <w:pPr>
        <w:ind w:left="1400" w:right="900" w:hanging="707"/>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secure the Notes and/or the guarantees; or</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9" w:right="11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Covenants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Limitations on liens</w:t>
      </w:r>
    </w:p>
    <w:p>
      <w:pPr>
        <w:spacing w:after="0" w:line="131"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94" w:lineRule="exact"/>
        <w:rPr>
          <w:sz w:val="20"/>
          <w:szCs w:val="20"/>
          <w:color w:val="auto"/>
        </w:rPr>
      </w:pPr>
    </w:p>
    <w:p>
      <w:pPr>
        <w:ind w:left="1400" w:hanging="707"/>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1400" w:right="20" w:hanging="707"/>
        <w:spacing w:after="0" w:line="259"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78" w:lineRule="exact"/>
        <w:rPr>
          <w:rFonts w:ascii="Arial" w:cs="Arial" w:eastAsia="Arial" w:hAnsi="Arial"/>
          <w:sz w:val="18"/>
          <w:szCs w:val="18"/>
          <w:color w:val="auto"/>
        </w:rPr>
      </w:pPr>
    </w:p>
    <w:p>
      <w:pPr>
        <w:ind w:left="1400" w:right="20" w:hanging="707"/>
        <w:spacing w:after="0" w:line="259"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78" w:lineRule="exact"/>
        <w:rPr>
          <w:rFonts w:ascii="Arial" w:cs="Arial" w:eastAsia="Arial" w:hAnsi="Arial"/>
          <w:sz w:val="18"/>
          <w:szCs w:val="18"/>
          <w:color w:val="auto"/>
        </w:rPr>
      </w:pPr>
    </w:p>
    <w:p>
      <w:pPr>
        <w:ind w:left="1400" w:right="100" w:hanging="707"/>
        <w:spacing w:after="0" w:line="264"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73" w:lineRule="exact"/>
        <w:rPr>
          <w:rFonts w:ascii="Arial" w:cs="Arial" w:eastAsia="Arial" w:hAnsi="Arial"/>
          <w:sz w:val="18"/>
          <w:szCs w:val="18"/>
          <w:color w:val="auto"/>
        </w:rPr>
      </w:pPr>
    </w:p>
    <w:p>
      <w:pPr>
        <w:ind w:left="1400" w:right="60" w:hanging="707"/>
        <w:spacing w:after="0" w:line="264"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73" w:lineRule="exact"/>
        <w:rPr>
          <w:rFonts w:ascii="Arial" w:cs="Arial" w:eastAsia="Arial" w:hAnsi="Arial"/>
          <w:sz w:val="18"/>
          <w:szCs w:val="18"/>
          <w:color w:val="auto"/>
        </w:rPr>
      </w:pPr>
    </w:p>
    <w:p>
      <w:pPr>
        <w:ind w:left="1400" w:right="60" w:hanging="707"/>
        <w:spacing w:after="0" w:line="277"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62" w:lineRule="exact"/>
        <w:rPr>
          <w:rFonts w:ascii="Arial" w:cs="Arial" w:eastAsia="Arial" w:hAnsi="Arial"/>
          <w:sz w:val="18"/>
          <w:szCs w:val="18"/>
          <w:color w:val="auto"/>
        </w:rPr>
      </w:pPr>
    </w:p>
    <w:p>
      <w:pPr>
        <w:jc w:val="both"/>
        <w:ind w:left="1400" w:right="60" w:hanging="707"/>
        <w:spacing w:after="0" w:line="264"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73" w:lineRule="exact"/>
        <w:rPr>
          <w:rFonts w:ascii="Arial" w:cs="Arial" w:eastAsia="Arial" w:hAnsi="Arial"/>
          <w:sz w:val="18"/>
          <w:szCs w:val="18"/>
          <w:color w:val="auto"/>
        </w:rPr>
      </w:pPr>
    </w:p>
    <w:p>
      <w:pPr>
        <w:ind w:left="1400" w:hanging="707"/>
        <w:spacing w:after="0" w:line="291" w:lineRule="auto"/>
        <w:tabs>
          <w:tab w:leader="none" w:pos="1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3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right="60" w:hanging="707"/>
        <w:spacing w:after="0" w:line="277"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76"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10% of Consolidated Net Tangible Assets.</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Limitations on sale-leasebacks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131" w:lineRule="exact"/>
        <w:rPr>
          <w:sz w:val="20"/>
          <w:szCs w:val="20"/>
          <w:color w:val="auto"/>
        </w:rPr>
      </w:pPr>
    </w:p>
    <w:p>
      <w:pPr>
        <w:ind w:left="1400" w:hanging="707"/>
        <w:spacing w:after="0" w:line="264"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73" w:lineRule="exact"/>
        <w:rPr>
          <w:rFonts w:ascii="Arial" w:cs="Arial" w:eastAsia="Arial" w:hAnsi="Arial"/>
          <w:sz w:val="18"/>
          <w:szCs w:val="18"/>
          <w:color w:val="auto"/>
        </w:rPr>
      </w:pPr>
    </w:p>
    <w:p>
      <w:pPr>
        <w:ind w:left="1400" w:hanging="707"/>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117" w:lineRule="exact"/>
        <w:rPr>
          <w:rFonts w:ascii="Arial" w:cs="Arial" w:eastAsia="Arial" w:hAnsi="Arial"/>
          <w:sz w:val="18"/>
          <w:szCs w:val="18"/>
          <w:color w:val="auto"/>
        </w:rPr>
      </w:pPr>
    </w:p>
    <w:p>
      <w:pPr>
        <w:ind w:left="1400" w:right="180" w:hanging="707"/>
        <w:spacing w:after="0" w:line="264"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73" w:lineRule="exact"/>
        <w:rPr>
          <w:rFonts w:ascii="Arial" w:cs="Arial" w:eastAsia="Arial" w:hAnsi="Arial"/>
          <w:sz w:val="18"/>
          <w:szCs w:val="18"/>
          <w:color w:val="auto"/>
        </w:rPr>
      </w:pPr>
    </w:p>
    <w:p>
      <w:pPr>
        <w:ind w:left="1400" w:right="120" w:hanging="707"/>
        <w:spacing w:after="0" w:line="25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94"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 reports</w:t>
      </w:r>
    </w:p>
    <w:p>
      <w:pPr>
        <w:spacing w:after="0" w:line="13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4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 and discharge</w:t>
      </w:r>
    </w:p>
    <w:p>
      <w:pPr>
        <w:spacing w:after="0" w:line="135"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6"/>
          <w:szCs w:val="16"/>
          <w:color w:val="auto"/>
        </w:rPr>
        <w:t>At any time we may terminate all our obligations under the Indenture as they relate to the Notes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52"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Also, at any time we may terminate our obligations under covenants described in the last paragraph of “— The guarantees,” under “— Covenants” and under “— SEC reports” with respect to the Notes (“covenant defeasance”), and thereafter our failure to comply with any of such covenants would not constitute an Event of Default.</w:t>
      </w:r>
    </w:p>
    <w:p>
      <w:pPr>
        <w:spacing w:after="0" w:line="87" w:lineRule="exact"/>
        <w:rPr>
          <w:sz w:val="20"/>
          <w:szCs w:val="20"/>
          <w:color w:val="auto"/>
        </w:rPr>
      </w:pPr>
    </w:p>
    <w:p>
      <w:pPr>
        <w:ind w:left="700" w:right="160" w:firstLine="397"/>
        <w:spacing w:after="0" w:line="342"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exercise our legal defeasance option, each guarantee obligation will be deemed to have been discharged with respect to the Notes.</w:t>
      </w:r>
    </w:p>
    <w:p>
      <w:pPr>
        <w:spacing w:after="0" w:line="29"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to the effect that holders of the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73"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In the event of any legal defeasance, holders of the Notes would be entitled to look only to the trust for payment of principal of and any premium and interest on their Notes until maturity.</w:t>
      </w:r>
    </w:p>
    <w:p>
      <w:pPr>
        <w:spacing w:after="0" w:line="76"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94" w:lineRule="exact"/>
        <w:rPr>
          <w:sz w:val="20"/>
          <w:szCs w:val="20"/>
          <w:color w:val="auto"/>
        </w:rPr>
      </w:pPr>
    </w:p>
    <w:p>
      <w:pPr>
        <w:ind w:left="700" w:right="540" w:firstLine="397"/>
        <w:spacing w:after="0" w:line="308" w:lineRule="auto"/>
        <w:rPr>
          <w:sz w:val="20"/>
          <w:szCs w:val="20"/>
          <w:color w:val="auto"/>
        </w:rPr>
      </w:pPr>
      <w:r>
        <w:rPr>
          <w:rFonts w:ascii="Arial" w:cs="Arial" w:eastAsia="Arial" w:hAnsi="Arial"/>
          <w:sz w:val="17"/>
          <w:szCs w:val="17"/>
          <w:color w:val="auto"/>
        </w:rPr>
        <w:t>In addition, we may satisfy and discharge all our obligations under the Indenture with respect to the Notes, other than certain obligations to the trustee and our obligation to register the transfer of or exchange the Notes, provided that we either:</w:t>
      </w:r>
    </w:p>
    <w:p>
      <w:pPr>
        <w:spacing w:after="0" w:line="52" w:lineRule="exact"/>
        <w:rPr>
          <w:sz w:val="20"/>
          <w:szCs w:val="20"/>
          <w:color w:val="auto"/>
        </w:rPr>
      </w:pPr>
    </w:p>
    <w:p>
      <w:pPr>
        <w:ind w:left="1400" w:hanging="707"/>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117" w:lineRule="exact"/>
        <w:rPr>
          <w:rFonts w:ascii="Arial" w:cs="Arial" w:eastAsia="Arial" w:hAnsi="Arial"/>
          <w:sz w:val="18"/>
          <w:szCs w:val="18"/>
          <w:color w:val="auto"/>
        </w:rPr>
      </w:pPr>
    </w:p>
    <w:p>
      <w:pPr>
        <w:ind w:left="1400" w:hanging="707"/>
        <w:spacing w:after="0" w:line="257"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72"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 of Directors</w:t>
      </w:r>
      <w:r>
        <w:rPr>
          <w:rFonts w:ascii="Arial" w:cs="Arial" w:eastAsia="Arial" w:hAnsi="Arial"/>
          <w:sz w:val="17"/>
          <w:szCs w:val="17"/>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71"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Interests</w:t>
      </w:r>
      <w:r>
        <w:rPr>
          <w:rFonts w:ascii="Arial" w:cs="Arial" w:eastAsia="Arial" w:hAnsi="Arial"/>
          <w:sz w:val="16"/>
          <w:szCs w:val="16"/>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Tangible Assets</w:t>
      </w:r>
      <w:r>
        <w:rPr>
          <w:rFonts w:ascii="Arial" w:cs="Arial" w:eastAsia="Arial" w:hAnsi="Arial"/>
          <w:sz w:val="17"/>
          <w:szCs w:val="17"/>
          <w:color w:val="auto"/>
        </w:rPr>
        <w:t>” means, at any date of determination, the total amount of assets after deducting therefrom:</w:t>
      </w:r>
    </w:p>
    <w:p>
      <w:pPr>
        <w:spacing w:after="0" w:line="142" w:lineRule="exact"/>
        <w:rPr>
          <w:sz w:val="20"/>
          <w:szCs w:val="20"/>
          <w:color w:val="auto"/>
        </w:rPr>
      </w:pPr>
    </w:p>
    <w:p>
      <w:pPr>
        <w:ind w:left="1340" w:hanging="250"/>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130" w:lineRule="exact"/>
        <w:rPr>
          <w:rFonts w:ascii="Arial" w:cs="Arial" w:eastAsia="Arial" w:hAnsi="Arial"/>
          <w:sz w:val="18"/>
          <w:szCs w:val="18"/>
          <w:color w:val="auto"/>
        </w:rPr>
      </w:pPr>
    </w:p>
    <w:p>
      <w:pPr>
        <w:ind w:left="700" w:right="280" w:firstLine="787"/>
        <w:spacing w:after="0" w:line="277" w:lineRule="auto"/>
        <w:tabs>
          <w:tab w:leader="none" w:pos="173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75" w:lineRule="exact"/>
        <w:rPr>
          <w:rFonts w:ascii="Arial" w:cs="Arial" w:eastAsia="Arial" w:hAnsi="Arial"/>
          <w:sz w:val="18"/>
          <w:szCs w:val="18"/>
          <w:color w:val="auto"/>
        </w:rPr>
      </w:pPr>
    </w:p>
    <w:p>
      <w:pPr>
        <w:ind w:left="1740" w:hanging="253"/>
        <w:spacing w:after="0"/>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130" w:lineRule="exact"/>
        <w:rPr>
          <w:rFonts w:ascii="Arial" w:cs="Arial" w:eastAsia="Arial" w:hAnsi="Arial"/>
          <w:sz w:val="18"/>
          <w:szCs w:val="18"/>
          <w:color w:val="auto"/>
        </w:rPr>
      </w:pPr>
    </w:p>
    <w:p>
      <w:pPr>
        <w:ind w:left="1340" w:hanging="250"/>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 net of any applicable reserves, of all goodwill, trade names, trademarks, patents and other like intangible assets,</w:t>
      </w:r>
    </w:p>
    <w:p>
      <w:pPr>
        <w:spacing w:after="0" w:line="154"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Funded Debt</w:t>
      </w:r>
      <w:r>
        <w:rPr>
          <w:rFonts w:ascii="Arial" w:cs="Arial" w:eastAsia="Arial" w:hAnsi="Arial"/>
          <w:sz w:val="18"/>
          <w:szCs w:val="18"/>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Managing General Partner</w:t>
      </w:r>
      <w:r>
        <w:rPr>
          <w:rFonts w:ascii="Arial" w:cs="Arial" w:eastAsia="Arial" w:hAnsi="Arial"/>
          <w:sz w:val="16"/>
          <w:szCs w:val="16"/>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60"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Pari Passu Debt</w:t>
      </w:r>
      <w:r>
        <w:rPr>
          <w:rFonts w:ascii="Arial" w:cs="Arial" w:eastAsia="Arial" w:hAnsi="Arial"/>
          <w:sz w:val="17"/>
          <w:szCs w:val="17"/>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31" w:lineRule="exact"/>
        <w:rPr>
          <w:sz w:val="20"/>
          <w:szCs w:val="20"/>
          <w:color w:val="auto"/>
        </w:rPr>
      </w:pPr>
    </w:p>
    <w:p>
      <w:pPr>
        <w:ind w:left="1340" w:hanging="250"/>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130" w:lineRule="exact"/>
        <w:rPr>
          <w:rFonts w:ascii="Arial" w:cs="Arial" w:eastAsia="Arial" w:hAnsi="Arial"/>
          <w:sz w:val="18"/>
          <w:szCs w:val="18"/>
          <w:color w:val="auto"/>
        </w:rPr>
      </w:pPr>
    </w:p>
    <w:p>
      <w:pPr>
        <w:ind w:left="700" w:firstLine="390"/>
        <w:spacing w:after="0" w:line="259" w:lineRule="auto"/>
        <w:tabs>
          <w:tab w:leader="none" w:pos="13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92" w:lineRule="exact"/>
        <w:rPr>
          <w:rFonts w:ascii="Arial" w:cs="Arial" w:eastAsia="Arial" w:hAnsi="Arial"/>
          <w:sz w:val="18"/>
          <w:szCs w:val="18"/>
          <w:color w:val="auto"/>
        </w:rPr>
      </w:pPr>
    </w:p>
    <w:p>
      <w:pPr>
        <w:ind w:left="700" w:firstLine="390"/>
        <w:spacing w:after="0" w:line="277" w:lineRule="auto"/>
        <w:tabs>
          <w:tab w:leader="none" w:pos="13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75" w:lineRule="exact"/>
        <w:rPr>
          <w:rFonts w:ascii="Arial" w:cs="Arial" w:eastAsia="Arial" w:hAnsi="Arial"/>
          <w:sz w:val="18"/>
          <w:szCs w:val="18"/>
          <w:color w:val="auto"/>
        </w:rPr>
      </w:pPr>
    </w:p>
    <w:p>
      <w:pPr>
        <w:ind w:left="700" w:right="260" w:firstLine="390"/>
        <w:spacing w:after="0" w:line="277" w:lineRule="auto"/>
        <w:tabs>
          <w:tab w:leader="none" w:pos="13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75" w:lineRule="exact"/>
        <w:rPr>
          <w:rFonts w:ascii="Arial" w:cs="Arial" w:eastAsia="Arial" w:hAnsi="Arial"/>
          <w:sz w:val="18"/>
          <w:szCs w:val="18"/>
          <w:color w:val="auto"/>
        </w:rPr>
      </w:pPr>
    </w:p>
    <w:p>
      <w:pPr>
        <w:ind w:left="1340" w:hanging="250"/>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130" w:lineRule="exact"/>
        <w:rPr>
          <w:rFonts w:ascii="Arial" w:cs="Arial" w:eastAsia="Arial" w:hAnsi="Arial"/>
          <w:sz w:val="18"/>
          <w:szCs w:val="18"/>
          <w:color w:val="auto"/>
        </w:rPr>
      </w:pPr>
    </w:p>
    <w:p>
      <w:pPr>
        <w:ind w:left="700" w:right="60" w:firstLine="390"/>
        <w:spacing w:after="0" w:line="277" w:lineRule="auto"/>
        <w:tabs>
          <w:tab w:leader="none" w:pos="13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75" w:lineRule="exact"/>
        <w:rPr>
          <w:rFonts w:ascii="Arial" w:cs="Arial" w:eastAsia="Arial" w:hAnsi="Arial"/>
          <w:sz w:val="18"/>
          <w:szCs w:val="18"/>
          <w:color w:val="auto"/>
        </w:rPr>
      </w:pPr>
    </w:p>
    <w:p>
      <w:pPr>
        <w:ind w:left="700" w:right="320" w:firstLine="390"/>
        <w:spacing w:after="0" w:line="277" w:lineRule="auto"/>
        <w:tabs>
          <w:tab w:leader="none" w:pos="13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75" w:lineRule="exact"/>
        <w:rPr>
          <w:rFonts w:ascii="Arial" w:cs="Arial" w:eastAsia="Arial" w:hAnsi="Arial"/>
          <w:sz w:val="18"/>
          <w:szCs w:val="18"/>
          <w:color w:val="auto"/>
        </w:rPr>
      </w:pPr>
    </w:p>
    <w:p>
      <w:pPr>
        <w:ind w:left="700" w:right="500" w:firstLine="390"/>
        <w:spacing w:after="0" w:line="264" w:lineRule="auto"/>
        <w:tabs>
          <w:tab w:leader="none" w:pos="13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86" w:lineRule="exact"/>
        <w:rPr>
          <w:rFonts w:ascii="Arial" w:cs="Arial" w:eastAsia="Arial" w:hAnsi="Arial"/>
          <w:sz w:val="18"/>
          <w:szCs w:val="18"/>
          <w:color w:val="auto"/>
        </w:rPr>
      </w:pPr>
    </w:p>
    <w:p>
      <w:pPr>
        <w:ind w:left="1340" w:hanging="250"/>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130" w:lineRule="exact"/>
        <w:rPr>
          <w:rFonts w:ascii="Arial" w:cs="Arial" w:eastAsia="Arial" w:hAnsi="Arial"/>
          <w:sz w:val="18"/>
          <w:szCs w:val="18"/>
          <w:color w:val="auto"/>
        </w:rPr>
      </w:pPr>
    </w:p>
    <w:p>
      <w:pPr>
        <w:ind w:left="700" w:right="60" w:firstLine="390"/>
        <w:spacing w:after="0" w:line="302" w:lineRule="auto"/>
        <w:tabs>
          <w:tab w:leader="none" w:pos="14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59" w:lineRule="exact"/>
        <w:rPr>
          <w:rFonts w:ascii="Arial" w:cs="Arial" w:eastAsia="Arial" w:hAnsi="Arial"/>
          <w:sz w:val="16"/>
          <w:szCs w:val="16"/>
          <w:color w:val="auto"/>
        </w:rPr>
      </w:pPr>
    </w:p>
    <w:p>
      <w:pPr>
        <w:ind w:left="1420" w:hanging="330"/>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130" w:lineRule="exact"/>
        <w:rPr>
          <w:rFonts w:ascii="Arial" w:cs="Arial" w:eastAsia="Arial" w:hAnsi="Arial"/>
          <w:sz w:val="18"/>
          <w:szCs w:val="18"/>
          <w:color w:val="auto"/>
        </w:rPr>
      </w:pPr>
    </w:p>
    <w:p>
      <w:pPr>
        <w:jc w:val="both"/>
        <w:ind w:left="700" w:right="700" w:firstLine="390"/>
        <w:spacing w:after="0" w:line="264" w:lineRule="auto"/>
        <w:tabs>
          <w:tab w:leader="none" w:pos="14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77" w:lineRule="exact"/>
        <w:rPr>
          <w:sz w:val="20"/>
          <w:szCs w:val="20"/>
          <w:color w:val="auto"/>
        </w:rPr>
      </w:pPr>
    </w:p>
    <w:p>
      <w:pPr>
        <w:ind w:left="700" w:right="60" w:firstLine="390"/>
        <w:spacing w:after="0" w:line="277" w:lineRule="auto"/>
        <w:tabs>
          <w:tab w:leader="none" w:pos="14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75" w:lineRule="exact"/>
        <w:rPr>
          <w:rFonts w:ascii="Arial" w:cs="Arial" w:eastAsia="Arial" w:hAnsi="Arial"/>
          <w:sz w:val="18"/>
          <w:szCs w:val="18"/>
          <w:color w:val="auto"/>
        </w:rPr>
      </w:pPr>
    </w:p>
    <w:p>
      <w:pPr>
        <w:ind w:left="1440" w:hanging="350"/>
        <w:spacing w:after="0"/>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lien upon or deposits of any assets to secure performance of bids, trade contracts, leases or statutory obligations;</w:t>
      </w:r>
    </w:p>
    <w:p>
      <w:pPr>
        <w:spacing w:after="0" w:line="142" w:lineRule="exact"/>
        <w:rPr>
          <w:rFonts w:ascii="Arial" w:cs="Arial" w:eastAsia="Arial" w:hAnsi="Arial"/>
          <w:sz w:val="17"/>
          <w:szCs w:val="17"/>
          <w:color w:val="auto"/>
        </w:rPr>
      </w:pPr>
    </w:p>
    <w:p>
      <w:pPr>
        <w:ind w:left="700" w:right="80" w:firstLine="390"/>
        <w:spacing w:after="0" w:line="257" w:lineRule="auto"/>
        <w:tabs>
          <w:tab w:leader="none" w:pos="14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93" w:lineRule="exact"/>
        <w:rPr>
          <w:rFonts w:ascii="Arial" w:cs="Arial" w:eastAsia="Arial" w:hAnsi="Arial"/>
          <w:sz w:val="18"/>
          <w:szCs w:val="18"/>
          <w:color w:val="auto"/>
        </w:rPr>
      </w:pPr>
    </w:p>
    <w:p>
      <w:pPr>
        <w:ind w:left="700" w:right="140" w:firstLine="390"/>
        <w:spacing w:after="0" w:line="302" w:lineRule="auto"/>
        <w:tabs>
          <w:tab w:leader="none" w:pos="14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59" w:lineRule="exact"/>
        <w:rPr>
          <w:rFonts w:ascii="Arial" w:cs="Arial" w:eastAsia="Arial" w:hAnsi="Arial"/>
          <w:sz w:val="16"/>
          <w:szCs w:val="16"/>
          <w:color w:val="auto"/>
        </w:rPr>
      </w:pPr>
    </w:p>
    <w:p>
      <w:pPr>
        <w:ind w:left="700" w:right="80" w:firstLine="390"/>
        <w:spacing w:after="0" w:line="257" w:lineRule="auto"/>
        <w:tabs>
          <w:tab w:leader="none" w:pos="14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93" w:lineRule="exact"/>
        <w:rPr>
          <w:rFonts w:ascii="Arial" w:cs="Arial" w:eastAsia="Arial" w:hAnsi="Arial"/>
          <w:sz w:val="18"/>
          <w:szCs w:val="18"/>
          <w:color w:val="auto"/>
        </w:rPr>
      </w:pPr>
    </w:p>
    <w:p>
      <w:pPr>
        <w:ind w:left="700" w:right="380" w:firstLine="390"/>
        <w:spacing w:after="0" w:line="277" w:lineRule="auto"/>
        <w:tabs>
          <w:tab w:leader="none" w:pos="14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131" w:lineRule="exact"/>
        <w:rPr>
          <w:sz w:val="20"/>
          <w:szCs w:val="20"/>
          <w:color w:val="auto"/>
        </w:rPr>
      </w:pPr>
    </w:p>
    <w:p>
      <w:pPr>
        <w:ind w:left="700" w:right="340" w:firstLine="390"/>
        <w:spacing w:after="0" w:line="312" w:lineRule="auto"/>
        <w:tabs>
          <w:tab w:leader="none" w:pos="13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52" w:lineRule="exact"/>
        <w:rPr>
          <w:rFonts w:ascii="Arial" w:cs="Arial" w:eastAsia="Arial" w:hAnsi="Arial"/>
          <w:sz w:val="16"/>
          <w:szCs w:val="16"/>
          <w:color w:val="auto"/>
        </w:rPr>
      </w:pPr>
    </w:p>
    <w:p>
      <w:pPr>
        <w:ind w:left="700" w:firstLine="390"/>
        <w:spacing w:after="0" w:line="276" w:lineRule="auto"/>
        <w:tabs>
          <w:tab w:leader="none" w:pos="1352"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7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31" w:lineRule="exact"/>
        <w:rPr>
          <w:sz w:val="20"/>
          <w:szCs w:val="20"/>
          <w:color w:val="auto"/>
        </w:rPr>
      </w:pPr>
    </w:p>
    <w:p>
      <w:pPr>
        <w:ind w:left="700" w:right="80" w:firstLine="390"/>
        <w:spacing w:after="0" w:line="259" w:lineRule="auto"/>
        <w:tabs>
          <w:tab w:leader="none" w:pos="13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92" w:lineRule="exact"/>
        <w:rPr>
          <w:rFonts w:ascii="Arial" w:cs="Arial" w:eastAsia="Arial" w:hAnsi="Arial"/>
          <w:sz w:val="18"/>
          <w:szCs w:val="18"/>
          <w:color w:val="auto"/>
        </w:rPr>
      </w:pPr>
    </w:p>
    <w:p>
      <w:pPr>
        <w:jc w:val="both"/>
        <w:ind w:left="700" w:right="360" w:firstLine="390"/>
        <w:spacing w:after="0" w:line="264" w:lineRule="auto"/>
        <w:tabs>
          <w:tab w:leader="none" w:pos="13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BOOK ENTRY, DELIVERY AND FORM</w:t>
      </w:r>
    </w:p>
    <w:p>
      <w:pPr>
        <w:spacing w:after="0" w:line="135"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5"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Depository procedures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80"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87"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99"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 entry Notes for certificated Notes.”</w:t>
      </w:r>
    </w:p>
    <w:p>
      <w:pPr>
        <w:spacing w:after="0" w:line="66" w:lineRule="exact"/>
        <w:rPr>
          <w:sz w:val="20"/>
          <w:szCs w:val="20"/>
          <w:color w:val="auto"/>
        </w:rPr>
      </w:pPr>
    </w:p>
    <w:p>
      <w:pPr>
        <w:ind w:left="700" w:right="140" w:firstLine="397"/>
        <w:spacing w:after="0" w:line="266"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86"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83" w:lineRule="exact"/>
        <w:rPr>
          <w:sz w:val="20"/>
          <w:szCs w:val="20"/>
          <w:color w:val="auto"/>
        </w:rPr>
      </w:pPr>
    </w:p>
    <w:p>
      <w:pPr>
        <w:ind w:left="700" w:right="140" w:firstLine="397"/>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69" w:lineRule="exact"/>
        <w:rPr>
          <w:sz w:val="20"/>
          <w:szCs w:val="20"/>
          <w:color w:val="auto"/>
        </w:rPr>
      </w:pPr>
    </w:p>
    <w:p>
      <w:pPr>
        <w:ind w:left="700" w:right="120" w:firstLine="397"/>
        <w:spacing w:after="0" w:line="261" w:lineRule="auto"/>
        <w:rPr>
          <w:sz w:val="20"/>
          <w:szCs w:val="20"/>
          <w:color w:val="auto"/>
        </w:rPr>
      </w:pPr>
      <w:r>
        <w:rPr>
          <w:rFonts w:ascii="Arial" w:cs="Arial" w:eastAsia="Arial" w:hAnsi="Arial"/>
          <w:sz w:val="18"/>
          <w:szCs w:val="18"/>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37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87"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9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 entry Notes for certificated Notes” occurs, DTC reserves the right to exchange the Global Notes for Notes in certificated form and to distribute such Notes to its Participants.</w:t>
      </w:r>
    </w:p>
    <w:p>
      <w:pPr>
        <w:spacing w:after="0" w:line="78"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Exchange of book entry Notes for certificated Notes</w:t>
      </w:r>
    </w:p>
    <w:p>
      <w:pPr>
        <w:spacing w:after="0" w:line="135" w:lineRule="exact"/>
        <w:rPr>
          <w:sz w:val="20"/>
          <w:szCs w:val="20"/>
          <w:color w:val="auto"/>
        </w:rPr>
      </w:pPr>
    </w:p>
    <w:p>
      <w:pPr>
        <w:ind w:left="700" w:right="200" w:firstLine="397"/>
        <w:spacing w:after="0" w:line="291"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w:t>
      </w:r>
    </w:p>
    <w:p>
      <w:pPr>
        <w:jc w:val="both"/>
        <w:ind w:left="700" w:right="20" w:hanging="7"/>
        <w:spacing w:after="0" w:line="255" w:lineRule="auto"/>
        <w:tabs>
          <w:tab w:leader="none" w:pos="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37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that may be relevant to the purchase, ownership and disposition of the Notes. The discussion is based on the Internal Revenue Code of 1986, as amended (the “Code”), existing and proposed Treasury Regulations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or an opinion of counsel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for money to investors, not including bond houses, brokers or similar persons or organizations acting in the capacity of underwriters, placement agents or wholesalers) and who hold the Notes as capital assets (generally property held for investment).</w:t>
      </w:r>
    </w:p>
    <w:p>
      <w:pPr>
        <w:spacing w:after="0" w:line="83" w:lineRule="exact"/>
        <w:rPr>
          <w:sz w:val="20"/>
          <w:szCs w:val="20"/>
          <w:color w:val="auto"/>
        </w:rPr>
      </w:pPr>
    </w:p>
    <w:p>
      <w:pPr>
        <w:ind w:left="700" w:right="360" w:firstLine="397"/>
        <w:spacing w:after="0" w:line="308" w:lineRule="auto"/>
        <w:rPr>
          <w:sz w:val="20"/>
          <w:szCs w:val="20"/>
          <w:color w:val="auto"/>
        </w:rPr>
      </w:pPr>
      <w:r>
        <w:rPr>
          <w:rFonts w:ascii="Arial" w:cs="Arial" w:eastAsia="Arial" w:hAnsi="Arial"/>
          <w:sz w:val="17"/>
          <w:szCs w:val="17"/>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52" w:lineRule="exact"/>
        <w:rPr>
          <w:sz w:val="20"/>
          <w:szCs w:val="20"/>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117" w:lineRule="exact"/>
        <w:rPr>
          <w:rFonts w:ascii="Arial" w:cs="Arial" w:eastAsia="Arial" w:hAnsi="Arial"/>
          <w:sz w:val="18"/>
          <w:szCs w:val="18"/>
          <w:color w:val="auto"/>
        </w:rPr>
      </w:pPr>
    </w:p>
    <w:p>
      <w:pPr>
        <w:ind w:left="1400" w:right="20" w:hanging="707"/>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In addition, the discussion does not consider the effect of any applicable foreign, state, local or other tax laws or estate or gift tax considerations.</w:t>
      </w:r>
    </w:p>
    <w:p>
      <w:pPr>
        <w:spacing w:after="0" w:line="76"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If a partnership or other entity treated as a partnership for U.S. federal income tax purposes is a beneficial owner of Notes, the treatment of a partner in the partnership will generally depend upon the status of the partner and upon the activities of the partnership. Partners in partnerships acquiring Notes should consult their tax advisors.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PROSPECTIVE INVESTORS ARE ADVISED TO CONSULT THEIR TAX ADVISORS WITH REGARD TO THE APPLICATION OF THE TAX CONSEQUENCES DISCUSSED BELOW TO THEIR PARTICULAR SITUATIONS, AS WELL AS THE APPLICATION OF ANY STATE, LOCAL, FOREIGN OR OTHER TAX LAWS OR INCOME TAX TREATIES, OR SUBSEQUENT REVISIONS THEREOF.</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used herein, a “U.S. Holder” means a beneficial owner of a Note that is:</w:t>
      </w:r>
    </w:p>
    <w:p>
      <w:pPr>
        <w:spacing w:after="0" w:line="131" w:lineRule="exact"/>
        <w:rPr>
          <w:sz w:val="20"/>
          <w:szCs w:val="20"/>
          <w:color w:val="auto"/>
        </w:rPr>
      </w:pPr>
    </w:p>
    <w:p>
      <w:pPr>
        <w:ind w:left="1400" w:hanging="707"/>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400" w:right="140" w:hanging="707"/>
        <w:spacing w:after="0" w:line="277"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political subdivision thereof;</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400" w:right="40" w:hanging="707"/>
        <w:spacing w:after="0" w:line="286" w:lineRule="auto"/>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7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As used herein, a “Non-U.S. Holder” means a beneficial owner of a Note that is an individual, corporation, estate or trust and is not a U.S. Holder.</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Payments of interest</w:t>
      </w:r>
    </w:p>
    <w:p>
      <w:pPr>
        <w:spacing w:after="0" w:line="131"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Interest paid on a Note generally will be taxable to a U.S. Holder as ordinary income at the time it accrues or is received in accordance with the U.S. Holder’s regular method of accounting for U.S. federal income tax purposes.</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In certain circumstances (see “Description of Notes — Optional redemption”), we may pay amounts in excess of the stated interest and principal on the Notes. We intend to take the position that the possibility that such additional amounts will be paid does not cause the Notes to be treated as contingent payment debt instruments. Our determination is binding on a U.S. Holder, unless such holder explicitly discloses a contrary position to the IRS in the manner prescribed by applicable Treasury regulations. Our determination is not binding on the IRS. It is possible that the IRS might take a different position, in which case, the timing, character and amount of taxable income in respect of the Notes may be different from that described herein.</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Disposition of Notes</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Upon the sale, retirement, redemption or other taxable disposition of a Note, a U.S. Holder will generally recognize capital gain or loss equal to the difference between the amount realized on the disposition (not including any amount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99"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In general, gain or loss realized on the sale,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Information reporting will apply to payments of interest on, and the proceeds of the sale, retirement, redemption or other disposition of, Notes held by a U.S. Holder, and backup withholding may apply unless the U.S. Holder provides the appropriate intermediary with a taxpayer identification number, certified under penalties of perjury, as well as certain other information or otherwise establishes an exemption from backup withholding. Any amount withheld under the backup withholding rules is allowable as a credit against the</w:t>
      </w:r>
    </w:p>
    <w:p>
      <w:pPr>
        <w:spacing w:after="0" w:line="2" w:lineRule="exact"/>
        <w:rPr>
          <w:sz w:val="20"/>
          <w:szCs w:val="20"/>
          <w:color w:val="auto"/>
        </w:rPr>
      </w:pPr>
    </w:p>
    <w:p>
      <w:pPr>
        <w:ind w:left="700" w:right="260"/>
        <w:spacing w:after="0" w:line="323" w:lineRule="auto"/>
        <w:rPr>
          <w:sz w:val="20"/>
          <w:szCs w:val="20"/>
          <w:color w:val="auto"/>
        </w:rPr>
      </w:pPr>
      <w:r>
        <w:rPr>
          <w:rFonts w:ascii="Arial" w:cs="Arial" w:eastAsia="Arial" w:hAnsi="Arial"/>
          <w:sz w:val="16"/>
          <w:szCs w:val="16"/>
          <w:color w:val="auto"/>
        </w:rPr>
        <w:t>U.S. Holder’s U.S. federal income tax liability, if any, and a refund may be obtained if the amounts withheld exceed the U.S. Holder’s actual U.S. federal income tax liability and the U.S. Holder provides the required information or appropriate claim form to the IRS.</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Payments of interest</w:t>
      </w:r>
    </w:p>
    <w:p>
      <w:pPr>
        <w:spacing w:after="0" w:line="131"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w:t>
      </w:r>
    </w:p>
    <w:p>
      <w:pPr>
        <w:spacing w:after="0" w:line="87" w:lineRule="exact"/>
        <w:rPr>
          <w:sz w:val="20"/>
          <w:szCs w:val="20"/>
          <w:color w:val="auto"/>
        </w:rPr>
      </w:pPr>
    </w:p>
    <w:p>
      <w:pPr>
        <w:ind w:left="1400" w:hanging="707"/>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actually or constructively own 10% or more of our capital or profits interests;</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is not a controlled foreign corporation for U.S. federal income tax purposes that is related directly or indirectly to us; and</w:t>
      </w:r>
    </w:p>
    <w:p>
      <w:pPr>
        <w:spacing w:after="0" w:line="128" w:lineRule="exact"/>
        <w:rPr>
          <w:rFonts w:ascii="Arial" w:cs="Arial" w:eastAsia="Arial" w:hAnsi="Arial"/>
          <w:sz w:val="17"/>
          <w:szCs w:val="17"/>
          <w:color w:val="auto"/>
        </w:rPr>
      </w:pPr>
    </w:p>
    <w:p>
      <w:pPr>
        <w:ind w:left="1400" w:right="680" w:hanging="707"/>
        <w:spacing w:after="0" w:line="277"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not a bank whose receipt of interest on the Note is in connection with an extension of credit made pursuant to a loan agreement entered into in the ordinary course of business.</w:t>
      </w:r>
    </w:p>
    <w:p>
      <w:pPr>
        <w:spacing w:after="0" w:line="76"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color w:val="auto"/>
        </w:rPr>
        <w:t>The portfolio interest exemption and several of the special rules for Non-U.S. Holders described below generally apply only if a Non-U.S. Holder appropriately certifies as to his foreign status. A Non-U.S. Holder can generally meet this certification requirement by providing a properly executed IRS Form W-8BEN or appropriate substitute form to us, or our paying agent.</w:t>
      </w:r>
    </w:p>
    <w:p>
      <w:pPr>
        <w:spacing w:after="0" w:line="71"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If a Non-U.S. Holder holds the Notes through a financial institution or other agent acting on his behalf, that Non-U.S. Holder may be required to provide appropriate certifications to the agent. That agent will then generally be required to provide appropriate certifications to us or our paying agent, either directly or through other intermediaries. Special rules apply to foreign partnerships, estates and trusts, and in certain circumstances certifications as to foreign status of partners, trust owners or beneficiaries may have to be provided to us or our paying agent. In addition, special rules apply to qualified intermediaries that enter into withholding agreements with the IRS. If a Non-U.S. Holder cannot satisfy the requirements described in the two preceding paragraphs, payments of interest made to the Non-U.S. Holder will be subject to a 30% U.S. federal withholding tax, unless the Non-U.S. Holder provides us with a properly executed (1) IRS Form W-8BEN (or successor form) claiming an exemption from or reduction in the rate of withholding under the benefit of an income tax treaty or (2) IRS Form W-8ECI (or successor form) stating that the interest paid on the Note is not subject to withholding tax because it is effectively connected with the Non-U.S. Holder’s conduct of a trade or business in the United States (and if required by an applicable income tax treaty, is treated as attributable to a permanent establishment in the United States). See “— Income or gain effectively connected with a U.S. trade or business.”</w:t>
      </w:r>
    </w:p>
    <w:p>
      <w:pPr>
        <w:spacing w:after="0" w:line="3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Disposition of Notes</w:t>
      </w:r>
    </w:p>
    <w:p>
      <w:pPr>
        <w:spacing w:after="0" w:line="131"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Generally, a Non-U.S. Holder will not be subject to U.S. federal income tax with respect to gain realized on the sale, retirement, redemption or other disposition of a Note unless:</w:t>
      </w:r>
    </w:p>
    <w:p>
      <w:pPr>
        <w:spacing w:after="0" w:line="76" w:lineRule="exact"/>
        <w:rPr>
          <w:sz w:val="20"/>
          <w:szCs w:val="20"/>
          <w:color w:val="auto"/>
        </w:rPr>
      </w:pPr>
    </w:p>
    <w:p>
      <w:pPr>
        <w:ind w:left="1480" w:right="20" w:hanging="382"/>
        <w:spacing w:after="0" w:line="308" w:lineRule="auto"/>
        <w:tabs>
          <w:tab w:leader="none" w:pos="1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in the United States (and if an applicable income tax treaty so requires, is attributable to a permanent establishment in the United States); or</w:t>
      </w:r>
    </w:p>
    <w:p>
      <w:pPr>
        <w:spacing w:after="0" w:line="38" w:lineRule="exact"/>
        <w:rPr>
          <w:rFonts w:ascii="Arial" w:cs="Arial" w:eastAsia="Arial" w:hAnsi="Arial"/>
          <w:sz w:val="17"/>
          <w:szCs w:val="17"/>
          <w:color w:val="auto"/>
        </w:rPr>
      </w:pPr>
    </w:p>
    <w:p>
      <w:pPr>
        <w:ind w:left="1480" w:right="440" w:hanging="382"/>
        <w:spacing w:after="0" w:line="277" w:lineRule="auto"/>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If you are a Non-U.S. Holder described in the first bullet point above, you generally will be subject to U.S. federal income tax in the manner described under “— Income or gain effectively connected with a U.S. trade or business”. If you are a Non-U.S. Holder described in the second bullet point above, you will be subject to a flat 30% U.S. federal income tax on the gain derived from the sale or other disposition, which may be offset by U.S. source capital losses.</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Income or gain effectively connected with a U.S. trade or business</w:t>
      </w:r>
    </w:p>
    <w:p>
      <w:pPr>
        <w:spacing w:after="0" w:line="131"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If a Non-U.S. Holder of a Note is engaged in a trade or business in the United States and interest on the Note is effectively connected with the conduct of such trade or business, then the income or gain from the Note will generally be subject to U.S. federal income tax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w:t>
      </w:r>
    </w:p>
    <w:p>
      <w:pPr>
        <w:spacing w:after="0" w:line="5" w:lineRule="exact"/>
        <w:rPr>
          <w:sz w:val="20"/>
          <w:szCs w:val="20"/>
          <w:color w:val="auto"/>
        </w:rPr>
      </w:pPr>
    </w:p>
    <w:p>
      <w:pPr>
        <w:jc w:val="both"/>
        <w:ind w:left="700" w:right="220"/>
        <w:spacing w:after="0" w:line="281" w:lineRule="auto"/>
        <w:rPr>
          <w:sz w:val="20"/>
          <w:szCs w:val="20"/>
          <w:color w:val="auto"/>
        </w:rPr>
      </w:pPr>
      <w:r>
        <w:rPr>
          <w:rFonts w:ascii="Arial" w:cs="Arial" w:eastAsia="Arial" w:hAnsi="Arial"/>
          <w:sz w:val="16"/>
          <w:szCs w:val="16"/>
          <w:color w:val="auto"/>
        </w:rPr>
        <w:t>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w:t>
      </w:r>
    </w:p>
    <w:p>
      <w:pPr>
        <w:spacing w:after="0" w:line="2" w:lineRule="exact"/>
        <w:rPr>
          <w:sz w:val="20"/>
          <w:szCs w:val="20"/>
          <w:color w:val="auto"/>
        </w:rPr>
      </w:pPr>
    </w:p>
    <w:p>
      <w:pPr>
        <w:ind w:left="700" w:right="60"/>
        <w:spacing w:after="0" w:line="261" w:lineRule="auto"/>
        <w:rPr>
          <w:sz w:val="20"/>
          <w:szCs w:val="20"/>
          <w:color w:val="auto"/>
        </w:rPr>
      </w:pPr>
      <w:r>
        <w:rPr>
          <w:rFonts w:ascii="Arial" w:cs="Arial" w:eastAsia="Arial" w:hAnsi="Arial"/>
          <w:sz w:val="18"/>
          <w:szCs w:val="18"/>
          <w:color w:val="auto"/>
        </w:rPr>
        <w:t>Form W-8ECI (or IRS Form W-8BEN claiming exemption under an applicable income tax treaty) or appropriate substitute form to us, or our paying agent.</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Payments to a Non-U.S. Holder of interest on a Note, and amounts withheld from such payments, if any, generally will be required to be reported to the IRS and to the Non-U.S. Holder.</w:t>
      </w:r>
    </w:p>
    <w:p>
      <w:pPr>
        <w:spacing w:after="0" w:line="76"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United States backup withholding tax generally will not apply to payments of interest and principal on a Note to a Non-U.S. Holder if the statement described in “— Payments of interest” is duly provided by the holder or the holder otherwise establishes an exemption, provided that we do not have actual knowledge or reason to know that the holder is a United States person.</w:t>
      </w:r>
    </w:p>
    <w:p>
      <w:pPr>
        <w:spacing w:after="0" w:line="71"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Payment of the proceeds of a sale of a Note effected by the U.S. office of a U.S. or foreign broker will be subject to information reporting requirements and backup withholding unless the Non-U.S. Holder properly certifies under penalties of perjury as to his foreign status and certain other conditions are met or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exemption, information reporting will apply to a payment of the proceeds of the sale of a Note effected outside the United States by such a broker if the broker is:</w:t>
      </w:r>
    </w:p>
    <w:p>
      <w:pPr>
        <w:spacing w:after="0" w:line="76" w:lineRule="exact"/>
        <w:rPr>
          <w:sz w:val="20"/>
          <w:szCs w:val="20"/>
          <w:color w:val="auto"/>
        </w:rPr>
      </w:pPr>
    </w:p>
    <w:p>
      <w:pPr>
        <w:ind w:left="1400" w:hanging="707"/>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117" w:lineRule="exact"/>
        <w:rPr>
          <w:rFonts w:ascii="Arial" w:cs="Arial" w:eastAsia="Arial" w:hAnsi="Arial"/>
          <w:sz w:val="18"/>
          <w:szCs w:val="18"/>
          <w:color w:val="auto"/>
        </w:rPr>
      </w:pPr>
    </w:p>
    <w:p>
      <w:pPr>
        <w:ind w:left="1400" w:right="40" w:hanging="707"/>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foreign person that derives 50% or more of its gross income for certain periods from the conduct of a trade or business in the United States;</w:t>
      </w:r>
    </w:p>
    <w:p>
      <w:pPr>
        <w:spacing w:after="0" w:line="62" w:lineRule="exact"/>
        <w:rPr>
          <w:rFonts w:ascii="Arial" w:cs="Arial" w:eastAsia="Arial" w:hAnsi="Arial"/>
          <w:sz w:val="18"/>
          <w:szCs w:val="18"/>
          <w:color w:val="auto"/>
        </w:rPr>
      </w:pPr>
    </w:p>
    <w:p>
      <w:pPr>
        <w:ind w:left="1400" w:hanging="707"/>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 or</w:t>
      </w:r>
    </w:p>
    <w:p>
      <w:pPr>
        <w:spacing w:after="0" w:line="117" w:lineRule="exact"/>
        <w:rPr>
          <w:rFonts w:ascii="Arial" w:cs="Arial" w:eastAsia="Arial" w:hAnsi="Arial"/>
          <w:sz w:val="18"/>
          <w:szCs w:val="18"/>
          <w:color w:val="auto"/>
        </w:rPr>
      </w:pPr>
    </w:p>
    <w:p>
      <w:pPr>
        <w:ind w:left="1400" w:right="220" w:hanging="707"/>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76"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Any amount withheld from payments to a Non-U.S. Holder under the backup withholding rules may be credited against such holder’s U.S. federal income tax liability, if any, and any excess may be refundable if the proper information is provided to the IRS.</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legislation</w:t>
      </w:r>
    </w:p>
    <w:p>
      <w:pPr>
        <w:spacing w:after="0" w:line="135"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For taxable years beginning after December 31, 2012, newly enacted legislation is scheduled to impose a 3.8% tax on the “net investment income” of certain U.S. individuals, and on the undistributed “net investment income” of certain estates and trusts. Among other items, “net investment income” would generally include gross income from interest, less certain deductions.</w:t>
      </w:r>
    </w:p>
    <w:p>
      <w:pPr>
        <w:spacing w:after="0" w:line="7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Prospective investors should consult their own tax advisors with respect to the tax consequences of the new legislation described above.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Subject to the terms and conditions set forth in an underwriting agreement, dated the date of this prospectus supplement, between us and the underwriters named below, we have agreed to sell to each of the underwriters, and the underwriters have agreed, severally and not jointly, to purchase, the principal amount of the Notes set forth opposite their respective names below:</w:t>
      </w:r>
    </w:p>
    <w:p>
      <w:pPr>
        <w:spacing w:after="0" w:line="8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Principal Amount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7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J.P. Morgan Securities Inc.</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Banc of America Securities LLC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BNP Paribas Securities Corp.</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Mizuho Securities USA Inc.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Scotia Capital (USA) Inc.</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ING Financial Markets LLC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SG Americas Securities, LLC</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U.S. Bancorp Investments, Inc.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BBVA Securities Inc.</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BMO Capital Markets 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Comerica Securities, Inc.</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Daiwa Capital Markets America Inc.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Morgan Stanley &amp; Co. Incorporated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Natixis Bleichroeder LLC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The Williams Capital Group, L.P.</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20" w:type="dxa"/>
            <w:vAlign w:val="bottom"/>
          </w:tcPr>
          <w:p>
            <w:pPr>
              <w:ind w:left="140"/>
              <w:spacing w:after="0"/>
              <w:rPr>
                <w:sz w:val="20"/>
                <w:szCs w:val="20"/>
                <w:color w:val="auto"/>
              </w:rPr>
            </w:pPr>
            <w:r>
              <w:rPr>
                <w:rFonts w:ascii="Arial" w:cs="Arial" w:eastAsia="Arial" w:hAnsi="Arial"/>
                <w:sz w:val="16"/>
                <w:szCs w:val="16"/>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400,000,000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Commissions and discounts</w:t>
      </w:r>
    </w:p>
    <w:p>
      <w:pPr>
        <w:spacing w:after="0" w:line="135"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The underwriters propose initially to offer the Notes to the public at the public offering price set forth on the cover page of this prospectus supplement and may offer the Notes to certain dealers at such price less a concession not in excess of 0.350% of the principal amount of the Notes. The underwriters may allow a discount not in excess of 0.225% of the principal amount of the Notes on sales to certain other brokers and dealers. After this initial public offering, the public offering price, concession and discount may be changed.</w:t>
      </w:r>
    </w:p>
    <w:p>
      <w:pPr>
        <w:spacing w:after="0" w:line="60"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860" w:type="dxa"/>
            <w:vAlign w:val="bottom"/>
            <w:gridSpan w:val="2"/>
          </w:tcPr>
          <w:p>
            <w:pPr>
              <w:ind w:left="380"/>
              <w:spacing w:after="0"/>
              <w:rPr>
                <w:sz w:val="20"/>
                <w:szCs w:val="20"/>
                <w:color w:val="auto"/>
              </w:rPr>
            </w:pPr>
            <w:r>
              <w:rPr>
                <w:rFonts w:ascii="Arial" w:cs="Arial" w:eastAsia="Arial" w:hAnsi="Arial"/>
                <w:sz w:val="18"/>
                <w:szCs w:val="18"/>
                <w:color w:val="auto"/>
                <w:w w:val="93"/>
              </w:rPr>
              <w:t>The following table summarizes the compensation to be paid by us to the underwriters.</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1"/>
        </w:trPr>
        <w:tc>
          <w:tcPr>
            <w:tcW w:w="5420" w:type="dxa"/>
            <w:vAlign w:val="bottom"/>
          </w:tcPr>
          <w:p>
            <w:pPr>
              <w:spacing w:after="0"/>
              <w:rPr>
                <w:sz w:val="24"/>
                <w:szCs w:val="24"/>
                <w:color w:val="auto"/>
              </w:rPr>
            </w:pPr>
          </w:p>
        </w:tc>
        <w:tc>
          <w:tcPr>
            <w:tcW w:w="14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Per Note</w:t>
            </w:r>
          </w:p>
        </w:tc>
        <w:tc>
          <w:tcPr>
            <w:tcW w:w="5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64"/>
        </w:trPr>
        <w:tc>
          <w:tcPr>
            <w:tcW w:w="6860" w:type="dxa"/>
            <w:vAlign w:val="bottom"/>
            <w:gridSpan w:val="2"/>
          </w:tcPr>
          <w:p>
            <w:pPr>
              <w:spacing w:after="0"/>
              <w:rPr>
                <w:sz w:val="20"/>
                <w:szCs w:val="20"/>
                <w:color w:val="auto"/>
              </w:rPr>
            </w:pPr>
            <w:r>
              <w:rPr>
                <w:rFonts w:ascii="Arial" w:cs="Arial" w:eastAsia="Arial" w:hAnsi="Arial"/>
                <w:sz w:val="18"/>
                <w:szCs w:val="18"/>
                <w:color w:val="auto"/>
              </w:rPr>
              <w:t>Underwriting discount paid by us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0.600%</w:t>
            </w: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2,400,000</w:t>
            </w:r>
          </w:p>
        </w:tc>
      </w:tr>
      <w:tr>
        <w:trPr>
          <w:trHeight w:val="20"/>
        </w:trPr>
        <w:tc>
          <w:tcPr>
            <w:tcW w:w="5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$700,000.</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issue of Notes</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We do not intend to apply for listing of the Notes on a national securities exchange. We have been advised by the underwriters that the underwriters intend to make a market in the Notes but are not obligated to</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do so and may discontinue market making at any time without notice. No assurance can be given as to whether or not a trading market for the Notes will develop or as to the liquidity of any trading market for the Notes which may develop.</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Stabilization and short positions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European Economic Area</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Notes may not be made to the public in that Relevant Member State prior to the publication of a prospectus in relation to the Notes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Notes may be made to the public in that Relevant Member State at any time:</w:t>
      </w:r>
    </w:p>
    <w:p>
      <w:pPr>
        <w:spacing w:after="0" w:line="83" w:lineRule="exact"/>
        <w:rPr>
          <w:sz w:val="20"/>
          <w:szCs w:val="20"/>
          <w:color w:val="auto"/>
        </w:rPr>
      </w:pPr>
    </w:p>
    <w:p>
      <w:pPr>
        <w:ind w:left="1400" w:right="180" w:hanging="707"/>
        <w:spacing w:after="0" w:line="277"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legal entities that are authorized or regulated to operate in the financial markets or, if not so authorized or regulated, whose corporate purpose is solely to invest in securities;</w:t>
      </w:r>
    </w:p>
    <w:p>
      <w:pPr>
        <w:spacing w:after="0" w:line="62" w:lineRule="exact"/>
        <w:rPr>
          <w:rFonts w:ascii="Arial" w:cs="Arial" w:eastAsia="Arial" w:hAnsi="Arial"/>
          <w:sz w:val="18"/>
          <w:szCs w:val="18"/>
          <w:color w:val="auto"/>
        </w:rPr>
      </w:pPr>
    </w:p>
    <w:p>
      <w:pPr>
        <w:ind w:left="1400" w:right="40" w:hanging="707"/>
        <w:spacing w:after="0" w:line="264"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73" w:lineRule="exact"/>
        <w:rPr>
          <w:rFonts w:ascii="Arial" w:cs="Arial" w:eastAsia="Arial" w:hAnsi="Arial"/>
          <w:sz w:val="18"/>
          <w:szCs w:val="18"/>
          <w:color w:val="auto"/>
        </w:rPr>
      </w:pPr>
    </w:p>
    <w:p>
      <w:pPr>
        <w:ind w:left="1400" w:right="420" w:hanging="707"/>
        <w:spacing w:after="0" w:line="277"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76"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so as to enable an investor to decide to purchase or subscribe the Notes,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United Kingdom</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respect the United Kingdom, the underwriters:</w:t>
      </w:r>
    </w:p>
    <w:p>
      <w:pPr>
        <w:spacing w:after="0" w:line="131" w:lineRule="exact"/>
        <w:rPr>
          <w:sz w:val="20"/>
          <w:szCs w:val="20"/>
          <w:color w:val="auto"/>
        </w:rPr>
      </w:pPr>
    </w:p>
    <w:p>
      <w:pPr>
        <w:ind w:left="1400" w:right="80" w:hanging="707"/>
        <w:spacing w:after="0" w:line="286" w:lineRule="auto"/>
        <w:tabs>
          <w:tab w:leader="none" w:pos="14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may only communicate or cause to be communicated any invitation or inducement to engage in investment activity (within the meaning of Section 21 of the Financial Services and Markets Act 2000 (“FSMA”)) received by it in connection with the issue or sale of the Notes in circumstances in which Section 21(1) of the FSMA does not apply to us; and</w:t>
      </w:r>
    </w:p>
    <w:p>
      <w:pPr>
        <w:spacing w:after="0" w:line="57" w:lineRule="exact"/>
        <w:rPr>
          <w:rFonts w:ascii="Arial" w:cs="Arial" w:eastAsia="Arial" w:hAnsi="Arial"/>
          <w:sz w:val="17"/>
          <w:szCs w:val="17"/>
          <w:color w:val="auto"/>
        </w:rPr>
      </w:pPr>
    </w:p>
    <w:p>
      <w:pPr>
        <w:ind w:left="1400" w:right="40" w:hanging="707"/>
        <w:spacing w:after="0" w:line="277"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must comply with all applicable provisions of the FSMA with respect to anything done by it in relation to the Notes in, from or otherwise involving the United Kingdom.</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Conflicts of interest</w:t>
      </w:r>
    </w:p>
    <w:p>
      <w:pPr>
        <w:spacing w:after="0" w:line="135"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The underwriters and their respective affiliates have, from time to time, performed, and may in the future perform, various financial advisory, commercial banking and investment banking services for us and our affiliates, for which they received or will receive customary fees and expense reimbursement. Affiliates of certain of the underwriters are lenders under our credit facilities. These affiliates may receive their respective share of any repayment by us of amounts outstanding under our credit facilities from the proceeds of this offering. Each of the underwriters whose affiliates will receive at least 5% of the net proceeds is considered by the Financial Industry Regulatory Authority, Inc. to have a conflict of interest with us in regards to this offering. However, the appointment of a qualified independent underwriter is not necessary in connection with the offering because the offering is of a class of securities that are investment grade rated.</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relationships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Daiwa Capital Markets America Inc. (“DCMA”) has entered into an agreement with SMBC Securities, Inc. (“SMBCSI”) pursuant to which SMBCSI provides certain advisory and/or other services to DCMA, including services with respect to this offering. In return for the provision of such services by SMBCSI to DCMA, DCMA will pay to SMBCSI a mutually agreed-upon fee.</w:t>
      </w:r>
    </w:p>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260" w:firstLine="397"/>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4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Settlement</w:t>
      </w:r>
    </w:p>
    <w:p>
      <w:pPr>
        <w:spacing w:after="0" w:line="135"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We expect that delivery of the Notes will be made against payment therefor on or about the closing date specified on the cover page of this prospectus supplement, which will be the fifth business day following the date of this prospectus supplement. This settlement cycle is referred to as “T+5”. Under Rule 15c6-1 under the Exchange Act, trades in the secondary market generally are required to settle in three business days, unless the parties to any such trade expressly agree otherwise. Accordingly, purchasers who wish to trade Notes on the date of this prospectus supplement or the next succeeding business day will be required, by virtue of the fact that the Notes initially will settle in T+5, to specify an alternate settlement cycle at the time of any such trade to prevent a failed settlement. Purchasers of Notes who wish to trade Notes on the date of this prospectus supplement or the next succeeding business day should consult their own advisor.</w:t>
      </w:r>
    </w:p>
    <w:p>
      <w:pPr>
        <w:spacing w:after="0" w:line="3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8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2009, have been incorporated in reliance on the report of PricewaterhouseCoopers LLP, an independent registered public accounting firm, given on the authority of said firm as experts in auditing and accounting.</w:t>
      </w:r>
    </w:p>
    <w:p>
      <w:pPr>
        <w:spacing w:after="0" w:line="94"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balance sheet as of December 31, 2009 of PAA GP LLC incorporated in this prospectus supplement by reference to Plains All American Pipeline, L.P.’s Current Report on Form 8-K filed March 12, 2010, has been so incorporated in reliance on the report of PricewaterhouseCoopers LLP, an independent registered public accounting firm, given on the authority of said firm as experts in auditing and accounting.</w:t>
      </w:r>
    </w:p>
    <w:p>
      <w:pPr>
        <w:spacing w:after="0" w:line="1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are “incorporating by reference” into this prospectus supplement information we file with the SEC. This procedure means that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can disclose important information to you by referring you to documents filed with the SEC. The information we incorporate by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reference is part of this prospectus supplement and later information that we file with the SEC will automatically update and supersede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information. We incorporate by reference the documents listed below and any future filings we make with the SEC under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Sections 13(a), 13(c), 14 or 15(d) of the Exchange Act (excluding any information furnished and not filed pursuant to any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Form 8-K) until the offering, sale and initial resale of the Notes contemplated by this prospectus supplement are complete:</w:t>
      </w:r>
    </w:p>
    <w:p>
      <w:pPr>
        <w:spacing w:after="0" w:line="128" w:lineRule="exact"/>
        <w:rPr>
          <w:sz w:val="20"/>
          <w:szCs w:val="20"/>
          <w:color w:val="auto"/>
        </w:rPr>
      </w:pPr>
    </w:p>
    <w:p>
      <w:pPr>
        <w:ind w:left="1400" w:hanging="707"/>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w:t>
      </w:r>
    </w:p>
    <w:p>
      <w:pPr>
        <w:spacing w:after="0" w:line="117" w:lineRule="exact"/>
        <w:rPr>
          <w:rFonts w:ascii="Arial" w:cs="Arial" w:eastAsia="Arial" w:hAnsi="Arial"/>
          <w:sz w:val="18"/>
          <w:szCs w:val="18"/>
          <w:color w:val="auto"/>
        </w:rPr>
      </w:pPr>
    </w:p>
    <w:p>
      <w:pPr>
        <w:ind w:left="1400" w:hanging="707"/>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2010;</w:t>
      </w:r>
    </w:p>
    <w:p>
      <w:pPr>
        <w:spacing w:after="0" w:line="117" w:lineRule="exact"/>
        <w:rPr>
          <w:rFonts w:ascii="Arial" w:cs="Arial" w:eastAsia="Arial" w:hAnsi="Arial"/>
          <w:sz w:val="18"/>
          <w:szCs w:val="18"/>
          <w:color w:val="auto"/>
        </w:rPr>
      </w:pPr>
    </w:p>
    <w:p>
      <w:pPr>
        <w:ind w:left="1400" w:right="180" w:hanging="707"/>
        <w:spacing w:after="0" w:line="277"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February 22, 2010 (board of director changes, compensation arrangements for certain of our executive officers);</w:t>
      </w:r>
    </w:p>
    <w:p>
      <w:pPr>
        <w:spacing w:after="0" w:line="62" w:lineRule="exact"/>
        <w:rPr>
          <w:rFonts w:ascii="Arial" w:cs="Arial" w:eastAsia="Arial" w:hAnsi="Arial"/>
          <w:sz w:val="18"/>
          <w:szCs w:val="18"/>
          <w:color w:val="auto"/>
        </w:rPr>
      </w:pPr>
    </w:p>
    <w:p>
      <w:pPr>
        <w:ind w:left="1400" w:right="20" w:hanging="707"/>
        <w:spacing w:after="0" w:line="277"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12, 2010 (audited balance sheet of PAA GP LLC as of December 31, 2009); and</w:t>
      </w:r>
    </w:p>
    <w:p>
      <w:pPr>
        <w:spacing w:after="0" w:line="62" w:lineRule="exact"/>
        <w:rPr>
          <w:rFonts w:ascii="Arial" w:cs="Arial" w:eastAsia="Arial" w:hAnsi="Arial"/>
          <w:sz w:val="18"/>
          <w:szCs w:val="18"/>
          <w:color w:val="auto"/>
        </w:rPr>
      </w:pPr>
    </w:p>
    <w:p>
      <w:pPr>
        <w:ind w:left="1400" w:right="260" w:hanging="707"/>
        <w:spacing w:after="0" w:line="277"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June 17, 2010 (unaudited balance sheet of PAA GP LLC as of March 31, 2010).</w:t>
      </w:r>
    </w:p>
    <w:p>
      <w:pPr>
        <w:spacing w:after="0" w:line="76"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color w:val="auto"/>
        </w:rPr>
        <w:t>You may request a copy of these filings (other than any exhibits unless specifically incorporated by reference into this prospectus supplement and the accompanying prospectus) at no cost by making written or telephone requests for copies to:</w:t>
      </w:r>
    </w:p>
    <w:p>
      <w:pPr>
        <w:spacing w:after="0" w:line="160"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Telephone: (713) 646-4100</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Additionally, you may read and copy any materials that we have filed with the SEC at the SEC’s Public Reference Room at</w:t>
      </w:r>
    </w:p>
    <w:p>
      <w:pPr>
        <w:spacing w:after="0" w:line="35"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 xml:space="preserve">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w:t>
      </w:r>
    </w:p>
    <w:p>
      <w:pPr>
        <w:spacing w:after="0" w:line="9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prospectus is accurate as of any date other than its date.</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14"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PAA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119380</wp:posOffset>
            </wp:positionV>
            <wp:extent cx="11322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Common Units</w:t>
      </w:r>
    </w:p>
    <w:p>
      <w:pPr>
        <w:spacing w:after="0" w:line="38"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Debt Securities</w:t>
      </w:r>
    </w:p>
    <w:p>
      <w:pPr>
        <w:spacing w:after="0" w:line="112"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w:t>
      </w:r>
    </w:p>
    <w:p>
      <w:pPr>
        <w:spacing w:after="0" w:line="60"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81" w:lineRule="exact"/>
        <w:rPr>
          <w:sz w:val="20"/>
          <w:szCs w:val="20"/>
          <w:color w:val="auto"/>
        </w:rPr>
      </w:pPr>
    </w:p>
    <w:p>
      <w:pPr>
        <w:ind w:left="700" w:right="460" w:firstLine="397"/>
        <w:spacing w:after="0" w:line="301" w:lineRule="auto"/>
        <w:rPr>
          <w:sz w:val="20"/>
          <w:szCs w:val="20"/>
          <w:color w:val="auto"/>
        </w:rPr>
      </w:pPr>
      <w:r>
        <w:rPr>
          <w:rFonts w:ascii="Arial" w:cs="Arial" w:eastAsia="Arial" w:hAnsi="Arial"/>
          <w:sz w:val="19"/>
          <w:szCs w:val="19"/>
          <w:b w:val="1"/>
          <w:bCs w:val="1"/>
          <w:color w:val="auto"/>
        </w:rPr>
        <w:t>Investing in our common units and the debt securities involves risks. Limited partnerships are inherently different from corporations. You should carefully consider the risk factors described under “Risk Factors” beginning on page 6 of this prospectus before you make an investment in our securities.</w:t>
      </w:r>
    </w:p>
    <w:p>
      <w:pPr>
        <w:spacing w:after="0" w:line="42"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72" w:lineRule="exact"/>
        <w:rPr>
          <w:sz w:val="20"/>
          <w:szCs w:val="20"/>
          <w:color w:val="auto"/>
        </w:rPr>
      </w:pPr>
    </w:p>
    <w:p>
      <w:pPr>
        <w:ind w:left="700" w:right="280" w:firstLine="397"/>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7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date of this prospectus is October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92075</wp:posOffset>
            </wp:positionV>
            <wp:extent cx="11322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9"/>
        </w:trPr>
        <w:tc>
          <w:tcPr>
            <w:tcW w:w="78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400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WHO WE ARE</w:t>
              </w:r>
            </w:hyperlink>
          </w:p>
        </w:tc>
        <w:tc>
          <w:tcPr>
            <w:tcW w:w="1760" w:type="dxa"/>
            <w:vAlign w:val="bottom"/>
            <w:tcBorders>
              <w:top w:val="single" w:sz="8" w:color="0000EE"/>
            </w:tcBorders>
            <w:gridSpan w:val="6"/>
          </w:tcPr>
          <w:p>
            <w:pPr>
              <w:spacing w:after="0"/>
              <w:rPr>
                <w:sz w:val="17"/>
                <w:szCs w:val="17"/>
                <w:color w:val="auto"/>
              </w:rPr>
            </w:pPr>
          </w:p>
        </w:tc>
        <w:tc>
          <w:tcPr>
            <w:tcW w:w="48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USE OF PROCEEDS</w:t>
              </w:r>
            </w:hyperlink>
          </w:p>
        </w:tc>
        <w:tc>
          <w:tcPr>
            <w:tcW w:w="622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5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RATIO OF EARNINGS TO FIXED CHARGES</w:t>
              </w:r>
            </w:hyperlink>
          </w:p>
        </w:tc>
        <w:tc>
          <w:tcPr>
            <w:tcW w:w="430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OUR DEBT SECURITIES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DESCRIPTION OF OUR COMMON UNITS</w:t>
              </w:r>
            </w:hyperlink>
          </w:p>
        </w:tc>
        <w:tc>
          <w:tcPr>
            <w:tcW w:w="120" w:type="dxa"/>
            <w:vAlign w:val="bottom"/>
            <w:tcBorders>
              <w:top w:val="single" w:sz="8" w:color="0000EE"/>
            </w:tcBorders>
          </w:tcPr>
          <w:p>
            <w:pPr>
              <w:spacing w:after="0"/>
              <w:rPr>
                <w:sz w:val="17"/>
                <w:szCs w:val="17"/>
                <w:color w:val="auto"/>
              </w:rPr>
            </w:pPr>
          </w:p>
        </w:tc>
        <w:tc>
          <w:tcPr>
            <w:tcW w:w="436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8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CASH DISTRIBUTION POLICY</w:t>
              </w:r>
            </w:hyperlink>
          </w:p>
        </w:tc>
        <w:tc>
          <w:tcPr>
            <w:tcW w:w="532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OUR PARTNERSHIP AGREEMENT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MATERIAL INCOME TAX CONSIDERATIONS</w:t>
              </w:r>
            </w:hyperlink>
          </w:p>
        </w:tc>
        <w:tc>
          <w:tcPr>
            <w:tcW w:w="356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LEGAL MATTERS</w:t>
              </w:r>
            </w:hyperlink>
          </w:p>
        </w:tc>
        <w:tc>
          <w:tcPr>
            <w:tcW w:w="416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4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636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20" w:firstLine="397"/>
        <w:spacing w:after="0" w:line="266"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82" w:lineRule="exact"/>
        <w:rPr>
          <w:sz w:val="20"/>
          <w:szCs w:val="20"/>
          <w:color w:val="auto"/>
        </w:rPr>
      </w:pPr>
    </w:p>
    <w:p>
      <w:pPr>
        <w:ind w:right="40" w:firstLine="397"/>
        <w:spacing w:after="0" w:line="281" w:lineRule="auto"/>
        <w:rPr>
          <w:sz w:val="20"/>
          <w:szCs w:val="20"/>
          <w:color w:val="auto"/>
        </w:rPr>
      </w:pPr>
      <w:r>
        <w:rPr>
          <w:rFonts w:ascii="Arial" w:cs="Arial" w:eastAsia="Arial" w:hAnsi="Arial"/>
          <w:sz w:val="17"/>
          <w:szCs w:val="17"/>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2" w:right="10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6"/>
          <w:szCs w:val="16"/>
          <w:color w:val="auto"/>
        </w:rPr>
        <w:t>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5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w:t>
      </w:r>
    </w:p>
    <w:p>
      <w:pPr>
        <w:spacing w:after="0" w:line="95"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72" w:lineRule="exact"/>
        <w:rPr>
          <w:sz w:val="20"/>
          <w:szCs w:val="20"/>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2009 and June 30, 2009;</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25, 2009 (compensation arrangements for certain of our executive officers);</w:t>
      </w:r>
    </w:p>
    <w:p>
      <w:pPr>
        <w:spacing w:after="0" w:line="62"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12, 2009 (audited balance sheet of PAA GP LLC as of December 31, 2008);</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March 18, 2009 (documentation related to equity offering);</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20, 2009 (documentation related to debt offering);</w:t>
      </w:r>
    </w:p>
    <w:p>
      <w:pPr>
        <w:spacing w:after="0" w:line="117"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May 22, 2009 (election of Christopher M. Temple to the board of directors of Plains All American GP LLC);</w:t>
      </w:r>
    </w:p>
    <w:p>
      <w:pPr>
        <w:spacing w:after="0" w:line="62"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7, 2009 (unaudited balance sheet of PAA GP LLC as of March 31, 2009);</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23, 2009 (documentation related to debt offering);</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August 28, 2009 (unregistered sale of equity securities);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3, 2009 (amendment of the Limited Partnership Agreement of Plains All American Pipeline, L.P.);</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4, 2009 (documentation related to debt offering);</w:t>
      </w:r>
    </w:p>
    <w:p>
      <w:pPr>
        <w:spacing w:after="0" w:line="117" w:lineRule="exact"/>
        <w:rPr>
          <w:rFonts w:ascii="Arial" w:cs="Arial" w:eastAsia="Arial" w:hAnsi="Arial"/>
          <w:sz w:val="18"/>
          <w:szCs w:val="18"/>
          <w:color w:val="auto"/>
        </w:rPr>
      </w:pPr>
    </w:p>
    <w:p>
      <w:pPr>
        <w:ind w:left="1300" w:right="920" w:hanging="20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September 11, 2009 (documentation related to equity offering);</w:t>
      </w:r>
    </w:p>
    <w:p>
      <w:pPr>
        <w:spacing w:after="0" w:line="62"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28, 2009 (audited balance sheet of PAA GP LLC as of June 30, 2009); and</w:t>
      </w:r>
    </w:p>
    <w:p>
      <w:pPr>
        <w:spacing w:after="0" w:line="62"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92"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Telephone: (713) 646-4100</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83" w:lineRule="exact"/>
        <w:rPr>
          <w:sz w:val="20"/>
          <w:szCs w:val="20"/>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abrupt or severe declines or interruptions in outer continental shelf production located offshore California and transported on our pipeline systems;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1300" w:hanging="202"/>
        <w:spacing w:after="0" w:line="286" w:lineRule="auto"/>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7" w:lineRule="exact"/>
        <w:rPr>
          <w:rFonts w:ascii="Arial" w:cs="Arial" w:eastAsia="Arial" w:hAnsi="Arial"/>
          <w:sz w:val="17"/>
          <w:szCs w:val="17"/>
          <w:color w:val="auto"/>
        </w:rPr>
      </w:pPr>
    </w:p>
    <w:p>
      <w:pPr>
        <w:ind w:left="1300" w:right="20" w:hanging="202"/>
        <w:spacing w:after="0" w:line="342"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117" w:lineRule="exact"/>
        <w:rPr>
          <w:rFonts w:ascii="Arial" w:cs="Arial" w:eastAsia="Arial" w:hAnsi="Arial"/>
          <w:sz w:val="18"/>
          <w:szCs w:val="18"/>
          <w:color w:val="auto"/>
        </w:rPr>
      </w:pPr>
    </w:p>
    <w:p>
      <w:pPr>
        <w:ind w:left="1300" w:right="58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third-party pipelines;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117"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deteriorated financial markets, capital constraints and pervasive liquidity concerns; and</w:t>
      </w:r>
    </w:p>
    <w:p>
      <w:pPr>
        <w:spacing w:after="0" w:line="62"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Except as required by applicable securities laws, we do not intend to update these forward-looking statements and information.</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WHO WE ARE</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w:t>
      </w:r>
    </w:p>
    <w:p>
      <w:pPr>
        <w:spacing w:after="0" w:line="6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w:t>
      </w:r>
    </w:p>
    <w:p>
      <w:pPr>
        <w:spacing w:after="0" w:line="87"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87" w:lineRule="exact"/>
        <w:rPr>
          <w:sz w:val="20"/>
          <w:szCs w:val="20"/>
          <w:color w:val="auto"/>
        </w:rPr>
      </w:pPr>
    </w:p>
    <w:p>
      <w:pPr>
        <w:ind w:left="700" w:right="1100" w:firstLine="397"/>
        <w:spacing w:after="0" w:line="277" w:lineRule="auto"/>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7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2008,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9"/>
              </w:rPr>
              <w:t>Six Months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5"/>
              </w:rPr>
              <w:t>Ended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10"/>
            <w:vMerge w:val="restart"/>
          </w:tcPr>
          <w:p>
            <w:pPr>
              <w:jc w:val="center"/>
              <w:ind w:right="120"/>
              <w:spacing w:after="0"/>
              <w:rPr>
                <w:sz w:val="20"/>
                <w:szCs w:val="20"/>
                <w:color w:val="auto"/>
              </w:rPr>
            </w:pPr>
            <w:r>
              <w:rPr>
                <w:rFonts w:ascii="Arial" w:cs="Arial" w:eastAsia="Arial" w:hAnsi="Arial"/>
                <w:sz w:val="13"/>
                <w:szCs w:val="13"/>
                <w:b w:val="1"/>
                <w:bCs w:val="1"/>
                <w:color w:val="auto"/>
                <w:w w:val="87"/>
              </w:rPr>
              <w:t>Year Ended 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80" w:type="dxa"/>
            <w:vAlign w:val="bottom"/>
            <w:gridSpan w:val="4"/>
          </w:tcPr>
          <w:p>
            <w:pPr>
              <w:jc w:val="center"/>
              <w:ind w:right="280"/>
              <w:spacing w:after="0" w:line="140" w:lineRule="exact"/>
              <w:rPr>
                <w:sz w:val="20"/>
                <w:szCs w:val="20"/>
                <w:color w:val="auto"/>
              </w:rPr>
            </w:pPr>
            <w:r>
              <w:rPr>
                <w:rFonts w:ascii="Arial" w:cs="Arial" w:eastAsia="Arial" w:hAnsi="Arial"/>
                <w:sz w:val="13"/>
                <w:szCs w:val="13"/>
                <w:b w:val="1"/>
                <w:bCs w:val="1"/>
                <w:color w:val="auto"/>
                <w:w w:val="88"/>
              </w:rPr>
              <w:t>June 30,</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10"/>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20" w:type="dxa"/>
            <w:vAlign w:val="bottom"/>
            <w:tcBorders>
              <w:bottom w:val="single" w:sz="8" w:color="auto"/>
            </w:tcBorders>
            <w:gridSpan w:val="2"/>
          </w:tcPr>
          <w:p>
            <w:pPr>
              <w:jc w:val="center"/>
              <w:ind w:left="217"/>
              <w:spacing w:after="0" w:line="129" w:lineRule="exact"/>
              <w:rPr>
                <w:sz w:val="20"/>
                <w:szCs w:val="20"/>
                <w:color w:val="auto"/>
              </w:rPr>
            </w:pPr>
            <w:r>
              <w:rPr>
                <w:rFonts w:ascii="Arial" w:cs="Arial" w:eastAsia="Arial" w:hAnsi="Arial"/>
                <w:sz w:val="13"/>
                <w:szCs w:val="13"/>
                <w:b w:val="1"/>
                <w:bCs w:val="1"/>
                <w:color w:val="auto"/>
                <w:w w:val="89"/>
              </w:rPr>
              <w:t>2009</w:t>
            </w: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2008</w:t>
            </w: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2007</w:t>
            </w: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2006</w:t>
            </w: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2005</w:t>
            </w: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2004</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spacing w:after="0"/>
              <w:rPr>
                <w:sz w:val="20"/>
                <w:szCs w:val="20"/>
                <w:color w:val="auto"/>
              </w:rPr>
            </w:pPr>
            <w:r>
              <w:rPr>
                <w:rFonts w:ascii="Arial" w:cs="Arial" w:eastAsia="Arial" w:hAnsi="Arial"/>
                <w:sz w:val="18"/>
                <w:szCs w:val="18"/>
                <w:color w:val="auto"/>
              </w:rPr>
              <w:t>Ratio of Earnings to Fixed Charges(1)</w:t>
            </w:r>
          </w:p>
        </w:tc>
        <w:tc>
          <w:tcPr>
            <w:tcW w:w="30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3.55x</w:t>
            </w:r>
          </w:p>
        </w:tc>
        <w:tc>
          <w:tcPr>
            <w:tcW w:w="8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6"/>
              </w:rPr>
              <w:t>2.60x</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0"/>
              </w:rPr>
              <w:t>2.45x</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6"/>
              </w:rPr>
              <w:t>2.83x</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0"/>
              </w:rPr>
              <w:t>3.34x</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6"/>
              </w:rPr>
              <w:t>3.37x</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tcPr>
          <w:p>
            <w:pPr>
              <w:spacing w:after="0"/>
              <w:rPr>
                <w:sz w:val="12"/>
                <w:szCs w:val="12"/>
                <w:color w:val="auto"/>
              </w:rPr>
            </w:pPr>
          </w:p>
        </w:tc>
        <w:tc>
          <w:tcPr>
            <w:tcW w:w="3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200" w:hanging="301"/>
        <w:spacing w:after="0" w:line="264"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inventory stored in a contango market of $5 million, $21 million, $44 million, $49 million, $24 million and $2 million for the six months ended June 30, 2009 and each of the years ended December 31, 2008, 2007, 2006, 2005 and 2004, respectively.</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DESCRIPTION OF OUR DEBT SECURITIES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debt securities will be:</w:t>
      </w:r>
    </w:p>
    <w:p>
      <w:pPr>
        <w:spacing w:after="0" w:line="131" w:lineRule="exact"/>
        <w:rPr>
          <w:sz w:val="20"/>
          <w:szCs w:val="20"/>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117" w:lineRule="exact"/>
        <w:rPr>
          <w:rFonts w:ascii="Arial" w:cs="Arial" w:eastAsia="Arial" w:hAnsi="Arial"/>
          <w:sz w:val="18"/>
          <w:szCs w:val="18"/>
          <w:color w:val="auto"/>
        </w:rPr>
      </w:pPr>
    </w:p>
    <w:p>
      <w:pPr>
        <w:ind w:left="1300" w:right="76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us, the guarantors and U.S. Bank National Association, as Trustee.</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9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135"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7"/>
          <w:szCs w:val="17"/>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2" w:lineRule="exact"/>
        <w:rPr>
          <w:sz w:val="20"/>
          <w:szCs w:val="20"/>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guarantors of the debt securities, if 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31" w:lineRule="exact"/>
        <w:rPr>
          <w:sz w:val="20"/>
          <w:szCs w:val="20"/>
          <w:color w:val="auto"/>
        </w:rPr>
      </w:pPr>
    </w:p>
    <w:p>
      <w:pPr>
        <w:ind w:left="700" w:right="300" w:firstLine="397"/>
        <w:spacing w:after="0" w:line="279" w:lineRule="auto"/>
        <w:rPr>
          <w:sz w:val="20"/>
          <w:szCs w:val="20"/>
          <w:color w:val="auto"/>
        </w:rPr>
      </w:pPr>
      <w:r>
        <w:rPr>
          <w:rFonts w:ascii="Arial" w:cs="Arial" w:eastAsia="Arial" w:hAnsi="Arial"/>
          <w:sz w:val="17"/>
          <w:szCs w:val="17"/>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w:t>
      </w:r>
    </w:p>
    <w:p>
      <w:pPr>
        <w:spacing w:after="0" w:line="8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Consolidation, Merger or Asset Sale</w:t>
      </w:r>
    </w:p>
    <w:p>
      <w:pPr>
        <w:spacing w:after="0" w:line="135" w:lineRule="exact"/>
        <w:rPr>
          <w:sz w:val="20"/>
          <w:szCs w:val="20"/>
          <w:color w:val="auto"/>
        </w:rPr>
      </w:pPr>
    </w:p>
    <w:p>
      <w:pPr>
        <w:jc w:val="both"/>
        <w:ind w:left="700" w:right="20" w:firstLine="397"/>
        <w:spacing w:after="0" w:line="279" w:lineRule="auto"/>
        <w:rPr>
          <w:sz w:val="20"/>
          <w:szCs w:val="20"/>
          <w:color w:val="auto"/>
        </w:rPr>
      </w:pPr>
      <w:r>
        <w:rPr>
          <w:rFonts w:ascii="Arial" w:cs="Arial" w:eastAsia="Arial" w:hAnsi="Arial"/>
          <w:sz w:val="17"/>
          <w:szCs w:val="17"/>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7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76" w:lineRule="exact"/>
        <w:rPr>
          <w:sz w:val="20"/>
          <w:szCs w:val="20"/>
          <w:color w:val="auto"/>
        </w:rPr>
      </w:pPr>
    </w:p>
    <w:p>
      <w:pPr>
        <w:ind w:left="1300" w:right="260" w:hanging="202"/>
        <w:spacing w:after="0" w:line="286" w:lineRule="auto"/>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7" w:lineRule="exact"/>
        <w:rPr>
          <w:rFonts w:ascii="Arial" w:cs="Arial" w:eastAsia="Arial" w:hAnsi="Arial"/>
          <w:sz w:val="17"/>
          <w:szCs w:val="17"/>
          <w:color w:val="auto"/>
        </w:rPr>
      </w:pPr>
    </w:p>
    <w:p>
      <w:pPr>
        <w:ind w:left="1300" w:hanging="20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117"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 Events of Default and Remedies” below) may exist.</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of Indentures</w:t>
      </w:r>
    </w:p>
    <w:p>
      <w:pPr>
        <w:spacing w:after="0" w:line="135"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95" w:lineRule="exact"/>
        <w:rPr>
          <w:sz w:val="20"/>
          <w:szCs w:val="20"/>
          <w:color w:val="auto"/>
        </w:rPr>
      </w:pPr>
    </w:p>
    <w:p>
      <w:pPr>
        <w:ind w:left="1300" w:hanging="202"/>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117" w:lineRule="exact"/>
        <w:rPr>
          <w:rFonts w:ascii="Arial" w:cs="Arial" w:eastAsia="Arial" w:hAnsi="Arial"/>
          <w:sz w:val="18"/>
          <w:szCs w:val="18"/>
          <w:color w:val="auto"/>
        </w:rPr>
      </w:pPr>
    </w:p>
    <w:p>
      <w:pPr>
        <w:ind w:left="1300" w:right="340" w:hanging="202"/>
        <w:spacing w:after="0" w:line="308"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73"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(except as may be permitted in the case of a particular series of debt securities);</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2"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76"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76" w:lineRule="exact"/>
        <w:rPr>
          <w:sz w:val="20"/>
          <w:szCs w:val="20"/>
          <w:color w:val="auto"/>
        </w:rPr>
      </w:pPr>
    </w:p>
    <w:p>
      <w:pPr>
        <w:ind w:left="1300" w:hanging="202"/>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117"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provide for the assumption of an issuer’s or guarantor’s obligations to holders of debt securities in the case of a merger or consolidation or disposition of all or substantially all of such issuer’s or guarantor’s assets;</w:t>
      </w:r>
    </w:p>
    <w:p>
      <w:pPr>
        <w:spacing w:after="0" w:line="62"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add or release guarantors pursuant to the terms of the indenture;</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secure the debt securities and/or the guarantees.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 and Remedies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“Event of Default,” when used in an indenture, will mean any of the following with respect to the debt securities of any series:</w:t>
      </w:r>
    </w:p>
    <w:p>
      <w:pPr>
        <w:spacing w:after="0" w:line="142" w:lineRule="exact"/>
        <w:rPr>
          <w:sz w:val="20"/>
          <w:szCs w:val="20"/>
          <w:color w:val="auto"/>
        </w:rPr>
      </w:pPr>
    </w:p>
    <w:p>
      <w:pPr>
        <w:ind w:left="1300" w:hanging="202"/>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failure on the part of the issuers to comply with the covenant described under “— Consolidation, Merger or Asset Sale;”</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failure to perform any other covenant in the indenture that continues for 30 days after written notice is given to the issuers;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31"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52"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9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of conducting any proceeding or any remedy available to the Trustee, or exercising any power conferred upon the Trustee, for that series of debt securities.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135" w:lineRule="exact"/>
        <w:rPr>
          <w:sz w:val="20"/>
          <w:szCs w:val="20"/>
          <w:color w:val="auto"/>
        </w:rPr>
      </w:pPr>
    </w:p>
    <w:p>
      <w:pPr>
        <w:ind w:left="700" w:right="300" w:firstLine="397"/>
        <w:spacing w:after="0" w:line="342" w:lineRule="auto"/>
        <w:rPr>
          <w:sz w:val="20"/>
          <w:szCs w:val="20"/>
          <w:color w:val="auto"/>
        </w:rPr>
      </w:pPr>
      <w:r>
        <w:rPr>
          <w:rFonts w:ascii="Arial" w:cs="Arial" w:eastAsia="Arial" w:hAnsi="Arial"/>
          <w:sz w:val="16"/>
          <w:szCs w:val="16"/>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of Notes</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will issue debt securities of a series only in registered form, without coupons, unless otherwise indicated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Minimum Denominations</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Personal Liability</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92" w:lineRule="exact"/>
        <w:rPr>
          <w:sz w:val="20"/>
          <w:szCs w:val="20"/>
          <w:color w:val="auto"/>
        </w:rPr>
      </w:pPr>
    </w:p>
    <w:p>
      <w:pPr>
        <w:jc w:val="both"/>
        <w:ind w:left="700" w:right="360" w:firstLine="397"/>
        <w:spacing w:after="0" w:line="264"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Exchange, Registration and Transfer</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not be required to:</w:t>
      </w:r>
    </w:p>
    <w:p>
      <w:pPr>
        <w:spacing w:after="0" w:line="131" w:lineRule="exact"/>
        <w:rPr>
          <w:sz w:val="20"/>
          <w:szCs w:val="20"/>
          <w:color w:val="auto"/>
        </w:rPr>
      </w:pPr>
    </w:p>
    <w:p>
      <w:pPr>
        <w:ind w:left="1300" w:right="260" w:hanging="202"/>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close of business on the day of mailing of the relevant notice of redemption or repurchase, or between a record date and the next succeeding interest payment date; or</w:t>
      </w:r>
    </w:p>
    <w:p>
      <w:pPr>
        <w:spacing w:after="0" w:line="76" w:lineRule="exact"/>
        <w:rPr>
          <w:sz w:val="20"/>
          <w:szCs w:val="20"/>
          <w:color w:val="auto"/>
        </w:rPr>
      </w:pPr>
    </w:p>
    <w:p>
      <w:pPr>
        <w:ind w:left="1300" w:right="100" w:hanging="202"/>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76" w:lineRule="exact"/>
        <w:rPr>
          <w:sz w:val="20"/>
          <w:szCs w:val="20"/>
          <w:color w:val="auto"/>
        </w:rPr>
      </w:pPr>
    </w:p>
    <w:p>
      <w:pPr>
        <w:ind w:left="1300" w:hanging="202"/>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117" w:lineRule="exact"/>
        <w:rPr>
          <w:rFonts w:ascii="Arial" w:cs="Arial" w:eastAsia="Arial" w:hAnsi="Arial"/>
          <w:sz w:val="18"/>
          <w:szCs w:val="18"/>
          <w:color w:val="auto"/>
        </w:rPr>
      </w:pPr>
    </w:p>
    <w:p>
      <w:pPr>
        <w:ind w:left="1300" w:right="420" w:hanging="202"/>
        <w:spacing w:after="0" w:line="286"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7" w:lineRule="exact"/>
        <w:rPr>
          <w:rFonts w:ascii="Arial" w:cs="Arial" w:eastAsia="Arial" w:hAnsi="Arial"/>
          <w:sz w:val="17"/>
          <w:szCs w:val="17"/>
          <w:color w:val="auto"/>
        </w:rPr>
      </w:pPr>
    </w:p>
    <w:p>
      <w:pPr>
        <w:jc w:val="both"/>
        <w:ind w:left="1300" w:right="180" w:hanging="202"/>
        <w:spacing w:after="0" w:line="264"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 Entry, Delivery and Form</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9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76"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DTC has provided us the following information: DTC is a limited-purpose trust company organized under the New York Banking Law, a “banking organization” within the meaning of the New York Banking Law, a</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3" w:lineRule="auto"/>
        <w:rPr>
          <w:sz w:val="20"/>
          <w:szCs w:val="20"/>
          <w:color w:val="auto"/>
        </w:rPr>
      </w:pPr>
      <w:r>
        <w:rPr>
          <w:rFonts w:ascii="Arial" w:cs="Arial" w:eastAsia="Arial" w:hAnsi="Arial"/>
          <w:sz w:val="17"/>
          <w:szCs w:val="17"/>
          <w:color w:val="auto"/>
        </w:rPr>
        <w:t>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84"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76"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w:t>
      </w:r>
    </w:p>
    <w:p>
      <w:pPr>
        <w:spacing w:after="0" w:line="76"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5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83"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76" w:lineRule="exact"/>
        <w:rPr>
          <w:sz w:val="20"/>
          <w:szCs w:val="20"/>
          <w:color w:val="auto"/>
        </w:rPr>
      </w:pPr>
    </w:p>
    <w:p>
      <w:pPr>
        <w:ind w:left="1300" w:right="60" w:hanging="202"/>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Each indenture will be discharged and will cease to be of further effect as to all outstanding debt securities of any series issued thereunder, when:</w:t>
      </w:r>
    </w:p>
    <w:p>
      <w:pPr>
        <w:spacing w:after="0" w:line="76" w:lineRule="exact"/>
        <w:rPr>
          <w:sz w:val="20"/>
          <w:szCs w:val="20"/>
          <w:color w:val="auto"/>
        </w:rPr>
      </w:pPr>
    </w:p>
    <w:p>
      <w:pPr>
        <w:ind w:left="1340" w:hanging="250"/>
        <w:spacing w:after="0"/>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80" w:right="100" w:firstLine="391"/>
        <w:spacing w:after="0" w:line="264" w:lineRule="auto"/>
        <w:tabs>
          <w:tab w:leader="none" w:pos="171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6" w:lineRule="exact"/>
        <w:rPr>
          <w:rFonts w:ascii="Arial" w:cs="Arial" w:eastAsia="Arial" w:hAnsi="Arial"/>
          <w:sz w:val="18"/>
          <w:szCs w:val="18"/>
          <w:color w:val="auto"/>
        </w:rPr>
      </w:pPr>
    </w:p>
    <w:p>
      <w:pPr>
        <w:ind w:left="1080" w:firstLine="391"/>
        <w:spacing w:after="0" w:line="276" w:lineRule="auto"/>
        <w:tabs>
          <w:tab w:leader="none" w:pos="1716"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86" w:lineRule="auto"/>
        <w:rPr>
          <w:sz w:val="20"/>
          <w:szCs w:val="20"/>
          <w:color w:val="auto"/>
        </w:rPr>
      </w:pPr>
      <w:r>
        <w:rPr>
          <w:rFonts w:ascii="Arial" w:cs="Arial" w:eastAsia="Arial" w:hAnsi="Arial"/>
          <w:sz w:val="17"/>
          <w:szCs w:val="17"/>
          <w:color w:val="auto"/>
        </w:rPr>
        <w:t>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71" w:lineRule="exact"/>
        <w:rPr>
          <w:sz w:val="20"/>
          <w:szCs w:val="20"/>
          <w:color w:val="auto"/>
        </w:rPr>
      </w:pPr>
    </w:p>
    <w:p>
      <w:pPr>
        <w:ind w:left="1340" w:hanging="250"/>
        <w:spacing w:after="0"/>
        <w:tabs>
          <w:tab w:leader="none" w:pos="1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30" w:lineRule="exact"/>
        <w:rPr>
          <w:rFonts w:ascii="Arial" w:cs="Arial" w:eastAsia="Arial" w:hAnsi="Arial"/>
          <w:sz w:val="18"/>
          <w:szCs w:val="18"/>
          <w:color w:val="auto"/>
        </w:rPr>
      </w:pPr>
    </w:p>
    <w:p>
      <w:pPr>
        <w:ind w:left="700" w:right="600" w:firstLine="390"/>
        <w:spacing w:after="0" w:line="277" w:lineRule="auto"/>
        <w:tabs>
          <w:tab w:leader="none" w:pos="13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76"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Trustee</w:t>
      </w:r>
    </w:p>
    <w:p>
      <w:pPr>
        <w:spacing w:after="0" w:line="135"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92"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131"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Each indenture will limit the right of the Trustee thereunder, in the event that it becomes a creditor of an issuer or guarantor, to obtain payment of claims in certain cases, or to realize on certain property received in respect of any such claim as security or otherwise.</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DESCRIPTION OF OUR COMMON UNITS</w:t>
      </w:r>
    </w:p>
    <w:p>
      <w:pPr>
        <w:spacing w:after="0" w:line="135"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52"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Our outstanding common units are listed on the NYSE under the symbol “PAA.” Any additional common units we issue will also be listed on the NYSE.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Meetings/Voting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holder of common units is entitled to one vote for each common unit on all matters submitted to a vote of the unitholders.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76"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77"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Liability</w:t>
      </w:r>
    </w:p>
    <w:p>
      <w:pPr>
        <w:spacing w:after="0" w:line="135"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77"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Reports and Records</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As soon as practicable, but in no event later than 120 days after the close of each fiscal year, our general partner will furnish or make available to each unitholder of record (as of a record date selected by our general</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
        <w:spacing w:after="0" w:line="302" w:lineRule="auto"/>
        <w:rPr>
          <w:sz w:val="20"/>
          <w:szCs w:val="20"/>
          <w:color w:val="auto"/>
        </w:rPr>
      </w:pPr>
      <w:r>
        <w:rPr>
          <w:rFonts w:ascii="Arial" w:cs="Arial" w:eastAsia="Arial" w:hAnsi="Arial"/>
          <w:sz w:val="16"/>
          <w:szCs w:val="16"/>
          <w:color w:val="auto"/>
        </w:rPr>
        <w:t>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60"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94"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76" w:lineRule="exact"/>
        <w:rPr>
          <w:sz w:val="20"/>
          <w:szCs w:val="20"/>
          <w:color w:val="auto"/>
        </w:rPr>
      </w:pPr>
    </w:p>
    <w:p>
      <w:pPr>
        <w:ind w:left="1300" w:hanging="20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117" w:lineRule="exact"/>
        <w:rPr>
          <w:rFonts w:ascii="Arial" w:cs="Arial" w:eastAsia="Arial" w:hAnsi="Arial"/>
          <w:sz w:val="18"/>
          <w:szCs w:val="18"/>
          <w:color w:val="auto"/>
        </w:rPr>
      </w:pPr>
    </w:p>
    <w:p>
      <w:pPr>
        <w:ind w:left="1300" w:right="500" w:hanging="202"/>
        <w:spacing w:after="0" w:line="308"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Arial" w:cs="Arial" w:eastAsia="Arial" w:hAnsi="Arial"/>
          <w:sz w:val="17"/>
          <w:szCs w:val="17"/>
          <w:color w:val="auto"/>
        </w:rPr>
      </w:pPr>
    </w:p>
    <w:p>
      <w:pPr>
        <w:ind w:left="1300" w:right="80" w:hanging="202"/>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CASH DISTRIBUTION POLICY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of Available Cash</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will distribute to our unitholders, on a quarterly basis, all of our available cash in the manner described below.</w:t>
      </w:r>
    </w:p>
    <w:p>
      <w:pPr>
        <w:spacing w:after="0" w:line="142"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on hand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that quarter less the amount of cash reserves that are necessary or appropriate in the reasonable discretion of the general partner to:</w:t>
      </w:r>
    </w:p>
    <w:p>
      <w:pPr>
        <w:spacing w:after="0" w:line="29" w:lineRule="exact"/>
        <w:rPr>
          <w:sz w:val="20"/>
          <w:szCs w:val="20"/>
          <w:color w:val="auto"/>
        </w:rPr>
      </w:pPr>
    </w:p>
    <w:p>
      <w:pPr>
        <w:ind w:left="1300" w:hanging="20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provide funds for distributions to unitholders and the general partner in respect of any one or more of the next four quarters.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Cash distributions to our unitholders will be characterized as either operating surplus or capital surplus. We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from operating surplus differently than available cash from capital surplus. See “— Quarterly Distributions of Available Cash.”</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Definition of Operating Surplus. </w:t>
      </w:r>
      <w:r>
        <w:rPr>
          <w:rFonts w:ascii="Arial" w:cs="Arial" w:eastAsia="Arial" w:hAnsi="Arial"/>
          <w:sz w:val="18"/>
          <w:szCs w:val="18"/>
          <w:color w:val="auto"/>
        </w:rPr>
        <w:t>Operating surplus refers generally to:</w:t>
      </w:r>
    </w:p>
    <w:p>
      <w:pPr>
        <w:spacing w:after="0" w:line="131" w:lineRule="exact"/>
        <w:rPr>
          <w:sz w:val="20"/>
          <w:szCs w:val="20"/>
          <w:color w:val="auto"/>
        </w:rPr>
      </w:pPr>
    </w:p>
    <w:p>
      <w:pPr>
        <w:ind w:left="1300" w:hanging="20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117" w:lineRule="exact"/>
        <w:rPr>
          <w:rFonts w:ascii="Arial" w:cs="Arial" w:eastAsia="Arial" w:hAnsi="Arial"/>
          <w:sz w:val="18"/>
          <w:szCs w:val="18"/>
          <w:color w:val="auto"/>
        </w:rPr>
      </w:pPr>
    </w:p>
    <w:p>
      <w:pPr>
        <w:ind w:left="1300" w:right="640" w:hanging="202"/>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Definition of Capital Surplus. </w:t>
      </w:r>
      <w:r>
        <w:rPr>
          <w:rFonts w:ascii="Arial" w:cs="Arial" w:eastAsia="Arial" w:hAnsi="Arial"/>
          <w:sz w:val="18"/>
          <w:szCs w:val="18"/>
          <w:color w:val="auto"/>
        </w:rPr>
        <w:t>Capital surplus will generally be generated only by:</w:t>
      </w:r>
    </w:p>
    <w:p>
      <w:pPr>
        <w:spacing w:after="0" w:line="131" w:lineRule="exact"/>
        <w:rPr>
          <w:sz w:val="20"/>
          <w:szCs w:val="20"/>
          <w:color w:val="auto"/>
        </w:rPr>
      </w:pPr>
    </w:p>
    <w:p>
      <w:pPr>
        <w:ind w:left="1300" w:hanging="20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17"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assets in the ordinary course of business.</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87" w:lineRule="exact"/>
        <w:rPr>
          <w:sz w:val="20"/>
          <w:szCs w:val="20"/>
          <w:color w:val="auto"/>
        </w:rPr>
      </w:pPr>
    </w:p>
    <w:p>
      <w:pPr>
        <w:ind w:left="700" w:right="340" w:firstLine="397"/>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Incentive Distribution Rights</w:t>
      </w:r>
    </w:p>
    <w:p>
      <w:pPr>
        <w:spacing w:after="0" w:line="135"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From Operating Surplus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131" w:lineRule="exact"/>
        <w:rPr>
          <w:sz w:val="20"/>
          <w:szCs w:val="20"/>
          <w:color w:val="auto"/>
        </w:rPr>
      </w:pPr>
    </w:p>
    <w:p>
      <w:pPr>
        <w:ind w:left="1300" w:right="420" w:hanging="202"/>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Incentive Distribution Rights</w:t>
      </w:r>
    </w:p>
    <w:p>
      <w:pPr>
        <w:spacing w:after="0" w:line="135"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87" w:lineRule="exact"/>
        <w:rPr>
          <w:sz w:val="20"/>
          <w:szCs w:val="20"/>
          <w:color w:val="auto"/>
        </w:rPr>
      </w:pPr>
    </w:p>
    <w:p>
      <w:pPr>
        <w:ind w:left="1300" w:right="360" w:hanging="202"/>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62"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31" w:lineRule="exact"/>
        <w:rPr>
          <w:sz w:val="20"/>
          <w:szCs w:val="20"/>
          <w:color w:val="auto"/>
        </w:rPr>
      </w:pPr>
    </w:p>
    <w:p>
      <w:pPr>
        <w:ind w:left="700" w:right="260" w:firstLine="397"/>
        <w:spacing w:after="0" w:line="286" w:lineRule="auto"/>
        <w:rPr>
          <w:sz w:val="20"/>
          <w:szCs w:val="20"/>
          <w:color w:val="auto"/>
        </w:rPr>
      </w:pPr>
      <w:r>
        <w:rPr>
          <w:rFonts w:ascii="Arial" w:cs="Arial" w:eastAsia="Arial" w:hAnsi="Arial"/>
          <w:sz w:val="17"/>
          <w:szCs w:val="17"/>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135" w:lineRule="exact"/>
        <w:rPr>
          <w:sz w:val="20"/>
          <w:szCs w:val="20"/>
          <w:color w:val="auto"/>
        </w:rPr>
      </w:pPr>
    </w:p>
    <w:p>
      <w:pPr>
        <w:ind w:left="700" w:right="260" w:firstLine="397"/>
        <w:spacing w:after="0" w:line="308" w:lineRule="auto"/>
        <w:rPr>
          <w:sz w:val="20"/>
          <w:szCs w:val="20"/>
          <w:color w:val="auto"/>
        </w:rPr>
      </w:pPr>
      <w:r>
        <w:rPr>
          <w:rFonts w:ascii="Arial" w:cs="Arial" w:eastAsia="Arial" w:hAnsi="Arial"/>
          <w:sz w:val="17"/>
          <w:szCs w:val="17"/>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52"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Upon closing of the Pacific and Rainbow acquisitions, our general partner agreed to reduce the amounts due it as incentive distributions. The total reduction in incentive distributions related to these acquisitions will be $75 million. Following our distribution in August 2009, the remaining incentive distribution reductions related to Pacific and Rainbow totaled approximately $21.25 million.</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In connection with our acquisition of the remaining 50% indirect member interest in PAA Natural Gas Storage LLC in September 2009, our general partner agreed to further reduce the amounts due it as incentive distributions by an aggregate of $8 million over the next two years. This reduction will be effective upon our payment of a quarterly distribution of $0.92 per unit.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from Capital Surplus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i w:val="1"/>
          <w:iCs w:val="1"/>
          <w:color w:val="auto"/>
        </w:rPr>
        <w:t xml:space="preserve">How Distributions from Capital Surplus Will Be Made. </w:t>
      </w:r>
      <w:r>
        <w:rPr>
          <w:rFonts w:ascii="Arial" w:cs="Arial" w:eastAsia="Arial" w:hAnsi="Arial"/>
          <w:sz w:val="18"/>
          <w:szCs w:val="18"/>
          <w:color w:val="auto"/>
        </w:rPr>
        <w:t>We will make distributions of available cash from capital surplus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manner:</w:t>
      </w:r>
    </w:p>
    <w:p>
      <w:pPr>
        <w:spacing w:after="0" w:line="76" w:lineRule="exact"/>
        <w:rPr>
          <w:sz w:val="20"/>
          <w:szCs w:val="20"/>
          <w:color w:val="auto"/>
        </w:rPr>
      </w:pPr>
    </w:p>
    <w:p>
      <w:pPr>
        <w:ind w:left="1300" w:right="380" w:hanging="202"/>
        <w:spacing w:after="0" w:line="264"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31"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94"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i w:val="1"/>
          <w:iCs w:val="1"/>
          <w:color w:val="auto"/>
        </w:rPr>
        <w:t xml:space="preserve">When Payback Occurs. </w:t>
      </w:r>
      <w:r>
        <w:rPr>
          <w:rFonts w:ascii="Arial" w:cs="Arial" w:eastAsia="Arial" w:hAnsi="Arial"/>
          <w:sz w:val="18"/>
          <w:szCs w:val="18"/>
          <w:color w:val="auto"/>
        </w:rPr>
        <w:t>When “payback” of the reduced initial unit price has occurred, i.e., when the unrecovered capital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units is zero, then</w:t>
      </w:r>
    </w:p>
    <w:p>
      <w:pPr>
        <w:spacing w:after="0" w:line="76" w:lineRule="exact"/>
        <w:rPr>
          <w:sz w:val="20"/>
          <w:szCs w:val="20"/>
          <w:color w:val="auto"/>
        </w:rPr>
      </w:pPr>
    </w:p>
    <w:p>
      <w:pPr>
        <w:ind w:left="1300" w:hanging="202"/>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117"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76"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92" w:lineRule="exact"/>
        <w:rPr>
          <w:sz w:val="20"/>
          <w:szCs w:val="20"/>
          <w:color w:val="auto"/>
        </w:rPr>
      </w:pPr>
    </w:p>
    <w:p>
      <w:pPr>
        <w:ind w:left="1300" w:hanging="202"/>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31"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i w:val="1"/>
          <w:iCs w:val="1"/>
          <w:color w:val="auto"/>
        </w:rPr>
        <w:t xml:space="preserve">If We Became Subject to Taxation. </w:t>
      </w:r>
      <w:r>
        <w:rPr>
          <w:rFonts w:ascii="Arial" w:cs="Arial" w:eastAsia="Arial" w:hAnsi="Arial"/>
          <w:sz w:val="18"/>
          <w:szCs w:val="18"/>
          <w:color w:val="auto"/>
        </w:rPr>
        <w:t>If legislation is enacted or if existing law is modified or interpreted by the relevant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so that we become taxable as a corporation or otherwise subject to taxation as an entity for federal, state or local income tax purposes, we will adjust the minimum quarterly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distribution and each of the target distribution levels, respectively, to equal the product obtained by multiplying the amount thereof by:</w:t>
      </w:r>
    </w:p>
    <w:p>
      <w:pPr>
        <w:spacing w:after="0" w:line="154" w:lineRule="exact"/>
        <w:rPr>
          <w:sz w:val="20"/>
          <w:szCs w:val="20"/>
          <w:color w:val="auto"/>
        </w:rPr>
      </w:pPr>
    </w:p>
    <w:p>
      <w:pPr>
        <w:ind w:left="1300" w:right="420" w:hanging="202"/>
        <w:spacing w:after="0" w:line="286" w:lineRule="auto"/>
        <w:tabs>
          <w:tab w:leader="none" w:pos="13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71" w:lineRule="exact"/>
        <w:rPr>
          <w:sz w:val="20"/>
          <w:szCs w:val="20"/>
          <w:color w:val="auto"/>
        </w:rPr>
      </w:pPr>
    </w:p>
    <w:p>
      <w:pPr>
        <w:jc w:val="both"/>
        <w:ind w:left="700" w:right="120" w:firstLine="397"/>
        <w:spacing w:after="0" w:line="259" w:lineRule="auto"/>
        <w:rPr>
          <w:sz w:val="20"/>
          <w:szCs w:val="20"/>
          <w:color w:val="auto"/>
        </w:rPr>
      </w:pPr>
      <w:r>
        <w:rPr>
          <w:rFonts w:ascii="Arial" w:cs="Arial" w:eastAsia="Arial" w:hAnsi="Arial"/>
          <w:sz w:val="18"/>
          <w:szCs w:val="18"/>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If we dissolve and liquidate, we will sell our assets or otherwise dispose of our assets and we will adjust the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Manner of Adjustment. </w:t>
      </w:r>
      <w:r>
        <w:rPr>
          <w:rFonts w:ascii="Arial" w:cs="Arial" w:eastAsia="Arial" w:hAnsi="Arial"/>
          <w:sz w:val="18"/>
          <w:szCs w:val="18"/>
          <w:color w:val="auto"/>
        </w:rPr>
        <w:t>If we liquidate, we would allocate any loss to the general partner and each unitholder as follows:</w:t>
      </w:r>
    </w:p>
    <w:p>
      <w:pPr>
        <w:spacing w:after="0" w:line="131" w:lineRule="exact"/>
        <w:rPr>
          <w:sz w:val="20"/>
          <w:szCs w:val="20"/>
          <w:color w:val="auto"/>
        </w:rPr>
      </w:pPr>
    </w:p>
    <w:p>
      <w:pPr>
        <w:ind w:left="1300" w:right="240" w:hanging="202"/>
        <w:spacing w:after="0" w:line="342"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3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76" w:lineRule="exact"/>
        <w:rPr>
          <w:sz w:val="20"/>
          <w:szCs w:val="20"/>
          <w:color w:val="auto"/>
        </w:rPr>
      </w:pPr>
    </w:p>
    <w:p>
      <w:pPr>
        <w:ind w:left="1300" w:hanging="202"/>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Purpose</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jc w:val="both"/>
        <w:ind w:left="700" w:right="40" w:firstLine="397"/>
        <w:spacing w:after="0" w:line="259" w:lineRule="auto"/>
        <w:rPr>
          <w:sz w:val="20"/>
          <w:szCs w:val="20"/>
          <w:color w:val="auto"/>
        </w:rPr>
      </w:pPr>
      <w:r>
        <w:rPr>
          <w:rFonts w:ascii="Arial" w:cs="Arial" w:eastAsia="Arial" w:hAnsi="Arial"/>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135" w:lineRule="exact"/>
        <w:rPr>
          <w:sz w:val="20"/>
          <w:szCs w:val="20"/>
          <w:color w:val="auto"/>
        </w:rPr>
      </w:pPr>
    </w:p>
    <w:p>
      <w:pPr>
        <w:ind w:left="700" w:right="420" w:firstLine="397"/>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Issuance of Additional Securities</w:t>
      </w:r>
    </w:p>
    <w:p>
      <w:pPr>
        <w:spacing w:after="0" w:line="13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87"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92" w:lineRule="exact"/>
        <w:rPr>
          <w:sz w:val="20"/>
          <w:szCs w:val="20"/>
          <w:color w:val="auto"/>
        </w:rPr>
      </w:pPr>
    </w:p>
    <w:p>
      <w:pPr>
        <w:jc w:val="both"/>
        <w:ind w:left="700" w:right="620" w:firstLine="397"/>
        <w:spacing w:after="0" w:line="342" w:lineRule="auto"/>
        <w:rPr>
          <w:sz w:val="20"/>
          <w:szCs w:val="20"/>
          <w:color w:val="auto"/>
        </w:rPr>
      </w:pPr>
      <w:r>
        <w:rPr>
          <w:rFonts w:ascii="Arial" w:cs="Arial" w:eastAsia="Arial" w:hAnsi="Arial"/>
          <w:sz w:val="16"/>
          <w:szCs w:val="16"/>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2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135"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8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99"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77"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7"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35"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71" w:lineRule="exact"/>
        <w:rPr>
          <w:sz w:val="20"/>
          <w:szCs w:val="20"/>
          <w:color w:val="auto"/>
        </w:rPr>
      </w:pPr>
    </w:p>
    <w:p>
      <w:pPr>
        <w:ind w:left="1300" w:hanging="202"/>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31"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Management Provisions</w:t>
      </w:r>
    </w:p>
    <w:p>
      <w:pPr>
        <w:spacing w:after="0" w:line="135"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76" w:lineRule="exact"/>
        <w:rPr>
          <w:sz w:val="20"/>
          <w:szCs w:val="20"/>
          <w:color w:val="auto"/>
        </w:rPr>
      </w:pPr>
    </w:p>
    <w:p>
      <w:pPr>
        <w:ind w:left="1300" w:right="460" w:hanging="202"/>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62"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Call Right</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84" w:lineRule="exact"/>
        <w:rPr>
          <w:sz w:val="20"/>
          <w:szCs w:val="20"/>
          <w:color w:val="auto"/>
        </w:rPr>
      </w:pPr>
    </w:p>
    <w:p>
      <w:pPr>
        <w:ind w:left="700" w:right="420" w:firstLine="397"/>
        <w:spacing w:after="0" w:line="342" w:lineRule="auto"/>
        <w:rPr>
          <w:sz w:val="20"/>
          <w:szCs w:val="20"/>
          <w:color w:val="auto"/>
        </w:rPr>
      </w:pPr>
      <w:r>
        <w:rPr>
          <w:rFonts w:ascii="Arial" w:cs="Arial" w:eastAsia="Arial" w:hAnsi="Arial"/>
          <w:sz w:val="16"/>
          <w:szCs w:val="16"/>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MATERIAL INCOME TAX CONSIDERATIONS</w:t>
      </w:r>
    </w:p>
    <w:p>
      <w:pPr>
        <w:spacing w:after="0" w:line="135"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w:t>
      </w:r>
    </w:p>
    <w:p>
      <w:pPr>
        <w:spacing w:after="0" w:line="84"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84" w:lineRule="exact"/>
        <w:rPr>
          <w:sz w:val="20"/>
          <w:szCs w:val="20"/>
          <w:color w:val="auto"/>
        </w:rPr>
      </w:pPr>
    </w:p>
    <w:p>
      <w:pPr>
        <w:ind w:left="700" w:right="240" w:firstLine="397"/>
        <w:spacing w:after="0" w:line="308" w:lineRule="auto"/>
        <w:rPr>
          <w:sz w:val="20"/>
          <w:szCs w:val="20"/>
          <w:color w:val="auto"/>
        </w:rPr>
      </w:pPr>
      <w:r>
        <w:rPr>
          <w:rFonts w:ascii="Arial" w:cs="Arial" w:eastAsia="Arial" w:hAnsi="Arial"/>
          <w:sz w:val="17"/>
          <w:szCs w:val="17"/>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52"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w:t>
      </w:r>
    </w:p>
    <w:p>
      <w:pPr>
        <w:spacing w:after="0" w:line="72"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Partnership Status</w:t>
      </w:r>
    </w:p>
    <w:p>
      <w:pPr>
        <w:spacing w:after="0" w:line="135"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w:t>
      </w:r>
    </w:p>
    <w:p>
      <w:pPr>
        <w:spacing w:after="0" w:line="94"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color w:val="auto"/>
        </w:rPr>
        <w:t>Section 7704 of the Internal Revenue Code provides that publicly traded partnerships will, as a general rule, be taxed as corporations. However, an exception, referred to as the “Qualifying Income Exception,” exists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9" w:lineRule="auto"/>
        <w:rPr>
          <w:sz w:val="20"/>
          <w:szCs w:val="20"/>
          <w:color w:val="auto"/>
        </w:rPr>
      </w:pPr>
      <w:r>
        <w:rPr>
          <w:rFonts w:ascii="Arial" w:cs="Arial" w:eastAsia="Arial" w:hAnsi="Arial"/>
          <w:sz w:val="17"/>
          <w:szCs w:val="17"/>
          <w:color w:val="auto"/>
        </w:rPr>
        <w:t>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w:t>
      </w:r>
    </w:p>
    <w:p>
      <w:pPr>
        <w:spacing w:after="0" w:line="88"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w:t>
      </w:r>
    </w:p>
    <w:p>
      <w:pPr>
        <w:spacing w:after="0" w:line="99"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In rendering its opinion, Vinson &amp; Elkins L.L.P. has relied on factual representations made by us and our general partner. The representations made by us and our general partner upon which Vinson &amp; Elkins L.L.P. has relied are:</w:t>
      </w:r>
    </w:p>
    <w:p>
      <w:pPr>
        <w:spacing w:after="0" w:line="76" w:lineRule="exact"/>
        <w:rPr>
          <w:sz w:val="20"/>
          <w:szCs w:val="20"/>
          <w:color w:val="auto"/>
        </w:rPr>
      </w:pPr>
    </w:p>
    <w:p>
      <w:pPr>
        <w:ind w:left="1720" w:hanging="249"/>
        <w:spacing w:after="0"/>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Neither we nor the operating partnerships have elected or will elect to be treated as a corporation;</w:t>
      </w:r>
    </w:p>
    <w:p>
      <w:pPr>
        <w:spacing w:after="0" w:line="130" w:lineRule="exact"/>
        <w:rPr>
          <w:rFonts w:ascii="Arial" w:cs="Arial" w:eastAsia="Arial" w:hAnsi="Arial"/>
          <w:sz w:val="18"/>
          <w:szCs w:val="18"/>
          <w:color w:val="auto"/>
        </w:rPr>
      </w:pPr>
    </w:p>
    <w:p>
      <w:pPr>
        <w:ind w:left="1080" w:right="260" w:firstLine="391"/>
        <w:spacing w:after="0" w:line="342" w:lineRule="auto"/>
        <w:tabs>
          <w:tab w:leader="none" w:pos="1716"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each taxable year, more than 90% of our gross income has been and will be income that Vinson &amp; Elkins L.L.P. has opined or will opine is “qualifying income” within the meaning of Section 7704(d) of the Internal Revenue Code; and</w:t>
      </w:r>
    </w:p>
    <w:p>
      <w:pPr>
        <w:spacing w:after="0" w:line="29" w:lineRule="exact"/>
        <w:rPr>
          <w:rFonts w:ascii="Arial" w:cs="Arial" w:eastAsia="Arial" w:hAnsi="Arial"/>
          <w:sz w:val="16"/>
          <w:szCs w:val="16"/>
          <w:color w:val="auto"/>
        </w:rPr>
      </w:pPr>
    </w:p>
    <w:p>
      <w:pPr>
        <w:ind w:left="1080" w:right="140" w:firstLine="391"/>
        <w:spacing w:after="0" w:line="259" w:lineRule="auto"/>
        <w:tabs>
          <w:tab w:leader="none" w:pos="1706"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believe that these representations have been true in the past and expect that these representations will be true in the future.</w:t>
      </w:r>
    </w:p>
    <w:p>
      <w:pPr>
        <w:spacing w:after="0" w:line="15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8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8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discussion below is based on Vinson &amp; Elkins L.L.P.’s opinion that we will be classified as a partnership for federal income tax purposes.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Partner Status</w:t>
      </w:r>
    </w:p>
    <w:p>
      <w:pPr>
        <w:spacing w:after="0" w:line="135"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Unitholders who have become limited partners of Plains All American Pipeline, L.P. will be treated as partners of Plains All American Pipeline, L.P. for federal income tax purposes. Also:</w:t>
      </w:r>
    </w:p>
    <w:p>
      <w:pPr>
        <w:spacing w:after="0" w:line="76" w:lineRule="exact"/>
        <w:rPr>
          <w:sz w:val="20"/>
          <w:szCs w:val="20"/>
          <w:color w:val="auto"/>
        </w:rPr>
      </w:pPr>
    </w:p>
    <w:p>
      <w:pPr>
        <w:ind w:left="1300" w:hanging="202"/>
        <w:spacing w:after="0"/>
        <w:tabs>
          <w:tab w:leader="none" w:pos="13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assignees who have executed and delivered transfer applications, and are awaiting admission as limited partners and</w:t>
      </w:r>
    </w:p>
    <w:p>
      <w:pPr>
        <w:spacing w:after="0" w:line="128" w:lineRule="exact"/>
        <w:rPr>
          <w:rFonts w:ascii="Arial" w:cs="Arial" w:eastAsia="Arial" w:hAnsi="Arial"/>
          <w:sz w:val="17"/>
          <w:szCs w:val="17"/>
          <w:color w:val="auto"/>
        </w:rPr>
      </w:pPr>
    </w:p>
    <w:p>
      <w:pPr>
        <w:ind w:left="1300" w:right="320" w:hanging="202"/>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76"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95"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w:t>
      </w:r>
    </w:p>
    <w:p>
      <w:pPr>
        <w:spacing w:after="0" w:line="8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w:t>
      </w:r>
    </w:p>
    <w:p>
      <w:pPr>
        <w:spacing w:after="0" w:line="92"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The references to “unitholders” in the discussion that follows are to persons who are treated as partners in Plains All American Pipeline, L.P. for federal income tax purposes.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Unit Ownership</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Flow-Through of Taxable Income. </w:t>
      </w:r>
      <w:r>
        <w:rPr>
          <w:rFonts w:ascii="Arial" w:cs="Arial" w:eastAsia="Arial" w:hAnsi="Arial"/>
          <w:sz w:val="17"/>
          <w:szCs w:val="17"/>
          <w:color w:val="auto"/>
        </w:rPr>
        <w:t>We will not pay any federal income tax. Instead, each unitholder will be required to report on his</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78"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Treatment of Distributions. </w:t>
      </w:r>
      <w:r>
        <w:rPr>
          <w:rFonts w:ascii="Arial" w:cs="Arial" w:eastAsia="Arial" w:hAnsi="Arial"/>
          <w:sz w:val="17"/>
          <w:szCs w:val="17"/>
          <w:color w:val="auto"/>
        </w:rPr>
        <w:t>Distributions by us to a unitholder generally will not be taxable to the unitholder for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year, he must recapture any losses deducted in previous years. Please see “— Limitations on Deductibility of Losses.”</w:t>
      </w:r>
    </w:p>
    <w:p>
      <w:pPr>
        <w:spacing w:after="0" w:line="131"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w:t>
      </w:r>
    </w:p>
    <w:p>
      <w:pPr>
        <w:spacing w:after="0" w:line="2" w:lineRule="exact"/>
        <w:rPr>
          <w:sz w:val="20"/>
          <w:szCs w:val="20"/>
          <w:color w:val="auto"/>
        </w:rPr>
      </w:pPr>
    </w:p>
    <w:p>
      <w:pPr>
        <w:ind w:left="700" w:right="160"/>
        <w:spacing w:after="0" w:line="253" w:lineRule="auto"/>
        <w:rPr>
          <w:sz w:val="20"/>
          <w:szCs w:val="20"/>
          <w:color w:val="auto"/>
        </w:rPr>
      </w:pPr>
      <w:r>
        <w:rPr>
          <w:rFonts w:ascii="Arial" w:cs="Arial" w:eastAsia="Arial" w:hAnsi="Arial"/>
          <w:sz w:val="18"/>
          <w:szCs w:val="18"/>
          <w:color w:val="auto"/>
        </w:rPr>
        <w:t>“Section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w:t>
      </w:r>
    </w:p>
    <w:p>
      <w:pPr>
        <w:spacing w:after="0" w:line="97"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Basis of Common Units. </w:t>
      </w:r>
      <w:r>
        <w:rPr>
          <w:rFonts w:ascii="Arial" w:cs="Arial" w:eastAsia="Arial" w:hAnsi="Arial"/>
          <w:sz w:val="18"/>
          <w:szCs w:val="18"/>
          <w:color w:val="auto"/>
        </w:rPr>
        <w:t>A unitholder’s initial tax basis for his common units will be the amount he paid for our common units plus</w:t>
      </w:r>
      <w:r>
        <w:rPr>
          <w:rFonts w:ascii="Arial" w:cs="Arial" w:eastAsia="Arial" w:hAnsi="Arial"/>
          <w:sz w:val="18"/>
          <w:szCs w:val="18"/>
          <w:i w:val="1"/>
          <w:iCs w:val="1"/>
          <w:color w:val="auto"/>
        </w:rPr>
        <w:t xml:space="preserve"> </w:t>
      </w:r>
      <w:r>
        <w:rPr>
          <w:rFonts w:ascii="Arial" w:cs="Arial" w:eastAsia="Arial" w:hAnsi="Arial"/>
          <w:sz w:val="18"/>
          <w:szCs w:val="18"/>
          <w:color w:val="auto"/>
        </w:rPr>
        <w:t>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w:t>
      </w:r>
    </w:p>
    <w:p>
      <w:pPr>
        <w:spacing w:after="0" w:line="9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7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70"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279" w:lineRule="auto"/>
        <w:rPr>
          <w:sz w:val="20"/>
          <w:szCs w:val="20"/>
          <w:color w:val="auto"/>
        </w:rPr>
      </w:pPr>
      <w:r>
        <w:rPr>
          <w:rFonts w:ascii="Arial" w:cs="Arial" w:eastAsia="Arial" w:hAnsi="Arial"/>
          <w:sz w:val="17"/>
          <w:szCs w:val="17"/>
          <w:color w:val="auto"/>
        </w:rPr>
        <w:t>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w:t>
      </w:r>
    </w:p>
    <w:p>
      <w:pPr>
        <w:spacing w:after="0" w:line="77" w:lineRule="exact"/>
        <w:rPr>
          <w:sz w:val="20"/>
          <w:szCs w:val="20"/>
          <w:color w:val="auto"/>
        </w:rPr>
      </w:pPr>
    </w:p>
    <w:p>
      <w:pPr>
        <w:ind w:left="700" w:right="160" w:firstLine="397"/>
        <w:spacing w:after="0" w:line="308" w:lineRule="auto"/>
        <w:rPr>
          <w:sz w:val="20"/>
          <w:szCs w:val="20"/>
          <w:color w:val="auto"/>
        </w:rPr>
      </w:pPr>
      <w:r>
        <w:rPr>
          <w:rFonts w:ascii="Arial" w:cs="Arial" w:eastAsia="Arial" w:hAnsi="Arial"/>
          <w:sz w:val="17"/>
          <w:szCs w:val="17"/>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52"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amount of that taxpayer’s “net investment income.” Investment interest expense includes:</w:t>
      </w:r>
    </w:p>
    <w:p>
      <w:pPr>
        <w:spacing w:after="0" w:line="76" w:lineRule="exact"/>
        <w:rPr>
          <w:sz w:val="20"/>
          <w:szCs w:val="20"/>
          <w:color w:val="auto"/>
        </w:rPr>
      </w:pPr>
    </w:p>
    <w:p>
      <w:pPr>
        <w:ind w:left="1300" w:hanging="20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interest expense attributed to portfolio income; and</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portion of interest expense incurred to purchase or carry an interest in a passive activity to the extent attributable to portfolio income.</w:t>
      </w:r>
    </w:p>
    <w:p>
      <w:pPr>
        <w:spacing w:after="0" w:line="76"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70"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Entity-Level Collections. </w:t>
      </w:r>
      <w:r>
        <w:rPr>
          <w:rFonts w:ascii="Arial" w:cs="Arial" w:eastAsia="Arial" w:hAnsi="Arial"/>
          <w:sz w:val="17"/>
          <w:szCs w:val="17"/>
          <w:color w:val="auto"/>
        </w:rPr>
        <w:t>If we are required or elect under applicable law to pay any federal, state, local or foreign income tax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87"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we have a net profit, our items of income, gain, loss and deduction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w:t>
      </w:r>
    </w:p>
    <w:p>
      <w:pPr>
        <w:spacing w:after="0" w:line="9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w:t>
      </w:r>
    </w:p>
    <w:p>
      <w:pPr>
        <w:spacing w:after="0" w:line="8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70" w:lineRule="exact"/>
        <w:rPr>
          <w:sz w:val="20"/>
          <w:szCs w:val="20"/>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his relative contributions to 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interests of all the partners in profits and losses;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interest of all the partners in cash flow;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rights of all the partners to distributions of capital upon liquidation.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Vinson &amp; Elkins L.L.P. is of the opinion that, with the exception of the issues described in “— Section 754 Election” and</w:t>
      </w:r>
    </w:p>
    <w:p>
      <w:pPr>
        <w:spacing w:after="0" w:line="23" w:lineRule="exact"/>
        <w:rPr>
          <w:sz w:val="20"/>
          <w:szCs w:val="20"/>
          <w:color w:val="auto"/>
        </w:rPr>
      </w:pPr>
    </w:p>
    <w:p>
      <w:pPr>
        <w:ind w:left="700" w:right="280"/>
        <w:spacing w:after="0" w:line="323" w:lineRule="auto"/>
        <w:rPr>
          <w:sz w:val="20"/>
          <w:szCs w:val="20"/>
          <w:color w:val="auto"/>
        </w:rPr>
      </w:pPr>
      <w:r>
        <w:rPr>
          <w:rFonts w:ascii="Arial" w:cs="Arial" w:eastAsia="Arial" w:hAnsi="Arial"/>
          <w:sz w:val="16"/>
          <w:szCs w:val="16"/>
          <w:color w:val="auto"/>
        </w:rPr>
        <w:t>“— Disposition of Common Units — Allocations Between Transferors and Transferees,” allocations under our partnership agreement will be given effect for federal income tax purposes in determining a partner’s share of an item of income, gain, loss or deduction.</w:t>
      </w:r>
    </w:p>
    <w:p>
      <w:pPr>
        <w:spacing w:after="0" w:line="44"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i w:val="1"/>
          <w:iCs w:val="1"/>
          <w:color w:val="auto"/>
        </w:rPr>
        <w:t xml:space="preserve">Treatment of Short Sales. </w:t>
      </w:r>
      <w:r>
        <w:rPr>
          <w:rFonts w:ascii="Arial" w:cs="Arial" w:eastAsia="Arial" w:hAnsi="Arial"/>
          <w:sz w:val="17"/>
          <w:szCs w:val="17"/>
          <w:color w:val="auto"/>
        </w:rPr>
        <w:t>A unitholder whose units are loaned to a “short seller” to cover a short sale of units may be considered as</w:t>
      </w:r>
      <w:r>
        <w:rPr>
          <w:rFonts w:ascii="Arial" w:cs="Arial" w:eastAsia="Arial" w:hAnsi="Arial"/>
          <w:sz w:val="17"/>
          <w:szCs w:val="17"/>
          <w:i w:val="1"/>
          <w:iCs w:val="1"/>
          <w:color w:val="auto"/>
        </w:rPr>
        <w:t xml:space="preserve"> </w:t>
      </w:r>
      <w:r>
        <w:rPr>
          <w:rFonts w:ascii="Arial" w:cs="Arial" w:eastAsia="Arial" w:hAnsi="Arial"/>
          <w:sz w:val="17"/>
          <w:szCs w:val="17"/>
          <w:color w:val="auto"/>
        </w:rPr>
        <w:t>having disposed of those units. If so, he would no longer be treated for tax purposes as a partner with respect to those units during the period of the loan and may recognize gain or loss from the disposition. As a result, during this period:</w:t>
      </w:r>
    </w:p>
    <w:p>
      <w:pPr>
        <w:spacing w:after="0" w:line="71" w:lineRule="exact"/>
        <w:rPr>
          <w:sz w:val="20"/>
          <w:szCs w:val="20"/>
          <w:color w:val="auto"/>
        </w:rPr>
      </w:pPr>
    </w:p>
    <w:p>
      <w:pPr>
        <w:ind w:left="1300" w:hanging="20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as to those units would be fully taxable;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131"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w:t>
      </w:r>
    </w:p>
    <w:p>
      <w:pPr>
        <w:spacing w:after="0" w:line="64"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Each unitholder will be required to take into account his distributive share of any items of our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firstLine="397"/>
        <w:spacing w:after="0" w:line="297"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Under current law, the highest marginal U.S. federal income tax rate applicable to ordinary income of individuals is 35%</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w:t>
      </w:r>
    </w:p>
    <w:p>
      <w:pPr>
        <w:spacing w:after="0" w:line="6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i w:val="1"/>
          <w:iCs w:val="1"/>
          <w:color w:val="auto"/>
        </w:rPr>
        <w:t xml:space="preserve">Section 754 Election. </w:t>
      </w:r>
      <w:r>
        <w:rPr>
          <w:rFonts w:ascii="Arial" w:cs="Arial" w:eastAsia="Arial" w:hAnsi="Arial"/>
          <w:sz w:val="17"/>
          <w:szCs w:val="17"/>
          <w:color w:val="auto"/>
        </w:rPr>
        <w:t>We have made the election permitted by Section 754 of the Internal Revenue Code. That election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Where the remedial allocation method is adopted (which we have generally adopted as to all of our properties), the Treasury</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Regulations under Section 743 of the Internal Revenue Code require a portion of the Section 743(b) adjustment that is attributable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recovery property subject to depreciation under Section 168 of the Internal Revenue Code whose book basis is in excess of its tax basis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 depreciated over the remaining cost recovery period for the property’s unamortized Book-Tax Disparity. Under Treasury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Regulation Section 1.167(c)-1(a)(6), a Section 743(b) adjustment attributable to property subject to depreciation under Section 167 of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Internal Revenue Code, rather than cost recovery deductions under Section 168, is generally required to be depreciated using either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straight-line method or the 150% declining balance method. If we elect a method other than the remedial method, the depreciation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methods and useful lives associated with the Section 743(b) adjustment, therefore, may differ from the methods and useful</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lives generally used to depreciate the inside basis in such properties. Under our partnership agreement, the general partner is authorized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take a position to preserve the uniformity of units even if that position is not consistent with these and any other Treasury Regulations.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If we elect a method other than the remedial method with respect to a goodwill property, the common basis of such property is not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Please see “— Uniformity of Units.”</w:t>
      </w:r>
    </w:p>
    <w:p>
      <w:pPr>
        <w:spacing w:after="0" w:line="116" w:lineRule="exact"/>
        <w:rPr>
          <w:sz w:val="20"/>
          <w:szCs w:val="20"/>
          <w:color w:val="auto"/>
        </w:rPr>
      </w:pPr>
    </w:p>
    <w:p>
      <w:pPr>
        <w:ind w:left="700" w:right="260" w:firstLine="397"/>
        <w:spacing w:after="0" w:line="284" w:lineRule="auto"/>
        <w:rPr>
          <w:sz w:val="20"/>
          <w:szCs w:val="20"/>
          <w:color w:val="auto"/>
        </w:rPr>
      </w:pPr>
      <w:r>
        <w:rPr>
          <w:rFonts w:ascii="Arial" w:cs="Arial" w:eastAsia="Arial" w:hAnsi="Arial"/>
          <w:sz w:val="16"/>
          <w:szCs w:val="16"/>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w:t>
      </w:r>
    </w:p>
    <w:p>
      <w:pPr>
        <w:spacing w:after="0" w:line="5" w:lineRule="exact"/>
        <w:rPr>
          <w:sz w:val="20"/>
          <w:szCs w:val="20"/>
          <w:color w:val="auto"/>
        </w:rPr>
      </w:pPr>
    </w:p>
    <w:p>
      <w:pPr>
        <w:ind w:left="700" w:right="60"/>
        <w:spacing w:after="0" w:line="267" w:lineRule="auto"/>
        <w:rPr>
          <w:sz w:val="20"/>
          <w:szCs w:val="20"/>
          <w:color w:val="auto"/>
        </w:rPr>
      </w:pPr>
      <w:r>
        <w:rPr>
          <w:rFonts w:ascii="Arial" w:cs="Arial" w:eastAsia="Arial" w:hAnsi="Arial"/>
          <w:sz w:val="17"/>
          <w:szCs w:val="17"/>
          <w:color w:val="auto"/>
        </w:rPr>
        <w:t>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uniformity of the units. If such a challenge were sustained, the gain from the sale of units might be increased without the benefit of additional deductions.</w:t>
      </w:r>
    </w:p>
    <w:p>
      <w:pPr>
        <w:spacing w:after="0" w:line="7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84"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Treatment of Operations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Accounting Method and Taxable Year. </w:t>
      </w:r>
      <w:r>
        <w:rPr>
          <w:rFonts w:ascii="Arial" w:cs="Arial" w:eastAsia="Arial" w:hAnsi="Arial"/>
          <w:sz w:val="17"/>
          <w:szCs w:val="17"/>
          <w:color w:val="auto"/>
        </w:rPr>
        <w:t>We use the year ending December 31 as our taxable year and the accrual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w:t>
      </w:r>
    </w:p>
    <w:p>
      <w:pPr>
        <w:spacing w:after="0" w:line="83"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i w:val="1"/>
          <w:iCs w:val="1"/>
          <w:color w:val="auto"/>
        </w:rPr>
        <w:t xml:space="preserve">Initial Tax Basis, Depreciation and Amortization. </w:t>
      </w:r>
      <w:r>
        <w:rPr>
          <w:rFonts w:ascii="Arial" w:cs="Arial" w:eastAsia="Arial" w:hAnsi="Arial"/>
          <w:sz w:val="18"/>
          <w:szCs w:val="18"/>
          <w:color w:val="auto"/>
        </w:rPr>
        <w:t>The tax basis of our assets will be used for purposes of computing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 Tax Consequences of Unit Ownership — Allocation of Income, Gain, Loss and Deduction.”</w:t>
      </w:r>
    </w:p>
    <w:p>
      <w:pPr>
        <w:spacing w:after="0" w:line="94"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w:t>
      </w:r>
    </w:p>
    <w:p>
      <w:pPr>
        <w:spacing w:after="0" w:line="70"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previously deducted and the nature of the property,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w:t>
      </w:r>
    </w:p>
    <w:p>
      <w:pPr>
        <w:spacing w:after="0" w:line="7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92"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i w:val="1"/>
          <w:iCs w:val="1"/>
          <w:color w:val="auto"/>
        </w:rPr>
        <w:t xml:space="preserve">Valuation and Tax Basis of Our Properties. </w:t>
      </w:r>
      <w:r>
        <w:rPr>
          <w:rFonts w:ascii="Arial" w:cs="Arial" w:eastAsia="Arial" w:hAnsi="Arial"/>
          <w:sz w:val="17"/>
          <w:szCs w:val="17"/>
          <w:color w:val="auto"/>
        </w:rPr>
        <w:t>The federal income tax consequences of the ownership and disposition of units will</w:t>
      </w:r>
      <w:r>
        <w:rPr>
          <w:rFonts w:ascii="Arial" w:cs="Arial" w:eastAsia="Arial" w:hAnsi="Arial"/>
          <w:sz w:val="17"/>
          <w:szCs w:val="17"/>
          <w:i w:val="1"/>
          <w:iCs w:val="1"/>
          <w:color w:val="auto"/>
        </w:rPr>
        <w:t xml:space="preserve"> </w:t>
      </w:r>
      <w:r>
        <w:rPr>
          <w:rFonts w:ascii="Arial" w:cs="Arial" w:eastAsia="Arial" w:hAnsi="Arial"/>
          <w:sz w:val="17"/>
          <w:szCs w:val="17"/>
          <w:color w:val="auto"/>
        </w:rPr>
        <w:t>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Disposition of Common Units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9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87" w:lineRule="exact"/>
        <w:rPr>
          <w:sz w:val="20"/>
          <w:szCs w:val="20"/>
          <w:color w:val="auto"/>
        </w:rPr>
      </w:pPr>
    </w:p>
    <w:p>
      <w:pPr>
        <w:ind w:left="700" w:right="80" w:firstLine="397"/>
        <w:spacing w:after="0" w:line="287" w:lineRule="auto"/>
        <w:rPr>
          <w:sz w:val="20"/>
          <w:szCs w:val="20"/>
          <w:color w:val="auto"/>
        </w:rPr>
      </w:pPr>
      <w:r>
        <w:rPr>
          <w:rFonts w:ascii="Arial" w:cs="Arial" w:eastAsia="Arial" w:hAnsi="Arial"/>
          <w:sz w:val="16"/>
          <w:szCs w:val="16"/>
          <w:color w:val="auto"/>
        </w:rPr>
        <w:t>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78"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0" w:lineRule="auto"/>
        <w:rPr>
          <w:sz w:val="20"/>
          <w:szCs w:val="20"/>
          <w:color w:val="auto"/>
        </w:rPr>
      </w:pPr>
      <w:r>
        <w:rPr>
          <w:rFonts w:ascii="Arial" w:cs="Arial" w:eastAsia="Arial" w:hAnsi="Arial"/>
          <w:sz w:val="17"/>
          <w:szCs w:val="17"/>
          <w:color w:val="auto"/>
        </w:rPr>
        <w:t>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w:t>
      </w:r>
    </w:p>
    <w:p>
      <w:pPr>
        <w:spacing w:after="0" w:line="8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87" w:lineRule="exact"/>
        <w:rPr>
          <w:sz w:val="20"/>
          <w:szCs w:val="20"/>
          <w:color w:val="auto"/>
        </w:rPr>
      </w:pPr>
    </w:p>
    <w:p>
      <w:pPr>
        <w:ind w:left="1300" w:hanging="20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9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i w:val="1"/>
          <w:iCs w:val="1"/>
          <w:color w:val="auto"/>
        </w:rPr>
        <w:t xml:space="preserve">Allocations Between Transferors and Transferees. </w:t>
      </w:r>
      <w:r>
        <w:rPr>
          <w:rFonts w:ascii="Arial" w:cs="Arial" w:eastAsia="Arial" w:hAnsi="Arial"/>
          <w:sz w:val="16"/>
          <w:szCs w:val="16"/>
          <w:color w:val="auto"/>
        </w:rPr>
        <w:t>In general, our taxable income and losses will be determined annually,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7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w:t>
      </w:r>
    </w:p>
    <w:p>
      <w:pPr>
        <w:spacing w:after="0" w:line="88"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any of his units is generally required to notify us in writing of that sale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9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Constructive Termination. </w:t>
      </w:r>
      <w:r>
        <w:rPr>
          <w:rFonts w:ascii="Arial" w:cs="Arial" w:eastAsia="Arial" w:hAnsi="Arial"/>
          <w:sz w:val="17"/>
          <w:szCs w:val="17"/>
          <w:color w:val="auto"/>
        </w:rPr>
        <w:t>We will be considered to have been terminated for tax purposes if there are sales or exchanges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Uniformity of Units</w:t>
      </w:r>
    </w:p>
    <w:p>
      <w:pPr>
        <w:spacing w:after="0" w:line="135"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w:t>
      </w:r>
    </w:p>
    <w:p>
      <w:pPr>
        <w:spacing w:after="0" w:line="9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w:t>
      </w:r>
    </w:p>
    <w:p>
      <w:pPr>
        <w:spacing w:after="0" w:line="3" w:lineRule="exact"/>
        <w:rPr>
          <w:sz w:val="20"/>
          <w:szCs w:val="20"/>
          <w:color w:val="auto"/>
        </w:rPr>
      </w:pPr>
    </w:p>
    <w:p>
      <w:pPr>
        <w:ind w:left="700" w:right="40"/>
        <w:spacing w:after="0" w:line="286" w:lineRule="auto"/>
        <w:rPr>
          <w:sz w:val="20"/>
          <w:szCs w:val="20"/>
          <w:color w:val="auto"/>
        </w:rPr>
      </w:pPr>
      <w:r>
        <w:rPr>
          <w:rFonts w:ascii="Arial" w:cs="Arial" w:eastAsia="Arial" w:hAnsi="Arial"/>
          <w:sz w:val="16"/>
          <w:szCs w:val="16"/>
          <w:color w:val="auto"/>
        </w:rPr>
        <w:t>Regulation Section 1.167(c)-1(a)(6), which is not expected to directly apply to a material portion of our assets, and Treasury Regulation Section 1.197-2(g)(3).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color w:val="auto"/>
        </w:rPr>
        <w:t>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35"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w:t>
      </w:r>
    </w:p>
    <w:p>
      <w:pPr>
        <w:spacing w:after="0" w:line="52"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w:t>
      </w:r>
    </w:p>
    <w:p>
      <w:pPr>
        <w:spacing w:after="0" w:line="52"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w:t>
      </w:r>
    </w:p>
    <w:p>
      <w:pPr>
        <w:spacing w:after="0" w:line="83"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8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Administrative Matters</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Information Returns and Audit Procedures. </w:t>
      </w:r>
      <w:r>
        <w:rPr>
          <w:rFonts w:ascii="Arial" w:cs="Arial" w:eastAsia="Arial" w:hAnsi="Arial"/>
          <w:sz w:val="18"/>
          <w:szCs w:val="18"/>
          <w:color w:val="auto"/>
        </w:rPr>
        <w:t>We intend to furnish to each unitholder, within 90 days after the close of each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98"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87" w:lineRule="exact"/>
        <w:rPr>
          <w:sz w:val="20"/>
          <w:szCs w:val="20"/>
          <w:color w:val="auto"/>
        </w:rPr>
      </w:pPr>
    </w:p>
    <w:p>
      <w:pPr>
        <w:ind w:left="700" w:right="220" w:firstLine="397"/>
        <w:spacing w:after="0" w:line="257" w:lineRule="auto"/>
        <w:rPr>
          <w:sz w:val="20"/>
          <w:szCs w:val="20"/>
          <w:color w:val="auto"/>
        </w:rPr>
      </w:pPr>
      <w:r>
        <w:rPr>
          <w:rFonts w:ascii="Arial" w:cs="Arial" w:eastAsia="Arial" w:hAnsi="Arial"/>
          <w:sz w:val="18"/>
          <w:szCs w:val="18"/>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w:t>
      </w:r>
    </w:p>
    <w:p>
      <w:pPr>
        <w:spacing w:after="0" w:line="94"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84"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w:t>
      </w:r>
    </w:p>
    <w:p>
      <w:pPr>
        <w:spacing w:after="0" w:line="92" w:lineRule="exact"/>
        <w:rPr>
          <w:sz w:val="20"/>
          <w:szCs w:val="20"/>
          <w:color w:val="auto"/>
        </w:rPr>
      </w:pPr>
    </w:p>
    <w:p>
      <w:pPr>
        <w:ind w:left="1300" w:hanging="20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the beneficial owner is:</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person that is not a United States person;</w:t>
      </w:r>
    </w:p>
    <w:p>
      <w:pPr>
        <w:spacing w:after="0" w:line="117" w:lineRule="exact"/>
        <w:rPr>
          <w:rFonts w:ascii="Arial" w:cs="Arial" w:eastAsia="Arial" w:hAnsi="Arial"/>
          <w:sz w:val="18"/>
          <w:szCs w:val="18"/>
          <w:color w:val="auto"/>
        </w:rPr>
      </w:pPr>
    </w:p>
    <w:p>
      <w:pPr>
        <w:ind w:left="1480" w:right="860" w:hanging="180"/>
        <w:spacing w:after="0" w:line="277"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foreign government, an international organization or any wholly owned agency or instrumentality of either of the foregoing; or</w:t>
      </w:r>
    </w:p>
    <w:p>
      <w:pPr>
        <w:spacing w:after="0" w:line="62" w:lineRule="exact"/>
        <w:rPr>
          <w:rFonts w:ascii="Arial" w:cs="Arial" w:eastAsia="Arial" w:hAnsi="Arial"/>
          <w:sz w:val="18"/>
          <w:szCs w:val="18"/>
          <w:color w:val="auto"/>
        </w:rPr>
      </w:pPr>
    </w:p>
    <w:p>
      <w:pPr>
        <w:ind w:left="1480" w:hanging="180"/>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17"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76"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Internal Revenue Code for failure to report that information to us. The nominee is required to supply the beneficial owner of the units with the information furnished to us.</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94"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52" w:lineRule="exact"/>
        <w:rPr>
          <w:sz w:val="20"/>
          <w:szCs w:val="20"/>
          <w:color w:val="auto"/>
        </w:rPr>
      </w:pPr>
    </w:p>
    <w:p>
      <w:pPr>
        <w:ind w:left="1300" w:hanging="202"/>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13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w:t>
      </w:r>
    </w:p>
    <w:p>
      <w:pPr>
        <w:spacing w:after="0" w:line="78"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w:t>
      </w:r>
    </w:p>
    <w:p>
      <w:pPr>
        <w:spacing w:after="0" w:line="7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 Information Returns and Audit Procedures.”</w:t>
      </w:r>
    </w:p>
    <w:p>
      <w:pPr>
        <w:spacing w:after="0" w:line="9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76" w:lineRule="exact"/>
        <w:rPr>
          <w:sz w:val="20"/>
          <w:szCs w:val="20"/>
          <w:color w:val="auto"/>
        </w:rPr>
      </w:pPr>
    </w:p>
    <w:p>
      <w:pPr>
        <w:ind w:left="1300" w:right="660" w:hanging="202"/>
        <w:spacing w:after="0" w:line="27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those persons otherwise entitled to deduct interest on federal tax deficiencies, nondeductibility of interest on any resulting tax liability;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 Local, Foreign and Other Tax Considerations</w:t>
      </w:r>
    </w:p>
    <w:p>
      <w:pPr>
        <w:spacing w:after="0" w:line="1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debt securities will be set forth in the prospectus supplement relating to the offering of debt securities.</w:t>
      </w:r>
    </w:p>
    <w:p>
      <w:pPr>
        <w:spacing w:after="0" w:line="72"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7"/>
          <w:szCs w:val="17"/>
          <w:b w:val="1"/>
          <w:bCs w:val="1"/>
          <w:color w:val="auto"/>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w:t>
      </w:r>
    </w:p>
    <w:p>
      <w:pPr>
        <w:spacing w:after="0" w:line="78"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213995</wp:posOffset>
            </wp:positionV>
            <wp:extent cx="1689735" cy="523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897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$400,000,000</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3.95% Senior Notes due 2015</w:t>
      </w:r>
    </w:p>
    <w:p>
      <w:pPr>
        <w:spacing w:after="0" w:line="9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PROSPECTUS SUPPLEMENT</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7"/>
          <w:szCs w:val="17"/>
          <w:i w:val="1"/>
          <w:iCs w:val="1"/>
          <w:color w:val="auto"/>
        </w:rPr>
        <w:t>Joint Book-Running Managers</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J.P. Morgan</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BofA Merrill Lynch</w:t>
      </w:r>
    </w:p>
    <w:p>
      <w:pPr>
        <w:jc w:val="center"/>
        <w:ind w:right="-1100"/>
        <w:spacing w:after="0"/>
        <w:rPr>
          <w:sz w:val="20"/>
          <w:szCs w:val="20"/>
          <w:color w:val="auto"/>
        </w:rPr>
      </w:pPr>
      <w:r>
        <w:rPr>
          <w:rFonts w:ascii="Arial" w:cs="Arial" w:eastAsia="Arial" w:hAnsi="Arial"/>
          <w:sz w:val="22"/>
          <w:szCs w:val="22"/>
          <w:b w:val="1"/>
          <w:bCs w:val="1"/>
          <w:color w:val="auto"/>
        </w:rPr>
        <w:t>BNP PARIBAS</w:t>
      </w:r>
    </w:p>
    <w:p>
      <w:pPr>
        <w:spacing w:after="0" w:line="47"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Co-Managers</w:t>
      </w:r>
    </w:p>
    <w:p>
      <w:pPr>
        <w:spacing w:after="0" w:line="23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Mizuho Securities USA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Scotia Capital</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ING</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SOCIETE GENERALE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US Bancorp</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BBVA Securities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BMO Capital Markets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Comerica Securities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Daiwa Capital Markets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Morgan Stanley</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Natixis Bleichroeder LLC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The Williams Capital Group, L.P.</w:t>
      </w:r>
    </w:p>
    <w:p>
      <w:pPr>
        <w:spacing w:after="0" w:line="8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July 7, 2010</w:t>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lowerRoman"/>
      <w:start w:val="4"/>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lvl w:ilvl="1">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lowerRoman"/>
      <w:start w:val="4"/>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lvl w:ilvl="1">
      <w:lvlJc w:val="left"/>
      <w:lvlText w:val="•"/>
      <w:numFmt w:val="bullet"/>
      <w:start w:val="1"/>
    </w:lvl>
  </w:abstractNum>
  <w:abstractNum w:abstractNumId="25">
    <w:nsid w:val="180115BE"/>
    <w:multiLevelType w:val="hybridMultilevel"/>
    <w:lvl w:ilvl="0">
      <w:lvlJc w:val="left"/>
      <w:lvlText w:val="•"/>
      <w:numFmt w:val="bullet"/>
      <w:start w:val="1"/>
    </w:lvl>
    <w:lvl w:ilvl="1">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decimal"/>
      <w:start w:val="1"/>
    </w:lvl>
    <w:lvl w:ilvl="1">
      <w:lvlJc w:val="left"/>
      <w:lvlText w:val="(%2)"/>
      <w:numFmt w:val="lowerLetter"/>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13"/>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2"/>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lowerLetter"/>
      <w:start w:val="1"/>
    </w:lvl>
    <w:lvl w:ilvl="1">
      <w:lvlJc w:val="left"/>
      <w:lvlText w:val="(%2)"/>
      <w:numFmt w:val="decimal"/>
      <w:start w:val="1"/>
    </w:lvl>
  </w:abstractNum>
  <w:abstractNum w:abstractNumId="65">
    <w:nsid w:val="42963E5A"/>
    <w:multiLevelType w:val="hybridMultilevel"/>
    <w:lvl w:ilvl="0">
      <w:lvlJc w:val="left"/>
      <w:lvlText w:val="(%1)"/>
      <w:numFmt w:val="lowerLetter"/>
      <w:start w:val="2"/>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
      <w:numFmt w:val="bullet"/>
      <w:start w:val="1"/>
    </w:lvl>
    <w:lvl w:ilvl="1">
      <w:lvlJc w:val="left"/>
      <w:lvlText w:val="•"/>
      <w:numFmt w:val="bullet"/>
      <w:start w:val="1"/>
    </w:lvl>
  </w:abstractNum>
  <w:abstractNum w:abstractNumId="87">
    <w:nsid w:val="14E17E33"/>
    <w:multiLevelType w:val="hybridMultilevel"/>
    <w:lvl w:ilvl="0">
      <w:lvlJc w:val="left"/>
      <w:lvlText w:val="•"/>
      <w:numFmt w:val="bullet"/>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2020-01-30T19:47:30Z</dcterms:created>
  <dcterms:modified xsi:type="dcterms:W3CDTF">2020-01-30T19:47:30Z</dcterms:modified>
</cp:coreProperties>
</file>