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February 6, 2026</w:t>
      </w:r>
    </w:p>
    <w:p>
      <w:pPr>
        <w:spacing w:after="0" w:line="2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415" w:right="359" w:bottom="1440" w:gutter="0" w:footer="0" w:header="0"/>
        </w:sectPr>
      </w:pPr>
    </w:p>
    <w:p>
      <w:pPr>
        <w:spacing w:after="0" w:line="26"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2" w:lineRule="exact"/>
        <w:rPr>
          <w:sz w:val="24"/>
          <w:szCs w:val="24"/>
          <w:color w:val="auto"/>
        </w:rPr>
      </w:pPr>
    </w:p>
    <w:p>
      <w:pPr>
        <w:sectPr>
          <w:pgSz w:w="11900" w:h="16838" w:orient="portrait"/>
          <w:cols w:equalWidth="0" w:num="3">
            <w:col w:w="3900" w:space="720"/>
            <w:col w:w="2520" w:space="720"/>
            <w:col w:w="3360"/>
          </w:cols>
          <w:pgMar w:left="320" w:top="1415" w:right="359" w:bottom="1440" w:gutter="0" w:footer="0" w:header="0"/>
          <w:type w:val="continuous"/>
        </w:sectPr>
      </w:pPr>
    </w:p>
    <w:p>
      <w:pPr>
        <w:ind w:left="1620"/>
        <w:spacing w:after="0" w:line="229" w:lineRule="auto"/>
        <w:rPr>
          <w:sz w:val="20"/>
          <w:szCs w:val="20"/>
          <w:color w:val="auto"/>
        </w:rPr>
      </w:pPr>
      <w:r>
        <w:rPr>
          <w:rFonts w:ascii="Times New Roman" w:cs="Times New Roman" w:eastAsia="Times New Roman" w:hAnsi="Times New Roman"/>
          <w:sz w:val="18"/>
          <w:szCs w:val="18"/>
          <w:color w:val="auto"/>
        </w:rPr>
        <w:t>incorporation)</w:t>
      </w:r>
    </w:p>
    <w:p>
      <w:pPr>
        <w:spacing w:after="0" w:line="3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20"/>
          </w:cols>
          <w:pgMar w:left="320" w:top="1415" w:right="359" w:bottom="1440" w:gutter="0" w:footer="0" w:header="0"/>
          <w:type w:val="continuous"/>
        </w:sect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40" w:firstLine="8"/>
        <w:spacing w:after="0" w:line="553"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3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20" w:type="dxa"/>
            <w:vAlign w:val="bottom"/>
          </w:tcPr>
          <w:p>
            <w:pPr>
              <w:spacing w:after="0"/>
              <w:rPr>
                <w:sz w:val="19"/>
                <w:szCs w:val="19"/>
                <w:color w:val="auto"/>
              </w:rPr>
            </w:pPr>
          </w:p>
        </w:tc>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20" w:type="dxa"/>
            <w:vAlign w:val="bottom"/>
          </w:tcPr>
          <w:p>
            <w:pPr>
              <w:spacing w:after="0"/>
              <w:rPr>
                <w:sz w:val="19"/>
                <w:szCs w:val="19"/>
                <w:color w:val="auto"/>
              </w:rPr>
            </w:pPr>
          </w:p>
        </w:tc>
        <w:tc>
          <w:tcPr>
            <w:tcW w:w="4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314"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220"/>
        <w:spacing w:after="0" w:line="23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59690</wp:posOffset>
            </wp:positionV>
            <wp:extent cx="70891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0</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and Item 7.01. Results of Operations and Financial Condition; Regulation FD Disclosure.</w:t>
      </w:r>
    </w:p>
    <w:p>
      <w:pPr>
        <w:spacing w:after="0" w:line="256" w:lineRule="exact"/>
        <w:rPr>
          <w:sz w:val="20"/>
          <w:szCs w:val="20"/>
          <w:color w:val="auto"/>
        </w:rPr>
      </w:pPr>
    </w:p>
    <w:p>
      <w:pPr>
        <w:ind w:firstLine="180"/>
        <w:spacing w:after="0" w:line="258" w:lineRule="auto"/>
        <w:rPr>
          <w:sz w:val="20"/>
          <w:szCs w:val="20"/>
          <w:color w:val="auto"/>
        </w:rPr>
      </w:pPr>
      <w:r>
        <w:rPr>
          <w:rFonts w:ascii="Times New Roman" w:cs="Times New Roman" w:eastAsia="Times New Roman" w:hAnsi="Times New Roman"/>
          <w:sz w:val="18"/>
          <w:szCs w:val="18"/>
          <w:color w:val="auto"/>
        </w:rPr>
        <w:t>On February 6, 2026, the Registrant issued a press release reporting its fourth-quarter 2025 results. A copy of the press release is furnished as Exhibit 99.1 hereto. In accordance with General Instruction B.2 of Form 8-K, the information presented herein under Item 2.02 and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 Exhibits.</w:t>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720" w:type="dxa"/>
            <w:vAlign w:val="bottom"/>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4"/>
        </w:trPr>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700" w:type="dxa"/>
            <w:vAlign w:val="bottom"/>
            <w:tcBorders>
              <w:top w:val="single" w:sz="8" w:color="auto"/>
              <w:bottom w:val="single" w:sz="8" w:color="0000FF"/>
            </w:tcBorders>
          </w:tcPr>
          <w:p>
            <w:pPr>
              <w:spacing w:after="0" w:line="184" w:lineRule="exact"/>
              <w:rPr>
                <w:sz w:val="20"/>
                <w:szCs w:val="20"/>
                <w:color w:val="auto"/>
              </w:rPr>
            </w:pPr>
            <w:r>
              <w:rPr>
                <w:rFonts w:ascii="Times New Roman" w:cs="Times New Roman" w:eastAsia="Times New Roman" w:hAnsi="Times New Roman"/>
                <w:sz w:val="18"/>
                <w:szCs w:val="18"/>
                <w:color w:val="0000FF"/>
                <w:w w:val="99"/>
              </w:rPr>
              <w:t>Press Release dated February 6, 2026</w:t>
            </w:r>
          </w:p>
        </w:tc>
        <w:tc>
          <w:tcPr>
            <w:tcW w:w="4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860" w:hanging="792"/>
        <w:spacing w:after="0"/>
        <w:tabs>
          <w:tab w:leader="none" w:pos="1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0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87"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ind w:right="700" w:firstLine="1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PLAINS ALL AMERICAN PIPELINE, L.P.</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PAA GP LLC, its general partner</w:t>
            </w:r>
          </w:p>
        </w:tc>
      </w:tr>
      <w:tr>
        <w:trPr>
          <w:trHeight w:val="500"/>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Plains AAP, L.P., its sole member</w:t>
            </w:r>
          </w:p>
        </w:tc>
      </w:tr>
      <w:tr>
        <w:trPr>
          <w:trHeight w:val="499"/>
        </w:trPr>
        <w:tc>
          <w:tcPr>
            <w:tcW w:w="3100" w:type="dxa"/>
            <w:vAlign w:val="bottom"/>
          </w:tcPr>
          <w:p>
            <w:pPr>
              <w:spacing w:after="0"/>
              <w:rPr>
                <w:sz w:val="24"/>
                <w:szCs w:val="24"/>
                <w:color w:val="auto"/>
              </w:rPr>
            </w:pP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Plains All American GP LLC, its general partner</w:t>
            </w:r>
          </w:p>
        </w:tc>
      </w:tr>
      <w:tr>
        <w:trPr>
          <w:trHeight w:val="49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2026</w:t>
            </w:r>
          </w:p>
        </w:tc>
        <w:tc>
          <w:tcPr>
            <w:tcW w:w="8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By:  /s/ Sharon Spurlin</w:t>
            </w:r>
          </w:p>
        </w:tc>
      </w:tr>
      <w:tr>
        <w:trPr>
          <w:trHeight w:val="216"/>
        </w:trPr>
        <w:tc>
          <w:tcPr>
            <w:tcW w:w="3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Sharon Spurlin</w:t>
            </w:r>
          </w:p>
        </w:tc>
      </w:tr>
      <w:tr>
        <w:trPr>
          <w:trHeight w:val="236"/>
        </w:trPr>
        <w:tc>
          <w:tcPr>
            <w:tcW w:w="3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58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981"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294005</wp:posOffset>
            </wp:positionV>
            <wp:extent cx="2468880" cy="951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68880"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Plains All American Reports Fourth-Quarter and Full-Year 2025 Results</w:t>
      </w:r>
    </w:p>
    <w:p>
      <w:pPr>
        <w:spacing w:after="0" w:line="25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Houston, TX – February 6, 2026 – Plains All American Pipeline, L.P. (Nasdaq: PAA) and Plains GP Holdings (Nasdaq: PAGP) today reported fourth-quarter and full-year 2025 results, announced 2026 guidance and provided the following highlights: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Fourth Quarter and Full-Year 2025 Results</w:t>
      </w:r>
    </w:p>
    <w:p>
      <w:pPr>
        <w:spacing w:after="0" w:line="148" w:lineRule="exact"/>
        <w:rPr>
          <w:sz w:val="20"/>
          <w:szCs w:val="20"/>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Fourth-quarter and full-year 2025 Net income attributable to PAA of $342 million and $1.435 billion, respectively, and 2025 Net cash provided by operating activities of $785 million and $2.94 billion, respectively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fourth-quarter and full-year 2025 Adjusted EBITDA attributable to PAA of $738 million and $2.833 billion, respectively</w:t>
      </w:r>
    </w:p>
    <w:p>
      <w:pPr>
        <w:spacing w:after="0" w:line="130"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leverage ratio of 3.9x at year-end 2025; expect to return toward the midpoint of the target range of 3.25 to 3.75x following anticipated closing of the NGL divestiture toward the end of the first quarter 2026</w:t>
      </w:r>
    </w:p>
    <w:p>
      <w:pPr>
        <w:spacing w:after="0" w:line="80" w:lineRule="exact"/>
        <w:rPr>
          <w:rFonts w:ascii="Times New Roman" w:cs="Times New Roman" w:eastAsia="Times New Roman" w:hAnsi="Times New Roman"/>
          <w:sz w:val="18"/>
          <w:szCs w:val="18"/>
          <w:color w:val="auto"/>
        </w:rPr>
      </w:pPr>
    </w:p>
    <w:p>
      <w:pPr>
        <w:ind w:left="660" w:righ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Plains successfully raised $750 million in aggregate senior unsecured notes with proceeds allocated toward the reduction of commercial paper and funding the EPIC acquisition (now Cactus III)</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Plains also paid off a $1.1 billion EPIC term loan assumed as part of the EPIC acquisition by issuing a $1.1 billion senior unsecured term loan at PAA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Outlook and Key Highlights</w:t>
      </w:r>
    </w:p>
    <w:p>
      <w:pPr>
        <w:spacing w:after="0" w:line="135" w:lineRule="exact"/>
        <w:rPr>
          <w:sz w:val="20"/>
          <w:szCs w:val="20"/>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full-year 2026 Adjusted EBITDA attributable to PAA midpoint of $2.75 billion +/- $75 million (assumes one quarter of NGL contribution of $100 million)</w:t>
      </w:r>
    </w:p>
    <w:p>
      <w:pPr>
        <w:spacing w:after="0" w:line="8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Capture efficiency initiatives of approximately $100 million of cost savings through 2027 (with approximately half realized in 2026); coupled with $50 million of synergies expected on Cactus III, these initiatives create self-help growth opportunities despite expectation of a relatively flat Permian production profile for 2026</w:t>
      </w:r>
    </w:p>
    <w:p>
      <w:pPr>
        <w:spacing w:after="0" w:line="8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annualized distribution increase of $0.15 per unit payable February 13, 2026, representing a 10% aggregate increase in the annualized distribution rate versus 2025 levels (new annualized distribution rate of $1.67 per unit)</w:t>
      </w:r>
    </w:p>
    <w:p>
      <w:pPr>
        <w:spacing w:after="0" w:line="67"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Coverage ratio threshold lowered from 160% to 150% reflecting more predictable cash flow and providing multi-year runway for targeted annual distribution growth of $0.15 per unit</w:t>
      </w:r>
    </w:p>
    <w:p>
      <w:pPr>
        <w:spacing w:after="0" w:line="8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strong Adjusted Free Cash flow generation of approximately $1.80 billion (excluding changes in Assets &amp; Liabilities and anticipated cash proceeds from the NGL divestiture)</w:t>
      </w:r>
    </w:p>
    <w:p>
      <w:pPr>
        <w:spacing w:after="0" w:line="6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 focused on disciplined capital investments, anticipating full-year 2026 Growth Capital of +/- $350 million and Maintenance Capital of +/-$165 million net to Plains</w:t>
      </w:r>
    </w:p>
    <w:p>
      <w:pPr>
        <w:spacing w:after="0" w:line="189"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18"/>
          <w:szCs w:val="18"/>
          <w:color w:val="auto"/>
        </w:rPr>
        <w:t>“Last year we took significant steps to transition the company toward becoming the premier North American pure play crude oil midstream provider, including the announced sale of our Canadian NGL business and the acquisition of Cactus III. For 2026, the team is focused on closing the pending NGL sale, realizing synergies on the Cactus III acquisition and driving efficiency initiatives throughout the organization. These self-help actions provide levers for efficient growth in an otherwise volatile near-term oil macro environment. We also remain committed to our multi-year capital allocation framework and returning cash to unitholders as evidenced by the recent $0.15 per unit increase in our annualized distribution rate, bringing the distribution yield to ~8.5%. In addition, we have elected to lower our Distribution Coverage ratio threshold from 160% to 150%, thereby paving the way for additional return of capital to unitholders. I’m pleased with the progress being made as we transition into a more focused, streamlined organization that should be well positioned for improving oil market fundamentals into the future,” said Willie Chiang, Chairman, CEO and President.</w:t>
      </w:r>
    </w:p>
    <w:p>
      <w:pPr>
        <w:spacing w:after="0" w:line="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t>Page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Considerations for Pending Sale of Canadian NGL Business</w:t>
      </w:r>
    </w:p>
    <w:p>
      <w:pPr>
        <w:spacing w:after="0" w:line="256"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June 17, 2025, we entered into a definitive agreement to sell substantially all of our NGL business in Canada (the “Canadian NGL Business”) to Keyera Corp. This transaction is expected to close toward the end of the first quarter of 2026 and is subject to the satisfaction or waiver of customary closing conditions, including receipt of regulatory approvals. While we will divest the Canadian NGL Business as part of the transaction, we will retain substantially all NGL assets in the United States and will also retain all crude oil assets in Canada.</w:t>
      </w:r>
    </w:p>
    <w:p>
      <w:pPr>
        <w:spacing w:after="0" w:line="20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determined that the operations of the Canadian NGL Business meet the criteria for classification as held for sale and for discontinued operations reporting and have applied these changes retrospectively to all periods presented. Results throughout this release specify if they are presented from continuing operations (which exclude the results of the Canadian NGL Business) and/or discontinued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Financial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4"/>
        </w:trPr>
        <w:tc>
          <w:tcPr>
            <w:tcW w:w="3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4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GAAP Results </w:t>
            </w:r>
            <w:r>
              <w:rPr>
                <w:rFonts w:ascii="Times New Roman" w:cs="Times New Roman" w:eastAsia="Times New Roman" w:hAnsi="Times New Roman"/>
                <w:sz w:val="18"/>
                <w:szCs w:val="18"/>
                <w:b w:val="1"/>
                <w:bCs w:val="1"/>
                <w:i w:val="1"/>
                <w:iCs w:val="1"/>
                <w:color w:val="auto"/>
                <w:vertAlign w:val="superscript"/>
              </w:rPr>
              <w:t>(1)</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020" w:type="dxa"/>
            <w:vAlign w:val="bottom"/>
            <w:tcBorders>
              <w:top w:val="single" w:sz="8" w:color="auto"/>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Net income attributable to PAA </w:t>
            </w:r>
            <w:r>
              <w:rPr>
                <w:rFonts w:ascii="Times New Roman" w:cs="Times New Roman" w:eastAsia="Times New Roman" w:hAnsi="Times New Roman"/>
                <w:sz w:val="23"/>
                <w:szCs w:val="23"/>
                <w:color w:val="auto"/>
                <w:vertAlign w:val="superscript"/>
              </w:rPr>
              <w:t>(2)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net income/(loss) per common unit</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9"/>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units outstanding</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9"/>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per common unit declared for the period</w:t>
            </w:r>
          </w:p>
        </w:tc>
        <w:tc>
          <w:tcPr>
            <w:tcW w:w="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0.3800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499"/>
        </w:trPr>
        <w:tc>
          <w:tcPr>
            <w:tcW w:w="3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4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4"/>
                <w:szCs w:val="14"/>
                <w:b w:val="1"/>
                <w:bCs w:val="1"/>
                <w:i w:val="1"/>
                <w:iCs w:val="1"/>
                <w:color w:val="auto"/>
              </w:rPr>
              <w:t xml:space="preserve">Non-GAAP Results </w:t>
            </w:r>
            <w:r>
              <w:rPr>
                <w:rFonts w:ascii="Times New Roman" w:cs="Times New Roman" w:eastAsia="Times New Roman" w:hAnsi="Times New Roman"/>
                <w:sz w:val="18"/>
                <w:szCs w:val="18"/>
                <w:b w:val="1"/>
                <w:bCs w:val="1"/>
                <w:i w:val="1"/>
                <w:iCs w:val="1"/>
                <w:color w:val="auto"/>
                <w:vertAlign w:val="superscript"/>
              </w:rPr>
              <w:t>(1) (3)</w:t>
            </w: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5040" w:type="dxa"/>
            <w:vAlign w:val="bottom"/>
            <w:tcBorders>
              <w:top w:val="single" w:sz="8" w:color="auto"/>
            </w:tcBorders>
            <w:gridSpan w:val="3"/>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net income attributable to PAA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Diluted adjusted net income per common unit</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(2)</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5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140" w:type="dxa"/>
            <w:vAlign w:val="bottom"/>
            <w:gridSpan w:val="4"/>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(4)</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gridSpan w:val="4"/>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14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4"/>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(4)</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5140" w:type="dxa"/>
            <w:vAlign w:val="bottom"/>
            <w:gridSpan w:val="4"/>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gridSpan w:val="4"/>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Assets &amp; Liabilities) </w:t>
            </w:r>
            <w:r>
              <w:rPr>
                <w:rFonts w:ascii="Times New Roman" w:cs="Times New Roman" w:eastAsia="Times New Roman" w:hAnsi="Times New Roman"/>
                <w:sz w:val="23"/>
                <w:szCs w:val="23"/>
                <w:color w:val="auto"/>
                <w:vertAlign w:val="superscript"/>
              </w:rPr>
              <w:t>(4)</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388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that variance as a percentage is not meaningful.</w:t>
      </w:r>
    </w:p>
    <w:p>
      <w:pPr>
        <w:spacing w:after="0" w:line="63" w:lineRule="exact"/>
        <w:rPr>
          <w:sz w:val="20"/>
          <w:szCs w:val="20"/>
          <w:color w:val="auto"/>
        </w:rPr>
      </w:pPr>
    </w:p>
    <w:p>
      <w:pPr>
        <w:ind w:left="340" w:right="70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 See the tables attached hereto for additional information.</w:t>
      </w:r>
    </w:p>
    <w:p>
      <w:pPr>
        <w:spacing w:after="0" w:line="90" w:lineRule="exact"/>
        <w:rPr>
          <w:rFonts w:ascii="Times New Roman" w:cs="Times New Roman" w:eastAsia="Times New Roman" w:hAnsi="Times New Roman"/>
          <w:sz w:val="23"/>
          <w:szCs w:val="23"/>
          <w:color w:val="auto"/>
          <w:vertAlign w:val="superscript"/>
        </w:rPr>
      </w:pPr>
    </w:p>
    <w:p>
      <w:pPr>
        <w:ind w:left="340" w:right="140" w:hanging="332"/>
        <w:spacing w:after="0" w:line="22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amounts attributable to noncontrolling interests in the Plains Oryx Permian Basin LLC (the “Permian JV”), Cactus II Pipeline LLC and Red River Pipeline LLC joint ventures.</w:t>
      </w:r>
    </w:p>
    <w:p>
      <w:pPr>
        <w:spacing w:after="0" w:line="90" w:lineRule="exact"/>
        <w:rPr>
          <w:rFonts w:ascii="Times New Roman" w:cs="Times New Roman" w:eastAsia="Times New Roman" w:hAnsi="Times New Roman"/>
          <w:sz w:val="23"/>
          <w:szCs w:val="23"/>
          <w:color w:val="auto"/>
          <w:vertAlign w:val="superscript"/>
        </w:rPr>
      </w:pPr>
    </w:p>
    <w:p>
      <w:pPr>
        <w:jc w:val="both"/>
        <w:ind w:left="340" w:right="260" w:hanging="332"/>
        <w:spacing w:after="0" w:line="251" w:lineRule="auto"/>
        <w:tabs>
          <w:tab w:leader="none" w:pos="328"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82" w:lineRule="exact"/>
        <w:rPr>
          <w:rFonts w:ascii="Times New Roman" w:cs="Times New Roman" w:eastAsia="Times New Roman" w:hAnsi="Times New Roman"/>
          <w:sz w:val="22"/>
          <w:szCs w:val="22"/>
          <w:color w:val="auto"/>
          <w:vertAlign w:val="superscript"/>
        </w:rPr>
      </w:pPr>
    </w:p>
    <w:p>
      <w:pPr>
        <w:ind w:left="340" w:right="700" w:hanging="332"/>
        <w:spacing w:after="0" w:line="209" w:lineRule="auto"/>
        <w:tabs>
          <w:tab w:leader="none" w:pos="32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Fourth-quarter and full-year 2025 includes the impact of a net cash outflow of $1.786 billion and $2.651 billion, respectively, for acquisitions, including our Cactus III acquisition completed during the fourth quarter of 2025.</w:t>
      </w:r>
    </w:p>
    <w:p>
      <w:pPr>
        <w:ind w:left="5440" w:hanging="106"/>
        <w:spacing w:after="0"/>
        <w:tabs>
          <w:tab w:leader="none" w:pos="54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Disaggregation of Adjusted EBITDA by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color w:val="auto"/>
          <w:vertAlign w:val="superscript"/>
        </w:rPr>
        <w:t>(1)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(unaudited)</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from</w:t>
            </w:r>
          </w:p>
        </w:tc>
        <w:tc>
          <w:tcPr>
            <w:tcW w:w="160" w:type="dxa"/>
            <w:vAlign w:val="bottom"/>
          </w:tcPr>
          <w:p>
            <w:pPr>
              <w:spacing w:after="0"/>
              <w:rPr>
                <w:sz w:val="16"/>
                <w:szCs w:val="16"/>
                <w:color w:val="auto"/>
              </w:rPr>
            </w:pPr>
          </w:p>
        </w:tc>
        <w:tc>
          <w:tcPr>
            <w:tcW w:w="1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Adjusted EBITDA from</w:t>
            </w:r>
          </w:p>
        </w:tc>
      </w:tr>
      <w:tr>
        <w:trPr>
          <w:trHeight w:val="214"/>
        </w:trPr>
        <w:tc>
          <w:tcPr>
            <w:tcW w:w="3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160" w:type="dxa"/>
            <w:vAlign w:val="bottom"/>
          </w:tcPr>
          <w:p>
            <w:pPr>
              <w:spacing w:after="0"/>
              <w:rPr>
                <w:sz w:val="18"/>
                <w:szCs w:val="18"/>
                <w:color w:val="auto"/>
              </w:rPr>
            </w:pPr>
          </w:p>
        </w:tc>
        <w:tc>
          <w:tcPr>
            <w:tcW w:w="1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Three Months Ended December 31, 2024</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154</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22"/>
        </w:trPr>
        <w:tc>
          <w:tcPr>
            <w:tcW w:w="698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7 %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(21)%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379"/>
        </w:trPr>
        <w:tc>
          <w:tcPr>
            <w:tcW w:w="39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Adjusted EBITDA from</w:t>
            </w:r>
          </w:p>
        </w:tc>
        <w:tc>
          <w:tcPr>
            <w:tcW w:w="160" w:type="dxa"/>
            <w:vAlign w:val="bottom"/>
          </w:tcPr>
          <w:p>
            <w:pPr>
              <w:spacing w:after="0"/>
              <w:rPr>
                <w:sz w:val="24"/>
                <w:szCs w:val="24"/>
                <w:color w:val="auto"/>
              </w:rPr>
            </w:pPr>
          </w:p>
        </w:tc>
        <w:tc>
          <w:tcPr>
            <w:tcW w:w="1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Adjusted EBITDA from</w:t>
            </w:r>
          </w:p>
        </w:tc>
      </w:tr>
      <w:tr>
        <w:trPr>
          <w:trHeight w:val="214"/>
        </w:trPr>
        <w:tc>
          <w:tcPr>
            <w:tcW w:w="3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Crude Oil</w:t>
            </w:r>
          </w:p>
        </w:tc>
        <w:tc>
          <w:tcPr>
            <w:tcW w:w="160" w:type="dxa"/>
            <w:vAlign w:val="bottom"/>
          </w:tcPr>
          <w:p>
            <w:pPr>
              <w:spacing w:after="0"/>
              <w:rPr>
                <w:sz w:val="18"/>
                <w:szCs w:val="18"/>
                <w:color w:val="auto"/>
              </w:rPr>
            </w:pPr>
          </w:p>
        </w:tc>
        <w:tc>
          <w:tcPr>
            <w:tcW w:w="192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NGL</w:t>
            </w:r>
          </w:p>
        </w:tc>
      </w:tr>
      <w:tr>
        <w:trPr>
          <w:trHeight w:val="250"/>
        </w:trPr>
        <w:tc>
          <w:tcPr>
            <w:tcW w:w="6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Twelve Months Ended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469</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Twelve Months Ended December 31, 2024</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2,276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134"/>
              <w:spacing w:after="0" w:line="203" w:lineRule="exact"/>
              <w:rPr>
                <w:sz w:val="20"/>
                <w:szCs w:val="20"/>
                <w:color w:val="auto"/>
              </w:rPr>
            </w:pPr>
            <w:r>
              <w:rPr>
                <w:rFonts w:ascii="Times New Roman" w:cs="Times New Roman" w:eastAsia="Times New Roman" w:hAnsi="Times New Roman"/>
                <w:sz w:val="18"/>
                <w:szCs w:val="18"/>
                <w:color w:val="auto"/>
              </w:rPr>
              <w:t>480</w:t>
            </w: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24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Percentage change versus 2024 period</w:t>
            </w: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3920" w:type="dxa"/>
            <w:vAlign w:val="bottom"/>
            <w:tcBorders>
              <w:bottom w:val="single" w:sz="8" w:color="auto"/>
            </w:tcBorders>
          </w:tcPr>
          <w:p>
            <w:pPr>
              <w:spacing w:after="0"/>
              <w:rPr>
                <w:sz w:val="5"/>
                <w:szCs w:val="5"/>
                <w:color w:val="auto"/>
              </w:rPr>
            </w:pPr>
          </w:p>
        </w:tc>
        <w:tc>
          <w:tcPr>
            <w:tcW w:w="3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tcPr>
          <w:p>
            <w:pPr>
              <w:spacing w:after="0"/>
              <w:rPr>
                <w:sz w:val="5"/>
                <w:szCs w:val="5"/>
                <w:color w:val="auto"/>
              </w:rPr>
            </w:pPr>
          </w:p>
        </w:tc>
      </w:tr>
    </w:tbl>
    <w:p>
      <w:pPr>
        <w:spacing w:after="0" w:line="181"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89" w:lineRule="exact"/>
        <w:rPr>
          <w:rFonts w:ascii="Times New Roman" w:cs="Times New Roman" w:eastAsia="Times New Roman" w:hAnsi="Times New Roman"/>
          <w:sz w:val="23"/>
          <w:szCs w:val="23"/>
          <w:color w:val="auto"/>
          <w:vertAlign w:val="superscript"/>
        </w:rPr>
      </w:pPr>
    </w:p>
    <w:p>
      <w:pPr>
        <w:ind w:left="340" w:right="60" w:hanging="332"/>
        <w:spacing w:after="0" w:line="235" w:lineRule="auto"/>
        <w:tabs>
          <w:tab w:leader="none" w:pos="26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section of this release entitled “Non-GAAP Financial Measures and Selected Items Impacting Comparability” and the tables attached hereto for information regarding our Non-GAAP financial measures, including their reconciliation to the most directly comparable measures as reported in accordance with GAAP, and certain selected items that PAA believes impact comparability of financial results between reporting periods.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Fourth-quarter 2025 Adjusted EBITDA from Crude Oil increased 7% versus comparable 2024 results. Favorable results in the 2025 period from</w:t>
      </w:r>
    </w:p>
    <w:p>
      <w:pPr>
        <w:spacing w:after="0" w:line="27" w:lineRule="exact"/>
        <w:rPr>
          <w:sz w:val="20"/>
          <w:szCs w:val="20"/>
          <w:color w:val="auto"/>
        </w:rPr>
      </w:pPr>
    </w:p>
    <w:p>
      <w:pPr>
        <w:ind w:right="220" w:firstLine="8"/>
        <w:spacing w:after="0" w:line="260" w:lineRule="auto"/>
        <w:tabs>
          <w:tab w:leader="none" w:pos="2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from recently completed bolt-on acquisitions, including our Cactus III pipeline acquisition, (ii) higher volumes on our pipelines and (iii) tariff escalations were offset by the impact of (iv) certain Permian long-haul pipeline contract rate resets and (v) lower commodity prices.</w:t>
      </w:r>
    </w:p>
    <w:p>
      <w:pPr>
        <w:spacing w:after="0" w:line="2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Fourth-quarter 2025 Adjusted EBITDA from NGL decreased 21% versus comparable 2024 results primarily due to lower sales volumes and lower weighted average frac spreads.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w:t>
      </w:r>
    </w:p>
    <w:p>
      <w:pPr>
        <w:spacing w:after="0" w:line="25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PAGP owns an indirect non-economic controlling interest in PAA’s general partner and an indirect limited partner interest in PAA. As the control entity of PAA, PAGP consolidates PAA’s results into its financial statements, which is reflected in the condensed consolidating balance sheet and income statement tables attached hereto.</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 and Webcast Instructions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will hold a joint conference call at 9:00 a.m. CT on Friday, February 6, 2026 to discuss fourth-quarter performance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access the internet webcast, please go to https://edge.media-server.com/mmc/p/3ksb2gmv/.</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Alternatively, the webcast can be accessed on our website at https://ir.plains.com/news-events/events-presentations. Following the live webcast, an audio replay will be available on our website and will be accessible for a period of 365 days. Slides will be posted prior to the call at the above referenced website.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Selected Items Impacting Comparability</w:t>
      </w:r>
    </w:p>
    <w:p>
      <w:pPr>
        <w:spacing w:after="0" w:line="17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Page 4</w:t>
      </w:r>
    </w:p>
    <w:p>
      <w:pPr>
        <w:spacing w:after="0" w:line="200" w:lineRule="exact"/>
        <w:rPr>
          <w:sz w:val="20"/>
          <w:szCs w:val="20"/>
          <w:color w:val="auto"/>
        </w:rPr>
      </w:pPr>
    </w:p>
    <w:p>
      <w:pPr>
        <w:spacing w:after="0" w:line="24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Implied DCF and certain other non-GAAP financial performance measures are reconciled to Net Income, and Adjusted Free Cash Flow, Adjusted Free Cash Flow after Distributions and certain other non-GAAP financial liquidity measures are reconciled to Net Cash Provided by Operating Activities (the most directly comparable measures as reported in accordance with GAAP) for the historical periods presented in the tables attached to this release, and should be viewed in addition to, and not in lieu of, our Consolidated Financial Statements and accompanying notes. In addition, we encourage you to visit the Investor Relations section of our website at www.plains.com (navigate to the “Financials” tab, then click on “Quarterly Results”), which presents a reconciliation of our commonly used non-GAAP and supplemental financial measures. We do not reconcile non-GAAP financial measures on a forward-looking basis as it is impractical to do so without unreasonable effort.</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firstLine="8"/>
        <w:spacing w:after="0" w:line="253"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interest income on promissory notes by and among certain Plains entities, and (vii) adjusted for certain selected items impacting comparability. Adjusted EBITDA attributable to PAA excludes the portion of Adjusted EBITDA that is attributable to noncontrolling interests. Adjusted EBITDA disaggregated by product (e.g., Adjusted EBITDA from Crude Oil and Adjusted EBITDA from NGL) excludes amounts related to Other income/(expense).</w:t>
      </w:r>
    </w:p>
    <w:p>
      <w:pPr>
        <w:spacing w:after="0" w:line="21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and (ii) provide investors with the same financial analytical framework upon which management bases financial, operational, compensation and planning/budgeting decisions. We also present these and additional non-GAAP financial measures, including adjusted net income attributable to PAA and basic and diluted adjusted net income per common unit, as they are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be further adjusted to include amounts related to deficiencies associated with minimum volume commitments whereby we have billed the counterparties for their deficiency obligation and such amounts are recognized as deferred revenue in “Other current liabilities” in our Consolidated Financial Statements. We also adjust for amounts billed by our equity method investees related to deficiencies under minimum volume commitments. Such amounts are presented net of applicable amounts subsequently recognized into revenue. Furthermore, the calculation of these measures contemplates tax effects as a separate reconciling item, where applicable. We have defined all such items as “selected items impacting comparability.” Due to the nature of the selected items, certain selected items impacting comparability may impact certain non-GAAP financial measures, referred to as adjusted results, but not impact other non-GAAP financial measures.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Page 5</w:t>
      </w:r>
    </w:p>
    <w:p>
      <w:pPr>
        <w:spacing w:after="0" w:line="200" w:lineRule="exact"/>
        <w:rPr>
          <w:sz w:val="20"/>
          <w:szCs w:val="20"/>
          <w:color w:val="auto"/>
        </w:rPr>
      </w:pPr>
    </w:p>
    <w:p>
      <w:pPr>
        <w:spacing w:after="0" w:line="24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These types of variations may not be separately identified in this release, but will be discussed, as applicable, in management’s discussion and analysis of operating results in our Annual Report on Form 10-K.</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Liquidity Measures</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w:t>
      </w:r>
    </w:p>
    <w:p>
      <w:pPr>
        <w:spacing w:after="0" w:line="21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also present these measures and additional non-GAAP financial liquidity measures as they are measures that investors have indicated are useful. We present Adjusted Free Cash Flow (Excluding Changes in Assets &amp; Liabilities) for use in assessing our underlying business liquidity and cash flow generating capacity excluding fluctuations caused by timing of when amounts earned or incurred were collected, received or paid from period to period. Adjusted Free Cash Flow (Excluding Changes in Assets &amp; Liabilities) is defined as Adjusted Free Cash Flow excluding the impact of “Changes in assets and liabilities, net of acquisitions” on our Condensed Consolidated Statements of Cash Flows. Adjusted Free Cash Flow (Excluding Changes in Assets &amp; Liabilities) is further reduced by cash distributions paid to our preferred and common unitholders to arrive at Adjusted Free Cash Flow after Distributions (Excluding Changes in Assets &amp; Liabilities).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Measures and Discontinued Operations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Management believes that the presentation of certain Non-GAAP financial performance measures, such as Adjusted EBITDA, Adjusted EBITDA attributable to PAA, Implied DCF, Adjusted Net Income attributable to PAA, Adjusted Net Income per Common Unit, Adjusted EBITDA from Crude Oil and Adjusted EBITDA from NGL,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the end of the first quarter of 2026, management continues to view the Canadian NGL Business as a component of our overall company performance and ability to fund distributions to our unitholders in the near term.</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auto"/>
        </w:rPr>
        <w:t>Page 6</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unit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24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48,889</w:t>
            </w:r>
          </w:p>
        </w:tc>
      </w:tr>
      <w:tr>
        <w:trPr>
          <w:trHeight w:val="148"/>
        </w:trPr>
        <w:tc>
          <w:tcPr>
            <w:tcW w:w="3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45,162</w:t>
            </w:r>
          </w:p>
        </w:tc>
      </w:tr>
      <w:tr>
        <w:trPr>
          <w:trHeight w:val="219"/>
        </w:trPr>
        <w:tc>
          <w:tcPr>
            <w:tcW w:w="6100" w:type="dxa"/>
            <w:vAlign w:val="bottom"/>
            <w:gridSpan w:val="2"/>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Field operating costs </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w:t>
            </w: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13"/>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2"/>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48,021</w:t>
            </w:r>
          </w:p>
        </w:tc>
      </w:tr>
      <w:tr>
        <w:trPr>
          <w:trHeight w:val="149"/>
        </w:trPr>
        <w:tc>
          <w:tcPr>
            <w:tcW w:w="3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r>
      <w:tr>
        <w:trPr>
          <w:trHeight w:val="148"/>
        </w:trPr>
        <w:tc>
          <w:tcPr>
            <w:tcW w:w="38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61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w:t>
            </w:r>
            <w:r>
              <w:rPr>
                <w:rFonts w:ascii="Times New Roman" w:cs="Times New Roman" w:eastAsia="Times New Roman" w:hAnsi="Times New Roman"/>
                <w:sz w:val="21"/>
                <w:szCs w:val="21"/>
                <w:color w:val="auto"/>
                <w:vertAlign w:val="superscript"/>
              </w:rPr>
              <w:t>(2)</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r>
      <w:tr>
        <w:trPr>
          <w:trHeight w:val="216"/>
        </w:trPr>
        <w:tc>
          <w:tcPr>
            <w:tcW w:w="610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income, net </w:t>
            </w:r>
            <w:r>
              <w:rPr>
                <w:rFonts w:ascii="Times New Roman" w:cs="Times New Roman" w:eastAsia="Times New Roman" w:hAnsi="Times New Roman"/>
                <w:sz w:val="21"/>
                <w:szCs w:val="21"/>
                <w:color w:val="auto"/>
                <w:vertAlign w:val="superscript"/>
              </w:rPr>
              <w:t>(2)</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128"/>
        </w:trPr>
        <w:tc>
          <w:tcPr>
            <w:tcW w:w="38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1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benefit/(expense) from continuing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w:t>
            </w:r>
          </w:p>
        </w:tc>
      </w:tr>
      <w:tr>
        <w:trPr>
          <w:trHeight w:val="151"/>
        </w:trPr>
        <w:tc>
          <w:tcPr>
            <w:tcW w:w="388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DISCONTINUED OPERATIONS, NET OF TAX</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150"/>
        </w:trPr>
        <w:tc>
          <w:tcPr>
            <w:tcW w:w="388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18"/>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0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8"/>
        </w:trPr>
        <w:tc>
          <w:tcPr>
            <w:tcW w:w="38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1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PER COMMON UNIT: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8"/>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r>
      <w:tr>
        <w:trPr>
          <w:trHeight w:val="219"/>
        </w:trPr>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07"/>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w:t>
            </w: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8"/>
        </w:trPr>
        <w:tc>
          <w:tcPr>
            <w:tcW w:w="38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213"/>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151"/>
        </w:trPr>
        <w:tc>
          <w:tcPr>
            <w:tcW w:w="388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13"/>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r>
      <w:tr>
        <w:trPr>
          <w:trHeight w:val="213"/>
        </w:trPr>
        <w:tc>
          <w:tcPr>
            <w:tcW w:w="610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r>
      <w:tr>
        <w:trPr>
          <w:trHeight w:val="234"/>
        </w:trPr>
        <w:tc>
          <w:tcPr>
            <w:tcW w:w="61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3880" w:type="dxa"/>
            <w:vAlign w:val="bottom"/>
            <w:tcBorders>
              <w:bottom w:val="single" w:sz="8" w:color="auto"/>
            </w:tcBorders>
          </w:tcPr>
          <w:p>
            <w:pPr>
              <w:spacing w:after="0"/>
              <w:rPr>
                <w:sz w:val="9"/>
                <w:szCs w:val="9"/>
                <w:color w:val="auto"/>
              </w:rPr>
            </w:pPr>
          </w:p>
        </w:tc>
        <w:tc>
          <w:tcPr>
            <w:tcW w:w="2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r>
    </w:tbl>
    <w:p>
      <w:pPr>
        <w:spacing w:after="0" w:line="135" w:lineRule="exact"/>
        <w:rPr>
          <w:sz w:val="20"/>
          <w:szCs w:val="20"/>
          <w:color w:val="auto"/>
        </w:rPr>
      </w:pPr>
    </w:p>
    <w:p>
      <w:pPr>
        <w:ind w:left="340" w:right="300" w:hanging="332"/>
        <w:spacing w:after="0" w:line="237"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twelve months ended December 31, 2024, Field operating costs include $225 million and $345 million, respectively, resulting from adjustments related to the Line 901 incident that occurred in May 2015, including the write-off of a receivable for Line 901 insurance proceeds in the fourth quarter of 2024 and settlements in the third quarter of 2024.</w:t>
      </w:r>
    </w:p>
    <w:p>
      <w:pPr>
        <w:spacing w:after="0" w:line="32" w:lineRule="exact"/>
        <w:rPr>
          <w:rFonts w:ascii="Times New Roman" w:cs="Times New Roman" w:eastAsia="Times New Roman" w:hAnsi="Times New Roman"/>
          <w:sz w:val="21"/>
          <w:szCs w:val="21"/>
          <w:color w:val="auto"/>
          <w:vertAlign w:val="superscript"/>
        </w:rPr>
      </w:pPr>
    </w:p>
    <w:p>
      <w:pPr>
        <w:ind w:left="340" w:right="120" w:hanging="332"/>
        <w:spacing w:after="0" w:line="229" w:lineRule="auto"/>
        <w:tabs>
          <w:tab w:leader="none" w:pos="328"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“Interest expense, net” and “Other income, net” each include $22 million and $87 million for the three and twelve months ended December 31, 2025, respectively, and $17 million and $48 million for the three and twelve months ended December 31, 2024, respectively, related to interest on such related party promissory notes. These amounts offset and do not impact Net Income or Non-GAAP metrics such as Adjusted EBITDA, Implied DCF and Adjusted Free Cash Flow.</w:t>
      </w:r>
    </w:p>
    <w:p>
      <w:pPr>
        <w:ind w:left="5440" w:hanging="106"/>
        <w:spacing w:after="0"/>
        <w:tabs>
          <w:tab w:leader="none" w:pos="54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Page 7</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56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2"/>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assets (including Cash and cash equivalents of $328 and $348, respectively) </w:t>
            </w:r>
            <w:r>
              <w:rPr>
                <w:rFonts w:ascii="Times New Roman" w:cs="Times New Roman" w:eastAsia="Times New Roman" w:hAnsi="Times New Roman"/>
                <w:sz w:val="21"/>
                <w:szCs w:val="21"/>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1,677</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Linefill</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right-of-use assets, net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inventory</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assets of discontinued operations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w:t>
            </w:r>
          </w:p>
        </w:tc>
      </w:tr>
      <w:tr>
        <w:trPr>
          <w:trHeight w:val="213"/>
        </w:trPr>
        <w:tc>
          <w:tcPr>
            <w:tcW w:w="8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assets, net</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34"/>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65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PARTNERS’ CAPITAL</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7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Current liabilities </w:t>
            </w:r>
            <w:r>
              <w:rPr>
                <w:rFonts w:ascii="Times New Roman" w:cs="Times New Roman" w:eastAsia="Times New Roman" w:hAnsi="Times New Roman"/>
                <w:sz w:val="21"/>
                <w:szCs w:val="21"/>
                <w:color w:val="auto"/>
                <w:vertAlign w:val="superscript"/>
              </w:rPr>
              <w:t>(2)</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4,950</w:t>
            </w:r>
          </w:p>
        </w:tc>
      </w:tr>
      <w:tr>
        <w:trPr>
          <w:trHeight w:val="216"/>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net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7,141</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long-term debt, net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liabilities of discontinued operations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 and deferred credits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07"/>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13,466</w:t>
            </w:r>
          </w:p>
        </w:tc>
      </w:tr>
      <w:tr>
        <w:trPr>
          <w:trHeight w:val="165"/>
        </w:trPr>
        <w:tc>
          <w:tcPr>
            <w:tcW w:w="65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21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9,813</w:t>
            </w:r>
          </w:p>
        </w:tc>
      </w:tr>
      <w:tr>
        <w:trPr>
          <w:trHeight w:val="219"/>
        </w:trPr>
        <w:tc>
          <w:tcPr>
            <w:tcW w:w="8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3,283</w:t>
            </w:r>
          </w:p>
        </w:tc>
      </w:tr>
      <w:tr>
        <w:trPr>
          <w:trHeight w:val="207"/>
        </w:trPr>
        <w:tc>
          <w:tcPr>
            <w:tcW w:w="87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Total partners’ capital</w:t>
            </w: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13,096</w:t>
            </w:r>
          </w:p>
        </w:tc>
      </w:tr>
      <w:tr>
        <w:trPr>
          <w:trHeight w:val="235"/>
        </w:trPr>
        <w:tc>
          <w:tcPr>
            <w:tcW w:w="87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partners’ capital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26,562</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85"/>
        </w:trPr>
        <w:tc>
          <w:tcPr>
            <w:tcW w:w="656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r>
    </w:tbl>
    <w:p>
      <w:pPr>
        <w:spacing w:after="0" w:line="144"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current assets of discontinued operations of $479 million and $415 million as of December 31, 2025 and December 31, 2024, respectively.</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91" w:lineRule="auto"/>
        <w:tabs>
          <w:tab w:leader="none" w:pos="32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current liabilities of discontinued operations of $382 million and $350 million as of December 31, 2025 and December 31, 2024,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 CAPITALIZATION RATIOS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 except percentages)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1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6560" w:type="dxa"/>
            <w:vAlign w:val="bottom"/>
            <w:tcBorders>
              <w:bottom w:val="single" w:sz="8" w:color="CCEEFF"/>
            </w:tcBorders>
          </w:tcPr>
          <w:p>
            <w:pPr>
              <w:spacing w:after="0"/>
              <w:rPr>
                <w:sz w:val="17"/>
                <w:szCs w:val="17"/>
                <w:color w:val="auto"/>
              </w:rPr>
            </w:pPr>
          </w:p>
        </w:tc>
        <w:tc>
          <w:tcPr>
            <w:tcW w:w="19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408</w:t>
            </w: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10,698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7,213</w:t>
            </w:r>
          </w:p>
        </w:tc>
      </w:tr>
      <w:tr>
        <w:trPr>
          <w:trHeight w:val="237"/>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11,262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7,621</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65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216"/>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7,213</w:t>
            </w:r>
          </w:p>
        </w:tc>
      </w:tr>
      <w:tr>
        <w:trPr>
          <w:trHeight w:val="213"/>
        </w:trPr>
        <w:tc>
          <w:tcPr>
            <w:tcW w:w="8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Partners’ capital excluding noncontrolling interests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9,836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9,813</w:t>
            </w:r>
          </w:p>
        </w:tc>
      </w:tr>
      <w:tr>
        <w:trPr>
          <w:trHeight w:val="237"/>
        </w:trPr>
        <w:tc>
          <w:tcPr>
            <w:tcW w:w="84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book capitalization excluding noncontrolling interests (“Total book capitalization”)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17,026</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Total book capitalization, including short-term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21,098</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17,434</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29"/>
        </w:trPr>
        <w:tc>
          <w:tcPr>
            <w:tcW w:w="65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r>
      <w:tr>
        <w:trPr>
          <w:trHeight w:val="21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debt-to-total book capitalization</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r>
      <w:tr>
        <w:trPr>
          <w:trHeight w:val="219"/>
        </w:trPr>
        <w:tc>
          <w:tcPr>
            <w:tcW w:w="8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debt-to-total book capitalization, including short-term debt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162"/>
        </w:trPr>
        <w:tc>
          <w:tcPr>
            <w:tcW w:w="6560" w:type="dxa"/>
            <w:vAlign w:val="bottom"/>
            <w:tcBorders>
              <w:bottom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1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ind w:left="5440" w:hanging="106"/>
        <w:spacing w:after="0"/>
        <w:tabs>
          <w:tab w:leader="none" w:pos="54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t>Page 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40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INCOME/(LOSS) PER COMMON UNIT </w:t>
      </w:r>
      <w:r>
        <w:rPr>
          <w:rFonts w:ascii="Times New Roman" w:cs="Times New Roman" w:eastAsia="Times New Roman" w:hAnsi="Times New Roman"/>
          <w:sz w:val="18"/>
          <w:szCs w:val="18"/>
          <w:color w:val="auto"/>
        </w:rPr>
        <w:t>(in millions, except per unit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2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222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Common Unit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57"/>
        </w:trPr>
        <w:tc>
          <w:tcPr>
            <w:tcW w:w="38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9"/>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23"/>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29"/>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9"/>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10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7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56"/>
        </w:trPr>
        <w:tc>
          <w:tcPr>
            <w:tcW w:w="6100" w:type="dxa"/>
            <w:vAlign w:val="bottom"/>
            <w:gridSpan w:val="2"/>
          </w:tcPr>
          <w:p>
            <w:pPr>
              <w:ind w:left="240"/>
              <w:spacing w:after="0" w:line="156" w:lineRule="exact"/>
              <w:rPr>
                <w:sz w:val="20"/>
                <w:szCs w:val="20"/>
                <w:color w:val="auto"/>
              </w:rPr>
            </w:pPr>
            <w:r>
              <w:rPr>
                <w:rFonts w:ascii="Times New Roman" w:cs="Times New Roman" w:eastAsia="Times New Roman" w:hAnsi="Times New Roman"/>
                <w:sz w:val="18"/>
                <w:szCs w:val="18"/>
                <w:color w:val="auto"/>
              </w:rPr>
              <w:t>Net income/(loss) from continuing operations allocated to common unitholders -</w:t>
            </w: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43"/>
        </w:trPr>
        <w:tc>
          <w:tcPr>
            <w:tcW w:w="610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3"/>
                <w:szCs w:val="23"/>
                <w:color w:val="auto"/>
                <w:vertAlign w:val="superscript"/>
              </w:rPr>
              <w:t>(2)</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56"/>
        </w:trPr>
        <w:tc>
          <w:tcPr>
            <w:tcW w:w="388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5"/>
        </w:trPr>
        <w:tc>
          <w:tcPr>
            <w:tcW w:w="6100" w:type="dxa"/>
            <w:vAlign w:val="bottom"/>
            <w:gridSpan w:val="2"/>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Net income from discontinued operations allocated to common unitholders -</w:t>
            </w: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6100" w:type="dxa"/>
            <w:vAlign w:val="bottom"/>
            <w:gridSpan w:val="2"/>
            <w:shd w:val="clear" w:color="auto" w:fill="CCEEFF"/>
          </w:tcPr>
          <w:p>
            <w:pPr>
              <w:ind w:left="400"/>
              <w:spacing w:after="0" w:line="243" w:lineRule="exact"/>
              <w:rPr>
                <w:sz w:val="20"/>
                <w:szCs w:val="20"/>
                <w:color w:val="auto"/>
              </w:rPr>
            </w:pPr>
            <w:r>
              <w:rPr>
                <w:rFonts w:ascii="Times New Roman" w:cs="Times New Roman" w:eastAsia="Times New Roman" w:hAnsi="Times New Roman"/>
                <w:sz w:val="18"/>
                <w:szCs w:val="18"/>
                <w:color w:val="auto"/>
              </w:rPr>
              <w:t xml:space="preserve">Basic and Diluted </w:t>
            </w:r>
            <w:r>
              <w:rPr>
                <w:rFonts w:ascii="Times New Roman" w:cs="Times New Roman" w:eastAsia="Times New Roman" w:hAnsi="Times New Roman"/>
                <w:sz w:val="23"/>
                <w:szCs w:val="23"/>
                <w:color w:val="auto"/>
                <w:vertAlign w:val="superscript"/>
              </w:rPr>
              <w:t>(3)</w:t>
            </w:r>
          </w:p>
        </w:tc>
        <w:tc>
          <w:tcPr>
            <w:tcW w:w="780" w:type="dxa"/>
            <w:vAlign w:val="bottom"/>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56"/>
        </w:trPr>
        <w:tc>
          <w:tcPr>
            <w:tcW w:w="3880" w:type="dxa"/>
            <w:vAlign w:val="bottom"/>
            <w:tcBorders>
              <w:bottom w:val="single" w:sz="8" w:color="CCEEFF"/>
            </w:tcBorders>
          </w:tcPr>
          <w:p>
            <w:pPr>
              <w:spacing w:after="0"/>
              <w:rPr>
                <w:sz w:val="22"/>
                <w:szCs w:val="22"/>
                <w:color w:val="auto"/>
              </w:rPr>
            </w:pPr>
          </w:p>
        </w:tc>
        <w:tc>
          <w:tcPr>
            <w:tcW w:w="22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r>
      <w:tr>
        <w:trPr>
          <w:trHeight w:val="24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allocated to common unitholders - Basic and Diluted</w:t>
            </w: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(4) (5)</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256"/>
        </w:trPr>
        <w:tc>
          <w:tcPr>
            <w:tcW w:w="388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3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6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780" w:type="dxa"/>
            <w:vAlign w:val="bottom"/>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29"/>
        </w:trPr>
        <w:tc>
          <w:tcPr>
            <w:tcW w:w="6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23"/>
        </w:trPr>
        <w:tc>
          <w:tcPr>
            <w:tcW w:w="61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7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0"/>
        </w:trPr>
        <w:tc>
          <w:tcPr>
            <w:tcW w:w="3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8"/>
        </w:trPr>
        <w:tc>
          <w:tcPr>
            <w:tcW w:w="388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r>
    </w:tbl>
    <w:p>
      <w:pPr>
        <w:spacing w:after="0" w:line="135" w:lineRule="exact"/>
        <w:rPr>
          <w:sz w:val="20"/>
          <w:szCs w:val="20"/>
          <w:color w:val="auto"/>
        </w:rPr>
      </w:pPr>
    </w:p>
    <w:p>
      <w:pPr>
        <w:jc w:val="both"/>
        <w:ind w:left="340" w:right="60" w:hanging="332"/>
        <w:spacing w:after="0" w:line="237"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net income from continuing operations allocated to common unitholders.</w:t>
      </w:r>
    </w:p>
    <w:p>
      <w:pPr>
        <w:spacing w:after="0" w:line="32" w:lineRule="exact"/>
        <w:rPr>
          <w:rFonts w:ascii="Times New Roman" w:cs="Times New Roman" w:eastAsia="Times New Roman" w:hAnsi="Times New Roman"/>
          <w:sz w:val="21"/>
          <w:szCs w:val="21"/>
          <w:color w:val="auto"/>
          <w:vertAlign w:val="superscript"/>
        </w:rPr>
      </w:pPr>
    </w:p>
    <w:p>
      <w:pPr>
        <w:ind w:left="340" w:right="20" w:hanging="332"/>
        <w:spacing w:after="0" w:line="239"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We calculate net income/(loss) from continuing operations allocated to common unitholders based on the distributions pertaining to the current period’s net income.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p>
      <w:pPr>
        <w:spacing w:after="0" w:line="46" w:lineRule="exact"/>
        <w:rPr>
          <w:rFonts w:ascii="Times New Roman" w:cs="Times New Roman" w:eastAsia="Times New Roman" w:hAnsi="Times New Roman"/>
          <w:sz w:val="21"/>
          <w:szCs w:val="21"/>
          <w:color w:val="auto"/>
          <w:vertAlign w:val="superscript"/>
        </w:rPr>
      </w:pPr>
    </w:p>
    <w:p>
      <w:pPr>
        <w:ind w:left="340" w:right="700" w:hanging="332"/>
        <w:spacing w:after="0" w:line="225"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from discontinued operations allocated to common unitholders is Income from discontinued operations, net of tax as presented on our Condensed Consolidated Statements of Operations.</w:t>
      </w:r>
    </w:p>
    <w:p>
      <w:pPr>
        <w:spacing w:after="0" w:line="33" w:lineRule="exact"/>
        <w:rPr>
          <w:rFonts w:ascii="Times New Roman" w:cs="Times New Roman" w:eastAsia="Times New Roman" w:hAnsi="Times New Roman"/>
          <w:sz w:val="21"/>
          <w:szCs w:val="21"/>
          <w:color w:val="auto"/>
          <w:vertAlign w:val="superscript"/>
        </w:rPr>
      </w:pPr>
    </w:p>
    <w:p>
      <w:pPr>
        <w:ind w:left="340" w:right="60" w:hanging="332"/>
        <w:spacing w:after="0" w:line="232"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possible conversion of our Series A preferred units was excluded from the calculation of diluted net income/(loss) per common unit from continuing operations for each of the three and twelve months ended December 31, 2025 and 2024 as the effect was antidilutive.</w:t>
      </w:r>
    </w:p>
    <w:p>
      <w:pPr>
        <w:spacing w:after="0" w:line="34" w:lineRule="exact"/>
        <w:rPr>
          <w:rFonts w:ascii="Times New Roman" w:cs="Times New Roman" w:eastAsia="Times New Roman" w:hAnsi="Times New Roman"/>
          <w:sz w:val="21"/>
          <w:szCs w:val="21"/>
          <w:color w:val="auto"/>
          <w:vertAlign w:val="superscript"/>
        </w:rPr>
      </w:pPr>
    </w:p>
    <w:p>
      <w:pPr>
        <w:ind w:left="340" w:right="120" w:hanging="332"/>
        <w:spacing w:after="0" w:line="229" w:lineRule="auto"/>
        <w:tabs>
          <w:tab w:leader="none" w:pos="32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ind w:left="5440" w:hanging="106"/>
        <w:spacing w:after="0"/>
        <w:tabs>
          <w:tab w:leader="none" w:pos="54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auto"/>
        </w:rPr>
        <w:t>Page 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CASH FLOW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38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4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net income to net cash provided by operating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(Gains)/losses on asset sales, asset impairments and other, net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(Gain)/loss on foreign currency revaluation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Settlement of terminated interest rate hedging instruments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Distributions on earnings from unconsolidated entities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8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continuing operations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9"/>
        </w:trPr>
        <w:tc>
          <w:tcPr>
            <w:tcW w:w="8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provided by operating activities - 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8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r>
      <w:tr>
        <w:trPr>
          <w:trHeight w:val="216"/>
        </w:trPr>
        <w:tc>
          <w:tcPr>
            <w:tcW w:w="38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continuing operations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8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Cash used in investing activities - discontinued operations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8700" w:type="dxa"/>
            <w:vAlign w:val="bottom"/>
            <w:gridSpan w:val="2"/>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700" w:type="dxa"/>
            <w:vAlign w:val="bottom"/>
            <w:gridSpan w:val="2"/>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Net cash provided by/(used in) financing activities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38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8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 - continuing operations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translation adjustment - discontinued operations</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8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23"/>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0"/>
        </w:trPr>
        <w:tc>
          <w:tcPr>
            <w:tcW w:w="3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5"/>
        </w:trPr>
        <w:tc>
          <w:tcPr>
            <w:tcW w:w="3880" w:type="dxa"/>
            <w:vAlign w:val="bottom"/>
            <w:tcBorders>
              <w:bottom w:val="single" w:sz="8" w:color="auto"/>
            </w:tcBorders>
          </w:tcPr>
          <w:p>
            <w:pPr>
              <w:spacing w:after="0"/>
              <w:rPr>
                <w:sz w:val="13"/>
                <w:szCs w:val="13"/>
                <w:color w:val="auto"/>
              </w:rPr>
            </w:pPr>
          </w:p>
        </w:tc>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spacing w:after="0" w:line="130" w:lineRule="exact"/>
        <w:rPr>
          <w:sz w:val="20"/>
          <w:szCs w:val="20"/>
          <w:color w:val="auto"/>
        </w:rPr>
      </w:pPr>
    </w:p>
    <w:p>
      <w:pPr>
        <w:ind w:left="340" w:right="340" w:hanging="332"/>
        <w:spacing w:after="0" w:line="23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Certain Plains entities have issued promissory notes by and among such entities to facilitate financing. For the twelve months ended December 31, 2025 and 2024, “Net cash used in investing activities” includes a cash outflow of approximately $330 million and $629 million, respectively, associated with our investment in related party notes. An equal and offsetting cash inflow associated with our issuance of related party notes is included in “Net cash provided by/(used in) financing activities.”</w:t>
      </w:r>
    </w:p>
    <w:p>
      <w:pPr>
        <w:spacing w:after="0" w:line="36" w:lineRule="exact"/>
        <w:rPr>
          <w:rFonts w:ascii="Times New Roman" w:cs="Times New Roman" w:eastAsia="Times New Roman" w:hAnsi="Times New Roman"/>
          <w:sz w:val="23"/>
          <w:szCs w:val="23"/>
          <w:color w:val="auto"/>
          <w:vertAlign w:val="superscript"/>
        </w:rPr>
      </w:pPr>
    </w:p>
    <w:p>
      <w:pPr>
        <w:ind w:left="340" w:right="40" w:hanging="332"/>
        <w:spacing w:after="0" w:line="209" w:lineRule="auto"/>
        <w:tabs>
          <w:tab w:leader="none" w:pos="328"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2025 period includes a net cash outflow of $2.651 billion for acquisitions, including our Cactus III acquisition completed during the fourth quarter of 2025.</w:t>
      </w:r>
    </w:p>
    <w:p>
      <w:pPr>
        <w:ind w:left="5440" w:hanging="106"/>
        <w:spacing w:after="0"/>
        <w:tabs>
          <w:tab w:leader="none" w:pos="54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Page 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Net to PAA </w:t>
            </w:r>
            <w:r>
              <w:rPr>
                <w:rFonts w:ascii="Times New Roman" w:cs="Times New Roman" w:eastAsia="Times New Roman" w:hAnsi="Times New Roman"/>
                <w:sz w:val="18"/>
                <w:szCs w:val="18"/>
                <w:b w:val="1"/>
                <w:bCs w:val="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29"/>
        </w:trPr>
        <w:tc>
          <w:tcPr>
            <w:tcW w:w="3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5"/>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1"/>
                <w:szCs w:val="11"/>
                <w:color w:val="auto"/>
              </w:rPr>
            </w:pPr>
          </w:p>
        </w:tc>
        <w:tc>
          <w:tcPr>
            <w:tcW w:w="1560" w:type="dxa"/>
            <w:vAlign w:val="bottom"/>
            <w:gridSpan w:val="4"/>
          </w:tcPr>
          <w:p>
            <w:pPr>
              <w:jc w:val="center"/>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Twelve Months Ended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40" w:type="dxa"/>
            <w:vAlign w:val="bottom"/>
            <w:gridSpan w:val="5"/>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1"/>
                <w:szCs w:val="11"/>
                <w:color w:val="auto"/>
              </w:rPr>
            </w:pPr>
          </w:p>
        </w:tc>
        <w:tc>
          <w:tcPr>
            <w:tcW w:w="1560" w:type="dxa"/>
            <w:vAlign w:val="bottom"/>
            <w:gridSpan w:val="4"/>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7"/>
                <w:szCs w:val="17"/>
                <w:color w:val="auto"/>
              </w:rPr>
            </w:pPr>
          </w:p>
        </w:tc>
        <w:tc>
          <w:tcPr>
            <w:tcW w:w="17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7"/>
                <w:szCs w:val="17"/>
                <w:color w:val="auto"/>
              </w:rPr>
            </w:pPr>
          </w:p>
        </w:tc>
        <w:tc>
          <w:tcPr>
            <w:tcW w:w="16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7"/>
                <w:szCs w:val="17"/>
                <w:color w:val="auto"/>
              </w:rPr>
            </w:pPr>
          </w:p>
        </w:tc>
        <w:tc>
          <w:tcPr>
            <w:tcW w:w="15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388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capital expenditures: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30"/>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41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NGL </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 capital expenditures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30"/>
        </w:trPr>
        <w:tc>
          <w:tcPr>
            <w:tcW w:w="4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Maintenance capital expenditures </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 and Maintenance capital expenditures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
        </w:trPr>
        <w:tc>
          <w:tcPr>
            <w:tcW w:w="3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56"/>
        </w:trPr>
        <w:tc>
          <w:tcPr>
            <w:tcW w:w="38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expenditures attributable to noncontrolling interests.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“Discontinued Operations Detail” section for amounts attributable to discontinued operations.</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83" w:lineRule="auto"/>
        <w:tabs>
          <w:tab w:leader="none" w:pos="32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See the “Selected Financial Data by NGL” section for amounts attributable to discontinued operations.</w:t>
      </w:r>
    </w:p>
    <w:p>
      <w:pPr>
        <w:ind w:left="5440" w:hanging="106"/>
        <w:spacing w:after="0"/>
        <w:tabs>
          <w:tab w:leader="none" w:pos="54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Page 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RECONCILIATIONS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 millions, except per unit and ratio data)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Computation of Basic and Diluted Adjusted Net Income Per Common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 (2)</w:t>
      </w:r>
      <w:r>
        <w:rPr>
          <w:rFonts w:ascii="Times New Roman" w:cs="Times New Roman" w:eastAsia="Times New Roman" w:hAnsi="Times New Roman"/>
          <w:sz w:val="18"/>
          <w:szCs w:val="18"/>
          <w:b w:val="1"/>
          <w:bCs w:val="1"/>
          <w:color w:val="auto"/>
        </w:rPr>
        <w:t>:</w:t>
      </w:r>
    </w:p>
    <w:p>
      <w:pPr>
        <w:spacing w:after="0" w:line="274"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2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760" w:type="dxa"/>
            <w:vAlign w:val="bottom"/>
          </w:tcPr>
          <w:p>
            <w:pPr>
              <w:spacing w:after="0"/>
              <w:rPr>
                <w:sz w:val="16"/>
                <w:szCs w:val="16"/>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168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8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3" w:lineRule="exact"/>
        <w:rPr>
          <w:sz w:val="20"/>
          <w:szCs w:val="20"/>
          <w:color w:val="auto"/>
        </w:rPr>
      </w:pPr>
    </w:p>
    <w:p>
      <w:pPr>
        <w:sectPr>
          <w:pgSz w:w="11900" w:h="16838" w:orient="portrait"/>
          <w:cols w:equalWidth="0" w:num="1">
            <w:col w:w="11240"/>
          </w:cols>
          <w:pgMar w:left="320" w:top="364"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ind w:left="180"/>
        <w:spacing w:after="0" w:line="198" w:lineRule="auto"/>
        <w:rPr>
          <w:sz w:val="20"/>
          <w:szCs w:val="20"/>
          <w:color w:val="auto"/>
        </w:rPr>
      </w:pPr>
      <w:r>
        <w:rPr>
          <w:rFonts w:ascii="Times New Roman" w:cs="Times New Roman" w:eastAsia="Times New Roman" w:hAnsi="Times New Roman"/>
          <w:sz w:val="17"/>
          <w:szCs w:val="17"/>
          <w:color w:val="auto"/>
        </w:rPr>
        <w:t>Selected items impacting comparability - Adjusted net income attributable to PAA</w:t>
      </w:r>
    </w:p>
    <w:p>
      <w:pPr>
        <w:ind w:left="360"/>
        <w:spacing w:after="0"/>
        <w:rPr>
          <w:sz w:val="20"/>
          <w:szCs w:val="20"/>
          <w:color w:val="auto"/>
        </w:rPr>
      </w:pPr>
      <w:r>
        <w:rPr>
          <w:rFonts w:ascii="Times New Roman" w:cs="Times New Roman" w:eastAsia="Times New Roman" w:hAnsi="Times New Roman"/>
          <w:sz w:val="12"/>
          <w:szCs w:val="12"/>
          <w:color w:val="auto"/>
        </w:rPr>
        <w:t>(3)</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PAA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Other</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net income allocated to common unitholders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Basic and diluted weighted average common units outstanding </w:t>
      </w:r>
      <w:r>
        <w:rPr>
          <w:rFonts w:ascii="Times New Roman" w:cs="Times New Roman" w:eastAsia="Times New Roman" w:hAnsi="Times New Roman"/>
          <w:sz w:val="23"/>
          <w:szCs w:val="23"/>
          <w:color w:val="auto"/>
          <w:vertAlign w:val="superscript"/>
        </w:rPr>
        <w:t>(5)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2459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342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351"/>
        </w:trPr>
        <w:tc>
          <w:tcPr>
            <w:tcW w:w="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r>
      <w:tr>
        <w:trPr>
          <w:trHeight w:val="215"/>
        </w:trPr>
        <w:tc>
          <w:tcPr>
            <w:tcW w:w="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334</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8"/>
                <w:szCs w:val="18"/>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w:t>
            </w:r>
          </w:p>
        </w:tc>
      </w:tr>
      <w:tr>
        <w:trPr>
          <w:trHeight w:val="229"/>
        </w:trPr>
        <w:tc>
          <w:tcPr>
            <w:tcW w:w="5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rPr>
              <w:t>(36)</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3"/>
        </w:trPr>
        <w:tc>
          <w:tcPr>
            <w:tcW w:w="50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auto"/>
              </w:rPr>
              <w:t>(17)</w:t>
            </w:r>
          </w:p>
        </w:tc>
        <w:tc>
          <w:tcPr>
            <w:tcW w:w="4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5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281</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1"/>
        </w:trPr>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53"/>
        </w:trPr>
        <w:tc>
          <w:tcPr>
            <w:tcW w:w="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706</w:t>
            </w:r>
          </w:p>
        </w:tc>
        <w:tc>
          <w:tcPr>
            <w:tcW w:w="4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r>
      <w:tr>
        <w:trPr>
          <w:trHeight w:val="486"/>
        </w:trPr>
        <w:tc>
          <w:tcPr>
            <w:tcW w:w="5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95"/>
              </w:rPr>
              <w:t>0.40</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-33655</wp:posOffset>
            </wp:positionV>
            <wp:extent cx="7372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-7620</wp:posOffset>
            </wp:positionV>
            <wp:extent cx="737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-668020</wp:posOffset>
            </wp:positionV>
            <wp:extent cx="737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-822325</wp:posOffset>
            </wp:positionV>
            <wp:extent cx="7372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-1704975</wp:posOffset>
            </wp:positionV>
            <wp:extent cx="7372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120" w:space="120"/>
            <w:col w:w="100" w:space="660"/>
            <w:col w:w="4240"/>
          </w:cols>
          <w:pgMar w:left="320" w:top="364" w:right="339" w:bottom="1440" w:gutter="0" w:footer="0" w:header="0"/>
          <w:type w:val="continuous"/>
        </w:sectPr>
      </w:pPr>
    </w:p>
    <w:p>
      <w:pPr>
        <w:spacing w:after="0" w:line="88" w:lineRule="exact"/>
        <w:rPr>
          <w:sz w:val="20"/>
          <w:szCs w:val="20"/>
          <w:color w:val="auto"/>
        </w:rPr>
      </w:pPr>
    </w:p>
    <w:p>
      <w:pPr>
        <w:ind w:left="340" w:right="160" w:hanging="332"/>
        <w:spacing w:after="0" w:line="233" w:lineRule="auto"/>
        <w:tabs>
          <w:tab w:leader="none" w:pos="32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calculate adjusted net income allocated to common unitholders based on the distributions pertaining to the current period’s net income. After adjusting for the appropriate period’s distributions, the remaining undistributed earnings or excess distributions over earnings, if any, are allocated to the common unitholders and participating securities in accordance with the contractual terms of our partnership agreement in effect for the period and as further prescribed under the two-class method.</w:t>
      </w:r>
    </w:p>
    <w:p>
      <w:pPr>
        <w:spacing w:after="0" w:line="12"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See the “Selected Items Impacting Comparability” table for additional information.</w:t>
      </w:r>
    </w:p>
    <w:p>
      <w:pPr>
        <w:spacing w:after="0" w:line="55" w:lineRule="exact"/>
        <w:rPr>
          <w:rFonts w:ascii="Times New Roman" w:cs="Times New Roman" w:eastAsia="Times New Roman" w:hAnsi="Times New Roman"/>
          <w:sz w:val="19"/>
          <w:szCs w:val="19"/>
          <w:color w:val="auto"/>
          <w:vertAlign w:val="superscript"/>
        </w:rPr>
      </w:pPr>
    </w:p>
    <w:p>
      <w:pPr>
        <w:ind w:left="340" w:right="120" w:hanging="332"/>
        <w:spacing w:after="0" w:line="212" w:lineRule="auto"/>
        <w:tabs>
          <w:tab w:leader="none" w:pos="32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We repurchased approximately 12.7 million Series A preferred units on January 31, 2025. The difference between the cash we paid for the repurchase of such units and their carrying value on our balance sheet is considered a return to Series A preferred unitholders for the calculation of adjusted net income allocated to common unitholders.</w:t>
      </w:r>
    </w:p>
    <w:p>
      <w:pPr>
        <w:spacing w:after="0" w:line="42" w:lineRule="exact"/>
        <w:rPr>
          <w:rFonts w:ascii="Times New Roman" w:cs="Times New Roman" w:eastAsia="Times New Roman" w:hAnsi="Times New Roman"/>
          <w:sz w:val="19"/>
          <w:szCs w:val="19"/>
          <w:color w:val="auto"/>
          <w:vertAlign w:val="superscript"/>
        </w:rPr>
      </w:pPr>
    </w:p>
    <w:p>
      <w:pPr>
        <w:ind w:left="340" w:right="240" w:hanging="332"/>
        <w:spacing w:after="0" w:line="230" w:lineRule="auto"/>
        <w:tabs>
          <w:tab w:leader="none" w:pos="32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possible conversion of our Series A preferred units was excluded from the calculation of diluted adjusted net income per common unit for each of the three and twelve months ended December 31, 2025 and 2024 as the effect was antidilutive.</w:t>
      </w:r>
    </w:p>
    <w:p>
      <w:pPr>
        <w:spacing w:after="0" w:line="41" w:lineRule="exact"/>
        <w:rPr>
          <w:rFonts w:ascii="Times New Roman" w:cs="Times New Roman" w:eastAsia="Times New Roman" w:hAnsi="Times New Roman"/>
          <w:sz w:val="19"/>
          <w:szCs w:val="19"/>
          <w:color w:val="auto"/>
          <w:vertAlign w:val="superscript"/>
        </w:rPr>
      </w:pPr>
    </w:p>
    <w:p>
      <w:pPr>
        <w:ind w:left="340" w:right="100" w:hanging="332"/>
        <w:spacing w:after="0" w:line="233" w:lineRule="auto"/>
        <w:tabs>
          <w:tab w:leader="none" w:pos="32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are reduced by a hypothetical common unit repurchase based on the remaining unamortized fair value, as prescribed by the treasury stock method in guidance issued by the FASB.</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Net Income/(Loss) Per Common Unit to Adjusted Net Income Per Common Unit Reconciliation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7"/>
          <w:szCs w:val="17"/>
          <w:b w:val="1"/>
          <w:bCs w:val="1"/>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80" w:type="dxa"/>
            <w:vAlign w:val="bottom"/>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8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center"/>
              <w:ind w:left="195"/>
              <w:spacing w:after="0"/>
              <w:rPr>
                <w:sz w:val="20"/>
                <w:szCs w:val="20"/>
                <w:color w:val="auto"/>
              </w:rPr>
            </w:pPr>
            <w:r>
              <w:rPr>
                <w:rFonts w:ascii="Times New Roman" w:cs="Times New Roman" w:eastAsia="Times New Roman" w:hAnsi="Times New Roman"/>
                <w:sz w:val="18"/>
                <w:szCs w:val="18"/>
                <w:color w:val="auto"/>
                <w:w w:val="96"/>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30"/>
        </w:trPr>
        <w:tc>
          <w:tcPr>
            <w:tcW w:w="62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per common unit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19"/>
              <w:spacing w:after="0"/>
              <w:rPr>
                <w:sz w:val="20"/>
                <w:szCs w:val="20"/>
                <w:color w:val="auto"/>
              </w:rPr>
            </w:pPr>
            <w:r>
              <w:rPr>
                <w:rFonts w:ascii="Times New Roman" w:cs="Times New Roman" w:eastAsia="Times New Roman" w:hAnsi="Times New Roman"/>
                <w:sz w:val="18"/>
                <w:szCs w:val="18"/>
                <w:color w:val="auto"/>
                <w:w w:val="96"/>
              </w:rPr>
              <w:t>(0.01)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15"/>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0.78</w:t>
            </w:r>
          </w:p>
        </w:tc>
      </w:tr>
      <w:tr>
        <w:trPr>
          <w:trHeight w:val="248"/>
        </w:trPr>
        <w:tc>
          <w:tcPr>
            <w:tcW w:w="6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adjusted net income per common unit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339"/>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center"/>
              <w:ind w:left="215"/>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2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r>
    </w:tbl>
    <w:p>
      <w:pPr>
        <w:spacing w:after="0" w:line="96"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results from continuing operations and discontinued operations for all periods presented.</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line="233" w:lineRule="auto"/>
        <w:tabs>
          <w:tab w:leader="none" w:pos="320" w:val="left"/>
        </w:tabs>
        <w:numPr>
          <w:ilvl w:val="0"/>
          <w:numId w:val="1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“Selected Items Impacting Comparability” and the “Computation of Basic and Diluted Adjusted Net Income/(Loss) Per Common Unit” tables for additional information.</w:t>
      </w:r>
    </w:p>
    <w:p>
      <w:pPr>
        <w:ind w:left="5440" w:hanging="106"/>
        <w:spacing w:after="0"/>
        <w:tabs>
          <w:tab w:leader="none" w:pos="54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Page 12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to Adjusted EBITDA attributable to PAA and Implied DCF Reconciliation:</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680" w:type="dxa"/>
            <w:vAlign w:val="bottom"/>
            <w:gridSpan w:val="4"/>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7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7"/>
                <w:szCs w:val="17"/>
                <w:color w:val="auto"/>
              </w:rPr>
            </w:pPr>
          </w:p>
        </w:tc>
        <w:tc>
          <w:tcPr>
            <w:tcW w:w="16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74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1,113</w:t>
            </w:r>
          </w:p>
        </w:tc>
      </w:tr>
      <w:tr>
        <w:trPr>
          <w:trHeight w:val="216"/>
        </w:trPr>
        <w:tc>
          <w:tcPr>
            <w:tcW w:w="7460" w:type="dxa"/>
            <w:vAlign w:val="bottom"/>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of certain items </w:t>
            </w:r>
            <w:r>
              <w:rPr>
                <w:rFonts w:ascii="Times New Roman" w:cs="Times New Roman" w:eastAsia="Times New Roman" w:hAnsi="Times New Roman"/>
                <w:sz w:val="21"/>
                <w:szCs w:val="21"/>
                <w:color w:val="auto"/>
                <w:vertAlign w:val="superscript"/>
              </w:rPr>
              <w:t>(2)</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6"/>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 (benefit)/expense from continuing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7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Income tax expense from discontinued operations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from continuing operations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13"/>
        </w:trPr>
        <w:tc>
          <w:tcPr>
            <w:tcW w:w="7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 from discontinued operations</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9"/>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(Gains)/losses on asset sales, asset impairments and other, net from continuing operations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7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Losses on asset sales, asset impairments and other, net from discontinued operations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9"/>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7460" w:type="dxa"/>
            <w:vAlign w:val="bottom"/>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Depreciation and amortization of unconsolidated entities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6"/>
        </w:trPr>
        <w:tc>
          <w:tcPr>
            <w:tcW w:w="74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Selected items impacting comparability - Adjusted EBITDA </w:t>
            </w:r>
            <w:r>
              <w:rPr>
                <w:rFonts w:ascii="Times New Roman" w:cs="Times New Roman" w:eastAsia="Times New Roman" w:hAnsi="Times New Roman"/>
                <w:sz w:val="21"/>
                <w:szCs w:val="21"/>
                <w:color w:val="auto"/>
                <w:vertAlign w:val="superscript"/>
              </w:rPr>
              <w:t>(1) (4)</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0"/>
        </w:trPr>
        <w:tc>
          <w:tcPr>
            <w:tcW w:w="746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r>
      <w:tr>
        <w:trPr>
          <w:trHeight w:val="216"/>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EBITDA attributable to 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09"/>
        </w:trPr>
        <w:tc>
          <w:tcPr>
            <w:tcW w:w="7460" w:type="dxa"/>
            <w:vAlign w:val="bottom"/>
          </w:tcPr>
          <w:p>
            <w:pPr>
              <w:ind w:left="40"/>
              <w:spacing w:after="0" w:line="210" w:lineRule="exact"/>
              <w:rPr>
                <w:sz w:val="20"/>
                <w:szCs w:val="20"/>
                <w:color w:val="auto"/>
              </w:rPr>
            </w:pPr>
            <w:r>
              <w:rPr>
                <w:rFonts w:ascii="Times New Roman" w:cs="Times New Roman" w:eastAsia="Times New Roman" w:hAnsi="Times New Roman"/>
                <w:sz w:val="16"/>
                <w:szCs w:val="16"/>
                <w:color w:val="auto"/>
              </w:rPr>
              <w:t xml:space="preserve">Adjusted EBITDA attributable to PAA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75"/>
        </w:trPr>
        <w:tc>
          <w:tcPr>
            <w:tcW w:w="74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216"/>
        </w:trPr>
        <w:tc>
          <w:tcPr>
            <w:tcW w:w="74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3,326</w:t>
            </w:r>
          </w:p>
        </w:tc>
      </w:tr>
      <w:tr>
        <w:trPr>
          <w:trHeight w:val="216"/>
        </w:trPr>
        <w:tc>
          <w:tcPr>
            <w:tcW w:w="7460" w:type="dxa"/>
            <w:vAlign w:val="bottom"/>
            <w:shd w:val="clear" w:color="auto" w:fill="CCEEFF"/>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Interest expense, net of certain non-cash and other items </w:t>
            </w:r>
            <w:r>
              <w:rPr>
                <w:rFonts w:ascii="Times New Roman" w:cs="Times New Roman" w:eastAsia="Times New Roman" w:hAnsi="Times New Roman"/>
                <w:sz w:val="21"/>
                <w:szCs w:val="21"/>
                <w:color w:val="auto"/>
                <w:vertAlign w:val="superscript"/>
              </w:rPr>
              <w:t>(5)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3"/>
        </w:trPr>
        <w:tc>
          <w:tcPr>
            <w:tcW w:w="7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Maintenance capital from continuing operations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9"/>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Maintenance capital from discontinued operations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16"/>
        </w:trPr>
        <w:tc>
          <w:tcPr>
            <w:tcW w:w="7460" w:type="dxa"/>
            <w:vAlign w:val="bottom"/>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Investment capital of noncontrolling interests </w:t>
            </w:r>
            <w:r>
              <w:rPr>
                <w:rFonts w:ascii="Times New Roman" w:cs="Times New Roman" w:eastAsia="Times New Roman" w:hAnsi="Times New Roman"/>
                <w:sz w:val="21"/>
                <w:szCs w:val="21"/>
                <w:color w:val="auto"/>
                <w:vertAlign w:val="superscript"/>
              </w:rPr>
              <w:t>(6)</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216"/>
        </w:trPr>
        <w:tc>
          <w:tcPr>
            <w:tcW w:w="7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3"/>
        </w:trPr>
        <w:tc>
          <w:tcPr>
            <w:tcW w:w="74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income tax expense from discontinued operations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9"/>
        </w:trPr>
        <w:tc>
          <w:tcPr>
            <w:tcW w:w="7460" w:type="dxa"/>
            <w:vAlign w:val="bottom"/>
            <w:shd w:val="clear" w:color="auto" w:fill="CCEEFF"/>
          </w:tcPr>
          <w:p>
            <w:pPr>
              <w:ind w:left="100"/>
              <w:spacing w:after="0" w:line="219" w:lineRule="exact"/>
              <w:rPr>
                <w:sz w:val="20"/>
                <w:szCs w:val="20"/>
                <w:color w:val="auto"/>
              </w:rPr>
            </w:pPr>
            <w:r>
              <w:rPr>
                <w:rFonts w:ascii="Times New Roman" w:cs="Times New Roman" w:eastAsia="Times New Roman" w:hAnsi="Times New Roman"/>
                <w:sz w:val="16"/>
                <w:szCs w:val="16"/>
                <w:color w:val="auto"/>
              </w:rPr>
              <w:t xml:space="preserve">Distributions from unconsolidated entities in excess of/(less than) adjusted equity earnings </w:t>
            </w:r>
            <w:r>
              <w:rPr>
                <w:rFonts w:ascii="Times New Roman" w:cs="Times New Roman" w:eastAsia="Times New Roman" w:hAnsi="Times New Roman"/>
                <w:sz w:val="21"/>
                <w:szCs w:val="21"/>
                <w:color w:val="auto"/>
                <w:vertAlign w:val="superscript"/>
              </w:rPr>
              <w:t>(7)</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7460" w:type="dxa"/>
            <w:vAlign w:val="bottom"/>
            <w:tcBorders>
              <w:bottom w:val="single" w:sz="8" w:color="CCEEFF"/>
            </w:tcBorders>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Distributions to noncontrolling interests </w:t>
            </w:r>
            <w:r>
              <w:rPr>
                <w:rFonts w:ascii="Times New Roman" w:cs="Times New Roman" w:eastAsia="Times New Roman" w:hAnsi="Times New Roman"/>
                <w:sz w:val="21"/>
                <w:szCs w:val="21"/>
                <w:color w:val="auto"/>
                <w:vertAlign w:val="superscript"/>
              </w:rPr>
              <w:t>(8)</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209"/>
        </w:trPr>
        <w:tc>
          <w:tcPr>
            <w:tcW w:w="74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Implied DCF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w:t>
            </w:r>
          </w:p>
        </w:tc>
      </w:tr>
      <w:tr>
        <w:trPr>
          <w:trHeight w:val="216"/>
        </w:trPr>
        <w:tc>
          <w:tcPr>
            <w:tcW w:w="7460" w:type="dxa"/>
            <w:vAlign w:val="bottom"/>
            <w:tcBorders>
              <w:bottom w:val="single" w:sz="8" w:color="CCEEFF"/>
            </w:tcBorders>
          </w:tcPr>
          <w:p>
            <w:pPr>
              <w:ind w:left="100"/>
              <w:spacing w:after="0" w:line="216" w:lineRule="exact"/>
              <w:rPr>
                <w:sz w:val="20"/>
                <w:szCs w:val="20"/>
                <w:color w:val="auto"/>
              </w:rPr>
            </w:pPr>
            <w:r>
              <w:rPr>
                <w:rFonts w:ascii="Times New Roman" w:cs="Times New Roman" w:eastAsia="Times New Roman" w:hAnsi="Times New Roman"/>
                <w:sz w:val="16"/>
                <w:szCs w:val="16"/>
                <w:color w:val="auto"/>
              </w:rPr>
              <w:t xml:space="preserve">Preferred unit cash distributions paid </w:t>
            </w:r>
            <w:r>
              <w:rPr>
                <w:rFonts w:ascii="Times New Roman" w:cs="Times New Roman" w:eastAsia="Times New Roman" w:hAnsi="Times New Roman"/>
                <w:sz w:val="21"/>
                <w:szCs w:val="21"/>
                <w:color w:val="auto"/>
                <w:vertAlign w:val="superscript"/>
              </w:rPr>
              <w:t>(8)</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r>
      <w:tr>
        <w:trPr>
          <w:trHeight w:val="234"/>
        </w:trPr>
        <w:tc>
          <w:tcPr>
            <w:tcW w:w="7460" w:type="dxa"/>
            <w:vAlign w:val="bottom"/>
            <w:tcBorders>
              <w:bottom w:val="single" w:sz="8" w:color="CCEEFF"/>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Implied DCF Available to Common Unitholders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7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Outstanding</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13"/>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Units and Common Unit Equivalents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r>
      <w:tr>
        <w:trPr>
          <w:trHeight w:val="219"/>
        </w:trPr>
        <w:tc>
          <w:tcPr>
            <w:tcW w:w="74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Implied DCF per Common Unit </w:t>
            </w:r>
            <w:r>
              <w:rPr>
                <w:rFonts w:ascii="Times New Roman" w:cs="Times New Roman" w:eastAsia="Times New Roman" w:hAnsi="Times New Roman"/>
                <w:sz w:val="21"/>
                <w:szCs w:val="21"/>
                <w:color w:val="auto"/>
                <w:vertAlign w:val="superscript"/>
              </w:rPr>
              <w:t>(1) (9)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6"/>
        </w:trPr>
        <w:tc>
          <w:tcPr>
            <w:tcW w:w="74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Implied DCF per Common Unit and Common Unit Equivalent </w:t>
            </w:r>
            <w:r>
              <w:rPr>
                <w:rFonts w:ascii="Times New Roman" w:cs="Times New Roman" w:eastAsia="Times New Roman" w:hAnsi="Times New Roman"/>
                <w:sz w:val="21"/>
                <w:szCs w:val="21"/>
                <w:color w:val="auto"/>
                <w:vertAlign w:val="superscript"/>
              </w:rPr>
              <w:t>(1) (10)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6"/>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Distribution Paid per Common Unit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1.2700</w:t>
            </w:r>
          </w:p>
        </w:tc>
      </w:tr>
      <w:tr>
        <w:trPr>
          <w:trHeight w:val="216"/>
        </w:trPr>
        <w:tc>
          <w:tcPr>
            <w:tcW w:w="74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Unit Cash Distributions </w:t>
            </w:r>
            <w:r>
              <w:rPr>
                <w:rFonts w:ascii="Times New Roman" w:cs="Times New Roman" w:eastAsia="Times New Roman" w:hAnsi="Times New Roman"/>
                <w:sz w:val="21"/>
                <w:szCs w:val="21"/>
                <w:color w:val="auto"/>
                <w:vertAlign w:val="superscript"/>
              </w:rPr>
              <w:t>(8)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891</w:t>
            </w:r>
          </w:p>
        </w:tc>
      </w:tr>
      <w:tr>
        <w:trPr>
          <w:trHeight w:val="216"/>
        </w:trPr>
        <w:tc>
          <w:tcPr>
            <w:tcW w:w="7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Common Unit Distribution Coverage Ratio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1.79x</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2.01x</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1.72x</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1.97x</w:t>
            </w:r>
          </w:p>
        </w:tc>
      </w:tr>
      <w:tr>
        <w:trPr>
          <w:trHeight w:val="279"/>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Implied DCF Excess </w:t>
            </w:r>
            <w:r>
              <w:rPr>
                <w:rFonts w:ascii="Times New Roman" w:cs="Times New Roman" w:eastAsia="Times New Roman" w:hAnsi="Times New Roman"/>
                <w:sz w:val="21"/>
                <w:szCs w:val="2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24599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results from continuing operations and discontinued operations for all periods presented.</w:t>
      </w:r>
    </w:p>
    <w:p>
      <w:pPr>
        <w:spacing w:after="0" w:line="58"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Represents “Interest expense, net” as reported on our Condensed Consolidated Statements of Operations, net of interest income associated with promissory notes by and among certain Plains entities.</w:t>
      </w:r>
    </w:p>
    <w:p>
      <w:pPr>
        <w:spacing w:after="0" w:line="46"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Adjustment to exclude our proportionate share of depreciation and amortization expense (including write-downs related to cancelled projects and impairments) of unconsolidated entities.</w:t>
      </w:r>
    </w:p>
    <w:p>
      <w:pPr>
        <w:spacing w:after="0" w:line="59"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See the “Selected Items Impacting Comparability” table for additional information.</w:t>
      </w:r>
    </w:p>
    <w:p>
      <w:pPr>
        <w:spacing w:after="0" w:line="46" w:lineRule="exact"/>
        <w:rPr>
          <w:rFonts w:ascii="Times New Roman" w:cs="Times New Roman" w:eastAsia="Times New Roman" w:hAnsi="Times New Roman"/>
          <w:sz w:val="17"/>
          <w:szCs w:val="17"/>
          <w:color w:val="auto"/>
          <w:vertAlign w:val="superscript"/>
        </w:rPr>
      </w:pPr>
    </w:p>
    <w:p>
      <w:pPr>
        <w:ind w:left="340" w:right="40" w:hanging="332"/>
        <w:spacing w:after="0" w:line="222" w:lineRule="auto"/>
        <w:tabs>
          <w:tab w:leader="none" w:pos="331"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Amount excludes certain non-cash items impacting interest expense such as amortization of debt issuance costs and terminated interest rate swaps and is net of interest income associated with promissory notes by and among certain Plains entities.</w:t>
      </w:r>
    </w:p>
    <w:p>
      <w:pPr>
        <w:spacing w:after="0" w:line="20" w:lineRule="exact"/>
        <w:rPr>
          <w:rFonts w:ascii="Times New Roman" w:cs="Times New Roman" w:eastAsia="Times New Roman" w:hAnsi="Times New Roman"/>
          <w:sz w:val="17"/>
          <w:szCs w:val="17"/>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Investment capital expenditures attributable to noncontrolling interests that reduce Implied DCF available to PAA common unitholders.</w:t>
      </w:r>
    </w:p>
    <w:p>
      <w:pPr>
        <w:spacing w:after="0" w:line="45" w:lineRule="exact"/>
        <w:rPr>
          <w:rFonts w:ascii="Times New Roman" w:cs="Times New Roman" w:eastAsia="Times New Roman" w:hAnsi="Times New Roman"/>
          <w:sz w:val="17"/>
          <w:szCs w:val="17"/>
          <w:color w:val="auto"/>
          <w:vertAlign w:val="superscript"/>
        </w:rPr>
      </w:pPr>
    </w:p>
    <w:p>
      <w:pPr>
        <w:ind w:left="340" w:right="260" w:hanging="332"/>
        <w:spacing w:after="0" w:line="222" w:lineRule="auto"/>
        <w:tabs>
          <w:tab w:leader="none" w:pos="331"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Comprised of cash distributions received from unconsolidated entities less equity earnings in unconsolidated entities (adjusted for our proportionate share of depreciation and amortization, including write-downs related to cancelled projects and impairments, and selected items impacting comparability of unconsolidated entities)</w:t>
      </w:r>
    </w:p>
    <w:p>
      <w:pPr>
        <w:spacing w:after="0" w:line="7" w:lineRule="exact"/>
        <w:rPr>
          <w:rFonts w:ascii="Times New Roman" w:cs="Times New Roman" w:eastAsia="Times New Roman" w:hAnsi="Times New Roman"/>
          <w:sz w:val="17"/>
          <w:szCs w:val="17"/>
          <w:color w:val="auto"/>
          <w:vertAlign w:val="superscript"/>
        </w:rPr>
      </w:pPr>
    </w:p>
    <w:p>
      <w:pPr>
        <w:ind w:left="320" w:hanging="312"/>
        <w:spacing w:after="0"/>
        <w:tabs>
          <w:tab w:leader="none" w:pos="3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Cash distributions paid during the period presented.</w:t>
      </w:r>
    </w:p>
    <w:p>
      <w:pPr>
        <w:spacing w:after="0" w:line="58" w:lineRule="exact"/>
        <w:rPr>
          <w:rFonts w:ascii="Times New Roman" w:cs="Times New Roman" w:eastAsia="Times New Roman" w:hAnsi="Times New Roman"/>
          <w:sz w:val="17"/>
          <w:szCs w:val="17"/>
          <w:color w:val="auto"/>
          <w:vertAlign w:val="superscript"/>
        </w:rPr>
      </w:pPr>
    </w:p>
    <w:p>
      <w:pPr>
        <w:ind w:left="320" w:hanging="312"/>
        <w:spacing w:after="0" w:line="192" w:lineRule="auto"/>
        <w:tabs>
          <w:tab w:leader="none" w:pos="320"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divided by the weighted average common units outstanding for the period.</w:t>
      </w:r>
    </w:p>
    <w:p>
      <w:pPr>
        <w:spacing w:after="0" w:line="59" w:lineRule="exact"/>
        <w:rPr>
          <w:rFonts w:ascii="Times New Roman" w:cs="Times New Roman" w:eastAsia="Times New Roman" w:hAnsi="Times New Roman"/>
          <w:sz w:val="17"/>
          <w:szCs w:val="17"/>
          <w:color w:val="auto"/>
          <w:vertAlign w:val="superscript"/>
        </w:rPr>
      </w:pPr>
    </w:p>
    <w:p>
      <w:pPr>
        <w:ind w:left="340" w:right="200" w:hanging="332"/>
        <w:spacing w:after="0" w:line="209" w:lineRule="auto"/>
        <w:tabs>
          <w:tab w:leader="none" w:pos="332" w:val="left"/>
        </w:tabs>
        <w:numPr>
          <w:ilvl w:val="0"/>
          <w:numId w:val="17"/>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Implied DCF Available to Common Unitholders for the period, adjusted for Series A preferred unit cash distributions paid, divided by the weighted average common units and common unit equivalents outstanding for the period. Our Series A preferred units are convertible into common units, generally on a one-for-one basis and subject to customary anti-dilution adjustments, in whole or in part, subject to certain minimum conversion amounts.</w:t>
      </w:r>
    </w:p>
    <w:p>
      <w:pPr>
        <w:ind w:left="5440" w:hanging="106"/>
        <w:spacing w:after="0"/>
        <w:tabs>
          <w:tab w:leader="none" w:pos="54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auto"/>
        </w:rPr>
        <w:t>Page 13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Income/(Loss) Per Common Unit to Implied DCF Per Common Unit and Common Unit Equivalent Reconciliation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52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1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w:t>
            </w:r>
            <w:r>
              <w:rPr>
                <w:rFonts w:ascii="Times New Roman" w:cs="Times New Roman" w:eastAsia="Times New Roman" w:hAnsi="Times New Roman"/>
                <w:sz w:val="23"/>
                <w:szCs w:val="23"/>
                <w:color w:val="auto"/>
                <w:vertAlign w:val="superscript"/>
              </w:rPr>
              <w:t>(2) (3)</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w w:val="95"/>
              </w:rPr>
              <w:t>0.68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income/(loss) per common unit</w:t>
            </w:r>
          </w:p>
        </w:tc>
        <w:tc>
          <w:tcPr>
            <w:tcW w:w="740" w:type="dxa"/>
            <w:vAlign w:val="bottom"/>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29"/>
        </w:trPr>
        <w:tc>
          <w:tcPr>
            <w:tcW w:w="612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Reconciling items per common unit and common unit equivalent </w:t>
            </w:r>
            <w:r>
              <w:rPr>
                <w:rFonts w:ascii="Times New Roman" w:cs="Times New Roman" w:eastAsia="Times New Roman" w:hAnsi="Times New Roman"/>
                <w:sz w:val="23"/>
                <w:szCs w:val="23"/>
                <w:color w:val="auto"/>
                <w:vertAlign w:val="superscript"/>
              </w:rPr>
              <w:t>(2) (4)</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13"/>
              <w:spacing w:after="0"/>
              <w:rPr>
                <w:sz w:val="20"/>
                <w:szCs w:val="20"/>
                <w:color w:val="auto"/>
              </w:rPr>
            </w:pPr>
            <w:r>
              <w:rPr>
                <w:rFonts w:ascii="Times New Roman" w:cs="Times New Roman" w:eastAsia="Times New Roman" w:hAnsi="Times New Roman"/>
                <w:sz w:val="18"/>
                <w:szCs w:val="18"/>
                <w:color w:val="auto"/>
                <w:w w:val="95"/>
              </w:rPr>
              <w:t>0.68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48"/>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Implied DCF per common unit and common unit equivalent</w:t>
            </w: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8"/>
                <w:szCs w:val="18"/>
                <w:color w:val="auto"/>
                <w:w w:val="95"/>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00"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480" w:hanging="332"/>
        <w:spacing w:after="0" w:line="21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to Net Income to calculate Implied DCF Available to Common Unitholders. See the “Net Income to Adjusted EBITDA attributable to PAA and Implied DCF Reconciliation” table for additional information.</w:t>
      </w:r>
    </w:p>
    <w:p>
      <w:pPr>
        <w:spacing w:after="0" w:line="5"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periods of 706 million, 704 million, 704 million and 702 million, respectively.</w:t>
      </w:r>
    </w:p>
    <w:p>
      <w:pPr>
        <w:spacing w:after="0" w:line="55" w:lineRule="exact"/>
        <w:rPr>
          <w:rFonts w:ascii="Times New Roman" w:cs="Times New Roman" w:eastAsia="Times New Roman" w:hAnsi="Times New Roman"/>
          <w:sz w:val="23"/>
          <w:szCs w:val="23"/>
          <w:color w:val="auto"/>
          <w:vertAlign w:val="superscript"/>
        </w:rPr>
      </w:pPr>
    </w:p>
    <w:p>
      <w:pPr>
        <w:ind w:left="340" w:hanging="332"/>
        <w:spacing w:after="0" w:line="199" w:lineRule="auto"/>
        <w:tabs>
          <w:tab w:leader="none" w:pos="32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common units outstanding for the periods, as well as weighted average Series A preferred units outstanding of 58 million, 71 million, 59 million and 71 million, for the periods presented, respectively.</w:t>
      </w:r>
    </w:p>
    <w:p>
      <w:pPr>
        <w:ind w:left="5440" w:hanging="106"/>
        <w:spacing w:after="0"/>
        <w:tabs>
          <w:tab w:leader="none" w:pos="54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auto"/>
        </w:rPr>
        <w:t>Page 14</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 to Non-GAAP Financial Liquidity Measures Reconciliation: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4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cash provided by operating activities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176"/>
        </w:trPr>
        <w:tc>
          <w:tcPr>
            <w:tcW w:w="62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Flow:</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220" w:type="dxa"/>
            <w:vAlign w:val="bottom"/>
            <w:gridSpan w:val="2"/>
            <w:shd w:val="clear" w:color="auto" w:fill="CCEEFF"/>
          </w:tcPr>
          <w:p>
            <w:pPr>
              <w:ind w:left="140"/>
              <w:spacing w:after="0" w:line="234"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 (2) (3)</w:t>
            </w: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(264)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622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29"/>
        </w:trPr>
        <w:tc>
          <w:tcPr>
            <w:tcW w:w="622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48"/>
        </w:trPr>
        <w:tc>
          <w:tcPr>
            <w:tcW w:w="6220" w:type="dxa"/>
            <w:vAlign w:val="bottom"/>
            <w:tcBorders>
              <w:top w:val="single" w:sz="8" w:color="CCEEFF"/>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(1) (5)</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tcBorders>
              <w:bottom w:val="single" w:sz="8" w:color="CCEEFF"/>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48"/>
        </w:trPr>
        <w:tc>
          <w:tcPr>
            <w:tcW w:w="622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(1) (5) (7)</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38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3"/>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80" w:type="dxa"/>
            <w:vAlign w:val="bottom"/>
            <w:gridSpan w:val="4"/>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2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Adjusted Free Cash Flow </w:t>
            </w:r>
            <w:r>
              <w:rPr>
                <w:rFonts w:ascii="Times New Roman" w:cs="Times New Roman" w:eastAsia="Times New Roman" w:hAnsi="Times New Roman"/>
                <w:sz w:val="23"/>
                <w:szCs w:val="23"/>
                <w:color w:val="auto"/>
                <w:vertAlign w:val="superscript"/>
              </w:rPr>
              <w:t>(1) (5)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Changes in assets and liabilities, net of acquisitions </w:t>
            </w:r>
            <w:r>
              <w:rPr>
                <w:rFonts w:ascii="Times New Roman" w:cs="Times New Roman" w:eastAsia="Times New Roman" w:hAnsi="Times New Roman"/>
                <w:sz w:val="23"/>
                <w:szCs w:val="23"/>
                <w:color w:val="auto"/>
                <w:vertAlign w:val="superscript"/>
              </w:rPr>
              <w:t>(1) (8)</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56"/>
        </w:trPr>
        <w:tc>
          <w:tcPr>
            <w:tcW w:w="62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(Excluding Changes in Assets &amp;</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gridSpan w:val="2"/>
            <w:shd w:val="clear" w:color="auto" w:fill="CCEEFF"/>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(1) (9) (10)</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20" w:type="dxa"/>
            <w:vAlign w:val="bottom"/>
            <w:tcBorders>
              <w:bottom w:val="single" w:sz="8" w:color="CCEEFF"/>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(286)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(1,295)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155"/>
        </w:trPr>
        <w:tc>
          <w:tcPr>
            <w:tcW w:w="62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Adjusted Free Cash Flow after Distributions (Excluding Changes in Assets &amp;</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(152)</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Liabilities) </w:t>
            </w:r>
            <w:r>
              <w:rPr>
                <w:rFonts w:ascii="Times New Roman" w:cs="Times New Roman" w:eastAsia="Times New Roman" w:hAnsi="Times New Roman"/>
                <w:sz w:val="23"/>
                <w:szCs w:val="23"/>
                <w:color w:val="auto"/>
                <w:vertAlign w:val="superscript"/>
              </w:rPr>
              <w:t>(1) (9) (10)</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80" w:type="dxa"/>
            <w:vAlign w:val="bottom"/>
            <w:tcBorders>
              <w:bottom w:val="single" w:sz="8" w:color="auto"/>
            </w:tcBorders>
          </w:tcPr>
          <w:p>
            <w:pPr>
              <w:spacing w:after="0"/>
              <w:rPr>
                <w:sz w:val="16"/>
                <w:szCs w:val="16"/>
                <w:color w:val="auto"/>
              </w:rPr>
            </w:pPr>
          </w:p>
        </w:tc>
        <w:tc>
          <w:tcPr>
            <w:tcW w:w="2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results from continuing operations and discontinued operations for all periods presented.</w:t>
      </w:r>
    </w:p>
    <w:p>
      <w:pPr>
        <w:spacing w:after="0" w:line="50" w:lineRule="exact"/>
        <w:rPr>
          <w:rFonts w:ascii="Times New Roman" w:cs="Times New Roman" w:eastAsia="Times New Roman" w:hAnsi="Times New Roman"/>
          <w:sz w:val="21"/>
          <w:szCs w:val="21"/>
          <w:color w:val="auto"/>
          <w:vertAlign w:val="superscript"/>
        </w:rPr>
      </w:pPr>
    </w:p>
    <w:p>
      <w:pPr>
        <w:ind w:left="340" w:right="80" w:hanging="332"/>
        <w:spacing w:after="0" w:line="222"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w:t>
      </w:r>
    </w:p>
    <w:p>
      <w:pPr>
        <w:spacing w:after="0" w:line="33" w:lineRule="exact"/>
        <w:rPr>
          <w:rFonts w:ascii="Times New Roman" w:cs="Times New Roman" w:eastAsia="Times New Roman" w:hAnsi="Times New Roman"/>
          <w:sz w:val="21"/>
          <w:szCs w:val="21"/>
          <w:color w:val="auto"/>
          <w:vertAlign w:val="superscript"/>
        </w:rPr>
      </w:pPr>
    </w:p>
    <w:p>
      <w:pPr>
        <w:ind w:left="340" w:right="260" w:hanging="332"/>
        <w:spacing w:after="0" w:line="232"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three and twelve months ended December 31, 2025 includes a net cash outflow of $1.786 billion and $2.651 billion, respectively, for acquisitions, including our Cactus III acquisition completed during the fourth quarter of 2025.</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during the period presented.</w:t>
      </w:r>
    </w:p>
    <w:p>
      <w:pPr>
        <w:spacing w:after="0" w:line="50" w:lineRule="exact"/>
        <w:rPr>
          <w:rFonts w:ascii="Times New Roman" w:cs="Times New Roman" w:eastAsia="Times New Roman" w:hAnsi="Times New Roman"/>
          <w:sz w:val="21"/>
          <w:szCs w:val="21"/>
          <w:color w:val="auto"/>
          <w:vertAlign w:val="superscript"/>
        </w:rPr>
      </w:pPr>
    </w:p>
    <w:p>
      <w:pPr>
        <w:ind w:left="340" w:right="140" w:hanging="332"/>
        <w:spacing w:after="0" w:line="229"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after Distributions shortages, if any,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Cash distributions paid to preferred and common unitholders during the period.</w:t>
      </w:r>
    </w:p>
    <w:p>
      <w:pPr>
        <w:spacing w:after="0" w:line="64" w:lineRule="exact"/>
        <w:rPr>
          <w:rFonts w:ascii="Times New Roman" w:cs="Times New Roman" w:eastAsia="Times New Roman" w:hAnsi="Times New Roman"/>
          <w:sz w:val="21"/>
          <w:szCs w:val="21"/>
          <w:color w:val="auto"/>
          <w:vertAlign w:val="superscript"/>
        </w:rPr>
      </w:pPr>
    </w:p>
    <w:p>
      <w:pPr>
        <w:ind w:left="340" w:right="180" w:hanging="332"/>
        <w:spacing w:after="0" w:line="229"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spacing w:after="0" w:line="3" w:lineRule="exact"/>
        <w:rPr>
          <w:rFonts w:ascii="Times New Roman" w:cs="Times New Roman" w:eastAsia="Times New Roman" w:hAnsi="Times New Roman"/>
          <w:sz w:val="21"/>
          <w:szCs w:val="21"/>
          <w:color w:val="auto"/>
          <w:vertAlign w:val="superscript"/>
        </w:rPr>
      </w:pPr>
    </w:p>
    <w:p>
      <w:pPr>
        <w:ind w:left="320" w:hanging="312"/>
        <w:spacing w:after="0"/>
        <w:tabs>
          <w:tab w:leader="none" w:pos="32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See the “Condensed Consolidated Cash Flow Data” table.</w:t>
      </w:r>
    </w:p>
    <w:p>
      <w:pPr>
        <w:spacing w:after="0" w:line="50" w:lineRule="exact"/>
        <w:rPr>
          <w:rFonts w:ascii="Times New Roman" w:cs="Times New Roman" w:eastAsia="Times New Roman" w:hAnsi="Times New Roman"/>
          <w:sz w:val="21"/>
          <w:szCs w:val="21"/>
          <w:color w:val="auto"/>
          <w:vertAlign w:val="superscript"/>
        </w:rPr>
      </w:pPr>
    </w:p>
    <w:p>
      <w:pPr>
        <w:jc w:val="both"/>
        <w:ind w:left="340" w:right="320" w:hanging="332"/>
        <w:spacing w:after="0" w:line="229" w:lineRule="auto"/>
        <w:tabs>
          <w:tab w:leader="none" w:pos="328"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Management uses the non-GAAP financial liquidity measures Adjusted Free Cash Flow (Excluding Changes in Assets &amp; Liabilities) and Adjusted Free Cash Flow after Distributions (Excluding Changes in Assets &amp; Liabilities) to assess the underlying business liquidity and cash flow generating capacity excluding fluctuations caused by timing of when amounts earned or incurred were collected, received or paid from period to period.</w:t>
      </w:r>
    </w:p>
    <w:p>
      <w:pPr>
        <w:spacing w:after="0" w:line="48" w:lineRule="exact"/>
        <w:rPr>
          <w:rFonts w:ascii="Times New Roman" w:cs="Times New Roman" w:eastAsia="Times New Roman" w:hAnsi="Times New Roman"/>
          <w:sz w:val="21"/>
          <w:szCs w:val="21"/>
          <w:color w:val="auto"/>
          <w:vertAlign w:val="superscript"/>
        </w:rPr>
      </w:pPr>
    </w:p>
    <w:p>
      <w:pPr>
        <w:ind w:left="340" w:hanging="332"/>
        <w:spacing w:after="0" w:line="206" w:lineRule="auto"/>
        <w:tabs>
          <w:tab w:leader="none" w:pos="340"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Fourth-quarter and full-year 2024 Adjusted Free Cash Flow (Excluding Changes in Assets &amp; Liabilities) includes the negative impact of a $225 million charge resulting from the write-off of a receivable for Line 901 insurance proceeds.</w:t>
      </w:r>
    </w:p>
    <w:p>
      <w:pPr>
        <w:spacing w:after="0" w:line="1" w:lineRule="exact"/>
        <w:rPr>
          <w:rFonts w:ascii="Times New Roman" w:cs="Times New Roman" w:eastAsia="Times New Roman" w:hAnsi="Times New Roman"/>
          <w:sz w:val="21"/>
          <w:szCs w:val="21"/>
          <w:color w:val="auto"/>
          <w:vertAlign w:val="superscript"/>
        </w:rPr>
      </w:pPr>
    </w:p>
    <w:p>
      <w:pPr>
        <w:ind w:left="5440" w:hanging="106"/>
        <w:spacing w:after="0"/>
        <w:tabs>
          <w:tab w:leader="none" w:pos="54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Page 15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ITEMS IMPACTING COMPARABILITY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8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02"/>
        </w:trPr>
        <w:tc>
          <w:tcPr>
            <w:tcW w:w="67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6"/>
                <w:szCs w:val="16"/>
                <w:b w:val="1"/>
                <w:bCs w:val="1"/>
                <w:color w:val="auto"/>
              </w:rPr>
              <w:t xml:space="preserve">Selected Items Impacting Comparability: </w:t>
            </w:r>
            <w:r>
              <w:rPr>
                <w:rFonts w:ascii="Times New Roman" w:cs="Times New Roman" w:eastAsia="Times New Roman" w:hAnsi="Times New Roman"/>
                <w:sz w:val="21"/>
                <w:szCs w:val="21"/>
                <w:b w:val="1"/>
                <w:bCs w:val="1"/>
                <w:color w:val="auto"/>
                <w:vertAlign w:val="superscript"/>
              </w:rPr>
              <w:t>(1) (2)</w:t>
            </w: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67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Derivative activities and inventory valuation adjustments </w:t>
            </w:r>
            <w:r>
              <w:rPr>
                <w:rFonts w:ascii="Times New Roman" w:cs="Times New Roman" w:eastAsia="Times New Roman" w:hAnsi="Times New Roman"/>
                <w:sz w:val="21"/>
                <w:szCs w:val="21"/>
                <w:color w:val="auto"/>
                <w:vertAlign w:val="superscript"/>
              </w:rPr>
              <w:t>(3)</w:t>
            </w:r>
          </w:p>
        </w:tc>
        <w:tc>
          <w:tcPr>
            <w:tcW w:w="660" w:type="dxa"/>
            <w:vAlign w:val="bottom"/>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660" w:type="dxa"/>
            <w:vAlign w:val="bottom"/>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6"/>
        </w:trPr>
        <w:tc>
          <w:tcPr>
            <w:tcW w:w="67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Long-term inventory costing adjustments </w:t>
            </w:r>
            <w:r>
              <w:rPr>
                <w:rFonts w:ascii="Times New Roman" w:cs="Times New Roman" w:eastAsia="Times New Roman" w:hAnsi="Times New Roman"/>
                <w:sz w:val="21"/>
                <w:szCs w:val="21"/>
                <w:color w:val="auto"/>
                <w:vertAlign w:val="superscript"/>
              </w:rPr>
              <w:t>(4)</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67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Deficiencies under minimum volume commitments, net </w:t>
            </w:r>
            <w:r>
              <w:rPr>
                <w:rFonts w:ascii="Times New Roman" w:cs="Times New Roman" w:eastAsia="Times New Roman" w:hAnsi="Times New Roman"/>
                <w:sz w:val="21"/>
                <w:szCs w:val="21"/>
                <w:color w:val="auto"/>
                <w:vertAlign w:val="superscript"/>
              </w:rPr>
              <w:t>(5)</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6"/>
        </w:trPr>
        <w:tc>
          <w:tcPr>
            <w:tcW w:w="67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Rail fleet amortization expense related to discontinued operations </w:t>
            </w:r>
            <w:r>
              <w:rPr>
                <w:rFonts w:ascii="Times New Roman" w:cs="Times New Roman" w:eastAsia="Times New Roman" w:hAnsi="Times New Roman"/>
                <w:sz w:val="21"/>
                <w:szCs w:val="21"/>
                <w:color w:val="auto"/>
                <w:vertAlign w:val="superscript"/>
              </w:rPr>
              <w:t>(6)</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7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Equity-indexed compensation expense </w:t>
            </w:r>
            <w:r>
              <w:rPr>
                <w:rFonts w:ascii="Times New Roman" w:cs="Times New Roman" w:eastAsia="Times New Roman" w:hAnsi="Times New Roman"/>
                <w:sz w:val="21"/>
                <w:szCs w:val="21"/>
                <w:color w:val="auto"/>
                <w:vertAlign w:val="superscript"/>
              </w:rPr>
              <w:t>(7)</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6"/>
        </w:trPr>
        <w:tc>
          <w:tcPr>
            <w:tcW w:w="67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Foreign currency revaluation </w:t>
            </w:r>
            <w:r>
              <w:rPr>
                <w:rFonts w:ascii="Times New Roman" w:cs="Times New Roman" w:eastAsia="Times New Roman" w:hAnsi="Times New Roman"/>
                <w:sz w:val="21"/>
                <w:szCs w:val="21"/>
                <w:color w:val="auto"/>
                <w:vertAlign w:val="superscript"/>
              </w:rPr>
              <w:t>(8)</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6"/>
        </w:trPr>
        <w:tc>
          <w:tcPr>
            <w:tcW w:w="67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Line 901 incident </w:t>
            </w:r>
            <w:r>
              <w:rPr>
                <w:rFonts w:ascii="Times New Roman" w:cs="Times New Roman" w:eastAsia="Times New Roman" w:hAnsi="Times New Roman"/>
                <w:sz w:val="21"/>
                <w:szCs w:val="21"/>
                <w:color w:val="auto"/>
                <w:vertAlign w:val="superscript"/>
              </w:rPr>
              <w:t>(9)</w:t>
            </w:r>
          </w:p>
        </w:tc>
        <w:tc>
          <w:tcPr>
            <w:tcW w:w="6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(225)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6"/>
        </w:trPr>
        <w:tc>
          <w:tcPr>
            <w:tcW w:w="676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Transaction-related expenses </w:t>
            </w:r>
            <w:r>
              <w:rPr>
                <w:rFonts w:ascii="Times New Roman" w:cs="Times New Roman" w:eastAsia="Times New Roman" w:hAnsi="Times New Roman"/>
                <w:sz w:val="21"/>
                <w:szCs w:val="21"/>
                <w:color w:val="auto"/>
                <w:vertAlign w:val="superscript"/>
              </w:rPr>
              <w:t>(10)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Selected items impacting comparability - Adjusted EBITDA</w:t>
            </w:r>
          </w:p>
        </w:tc>
        <w:tc>
          <w:tcPr>
            <w:tcW w:w="660" w:type="dxa"/>
            <w:vAlign w:val="bottom"/>
            <w:tcBorders>
              <w:top w:val="single" w:sz="8" w:color="auto"/>
            </w:tcBorders>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7"/>
              </w:rPr>
              <w:t>(180)</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9"/>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676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Gains/(losses) on asset sales, asset impairments and other, net </w:t>
            </w:r>
            <w:r>
              <w:rPr>
                <w:rFonts w:ascii="Times New Roman" w:cs="Times New Roman" w:eastAsia="Times New Roman" w:hAnsi="Times New Roman"/>
                <w:sz w:val="21"/>
                <w:szCs w:val="21"/>
                <w:color w:val="auto"/>
                <w:vertAlign w:val="superscript"/>
              </w:rPr>
              <w:t>(11)</w:t>
            </w: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6"/>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effect on selected items impacting comparability</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Aggregate selected items impacting noncontrolling interests</w:t>
            </w:r>
          </w:p>
        </w:tc>
        <w:tc>
          <w:tcPr>
            <w:tcW w:w="6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37"/>
        </w:trPr>
        <w:tc>
          <w:tcPr>
            <w:tcW w:w="67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Selected items impacting comparability - Adjusted net income attributable to PAA</w:t>
            </w:r>
          </w:p>
        </w:tc>
        <w:tc>
          <w:tcPr>
            <w:tcW w:w="66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(321)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29" w:lineRule="exact"/>
        <w:rPr>
          <w:sz w:val="20"/>
          <w:szCs w:val="20"/>
          <w:color w:val="auto"/>
        </w:rPr>
      </w:pPr>
    </w:p>
    <w:p>
      <w:pPr>
        <w:ind w:left="340" w:right="540" w:hanging="332"/>
        <w:spacing w:after="0" w:line="234" w:lineRule="auto"/>
        <w:tabs>
          <w:tab w:leader="none" w:pos="328" w:val="left"/>
        </w:tabs>
        <w:numPr>
          <w:ilvl w:val="0"/>
          <w:numId w:val="2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Certain of our non-GAAP financial measures may not be impacted by each of the selected items impacting comparability. See the “Net Income to Adjusted EBITDA attributable to PAA and Implied DCF Reconciliation” and “Computation of Basic and Diluted Adjusted Net Income Per Common Unit” tables for additional details on how these selected items impacting comparability affect such measures.</w:t>
      </w:r>
    </w:p>
    <w:p>
      <w:pPr>
        <w:spacing w:after="0" w:line="20" w:lineRule="exact"/>
        <w:rPr>
          <w:rFonts w:ascii="Times New Roman" w:cs="Times New Roman" w:eastAsia="Times New Roman" w:hAnsi="Times New Roman"/>
          <w:sz w:val="16"/>
          <w:szCs w:val="16"/>
          <w:color w:val="auto"/>
          <w:vertAlign w:val="superscript"/>
        </w:rPr>
      </w:pPr>
    </w:p>
    <w:p>
      <w:pPr>
        <w:ind w:left="320" w:hanging="312"/>
        <w:spacing w:after="0"/>
        <w:tabs>
          <w:tab w:leader="none" w:pos="32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results from continuing operations and discontinued operations for all periods presented.</w:t>
      </w:r>
    </w:p>
    <w:p>
      <w:pPr>
        <w:spacing w:after="0" w:line="42" w:lineRule="exact"/>
        <w:rPr>
          <w:rFonts w:ascii="Times New Roman" w:cs="Times New Roman" w:eastAsia="Times New Roman" w:hAnsi="Times New Roman"/>
          <w:sz w:val="17"/>
          <w:szCs w:val="17"/>
          <w:color w:val="auto"/>
          <w:vertAlign w:val="superscript"/>
        </w:rPr>
      </w:pPr>
    </w:p>
    <w:p>
      <w:pPr>
        <w:ind w:left="340" w:right="40" w:hanging="332"/>
        <w:spacing w:after="0" w:line="232" w:lineRule="auto"/>
        <w:tabs>
          <w:tab w:leader="none" w:pos="328"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adjusted results such that the earnings from the derivative instruments and the underlying transactions impact adjusted results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pacing w:after="0" w:line="50" w:lineRule="exact"/>
        <w:rPr>
          <w:rFonts w:ascii="Times New Roman" w:cs="Times New Roman" w:eastAsia="Times New Roman" w:hAnsi="Times New Roman"/>
          <w:sz w:val="17"/>
          <w:szCs w:val="17"/>
          <w:color w:val="auto"/>
          <w:vertAlign w:val="superscript"/>
        </w:rPr>
      </w:pPr>
    </w:p>
    <w:p>
      <w:pPr>
        <w:ind w:left="340" w:right="160" w:hanging="332"/>
        <w:spacing w:after="0" w:line="232" w:lineRule="auto"/>
        <w:tabs>
          <w:tab w:leader="none" w:pos="328"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w:t>
      </w:r>
    </w:p>
    <w:p>
      <w:pPr>
        <w:spacing w:after="0" w:line="39" w:lineRule="exact"/>
        <w:rPr>
          <w:rFonts w:ascii="Times New Roman" w:cs="Times New Roman" w:eastAsia="Times New Roman" w:hAnsi="Times New Roman"/>
          <w:sz w:val="17"/>
          <w:szCs w:val="17"/>
          <w:color w:val="auto"/>
          <w:vertAlign w:val="superscript"/>
        </w:rPr>
      </w:pPr>
    </w:p>
    <w:p>
      <w:pPr>
        <w:ind w:left="340" w:hanging="332"/>
        <w:spacing w:after="0"/>
        <w:tabs>
          <w:tab w:leader="none" w:pos="328"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p>
      <w:pPr>
        <w:spacing w:after="0" w:line="40" w:lineRule="exact"/>
        <w:rPr>
          <w:rFonts w:ascii="Times New Roman" w:cs="Times New Roman" w:eastAsia="Times New Roman" w:hAnsi="Times New Roman"/>
          <w:sz w:val="17"/>
          <w:szCs w:val="17"/>
          <w:color w:val="auto"/>
          <w:vertAlign w:val="superscript"/>
        </w:rPr>
      </w:pPr>
    </w:p>
    <w:p>
      <w:pPr>
        <w:ind w:left="340" w:right="100" w:hanging="332"/>
        <w:spacing w:after="0" w:line="232" w:lineRule="auto"/>
        <w:tabs>
          <w:tab w:leader="none" w:pos="328"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w:t>
      </w:r>
    </w:p>
    <w:p>
      <w:pPr>
        <w:spacing w:after="0" w:line="52" w:lineRule="exact"/>
        <w:rPr>
          <w:rFonts w:ascii="Times New Roman" w:cs="Times New Roman" w:eastAsia="Times New Roman" w:hAnsi="Times New Roman"/>
          <w:sz w:val="17"/>
          <w:szCs w:val="17"/>
          <w:color w:val="auto"/>
          <w:vertAlign w:val="superscript"/>
        </w:rPr>
      </w:pPr>
    </w:p>
    <w:p>
      <w:pPr>
        <w:ind w:left="340" w:right="60" w:hanging="332"/>
        <w:spacing w:after="0" w:line="232" w:lineRule="auto"/>
        <w:tabs>
          <w:tab w:leader="none" w:pos="328"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The portion of compensation expense associated with awards that will be settled in cash is not considered a selected item impacting comparability.</w:t>
      </w:r>
    </w:p>
    <w:p>
      <w:pPr>
        <w:spacing w:after="0" w:line="39" w:lineRule="exact"/>
        <w:rPr>
          <w:rFonts w:ascii="Times New Roman" w:cs="Times New Roman" w:eastAsia="Times New Roman" w:hAnsi="Times New Roman"/>
          <w:sz w:val="17"/>
          <w:szCs w:val="17"/>
          <w:color w:val="auto"/>
          <w:vertAlign w:val="superscript"/>
        </w:rPr>
      </w:pPr>
    </w:p>
    <w:p>
      <w:pPr>
        <w:ind w:left="340" w:right="140" w:hanging="332"/>
        <w:spacing w:after="0" w:line="231" w:lineRule="auto"/>
        <w:tabs>
          <w:tab w:leader="none" w:pos="328"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During the periods presented, there were fluctuations in the value of the Canadian dollar to the U.S. dollar,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37" w:lineRule="exact"/>
        <w:rPr>
          <w:rFonts w:ascii="Times New Roman" w:cs="Times New Roman" w:eastAsia="Times New Roman" w:hAnsi="Times New Roman"/>
          <w:sz w:val="17"/>
          <w:szCs w:val="17"/>
          <w:color w:val="auto"/>
          <w:vertAlign w:val="superscript"/>
        </w:rPr>
      </w:pPr>
    </w:p>
    <w:p>
      <w:pPr>
        <w:ind w:left="340" w:right="60" w:hanging="332"/>
        <w:spacing w:after="0" w:line="218" w:lineRule="auto"/>
        <w:tabs>
          <w:tab w:leader="none" w:pos="328"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costs recognized during the period related to the Line 901 incident that occurred in May 2015, net of amounts we believe are probable of recovery from insurance. For the 2024 periods, includes the write-off of a receivable for Line 901 insurance proceeds in the fourth quarter of 2024 and the impact of settlements in the third quarter of 2024.</w:t>
      </w:r>
    </w:p>
    <w:p>
      <w:pPr>
        <w:spacing w:after="0" w:line="21" w:lineRule="exact"/>
        <w:rPr>
          <w:rFonts w:ascii="Times New Roman" w:cs="Times New Roman" w:eastAsia="Times New Roman" w:hAnsi="Times New Roman"/>
          <w:sz w:val="17"/>
          <w:szCs w:val="17"/>
          <w:color w:val="auto"/>
          <w:vertAlign w:val="superscript"/>
        </w:rPr>
      </w:pPr>
    </w:p>
    <w:p>
      <w:pPr>
        <w:ind w:left="320" w:hanging="312"/>
        <w:spacing w:after="0"/>
        <w:tabs>
          <w:tab w:leader="none" w:pos="32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Primarily related to deal-specific costs incurred during the period.</w:t>
      </w:r>
    </w:p>
    <w:p>
      <w:pPr>
        <w:spacing w:after="0" w:line="50" w:lineRule="exact"/>
        <w:rPr>
          <w:rFonts w:ascii="Times New Roman" w:cs="Times New Roman" w:eastAsia="Times New Roman" w:hAnsi="Times New Roman"/>
          <w:sz w:val="17"/>
          <w:szCs w:val="17"/>
          <w:color w:val="auto"/>
          <w:vertAlign w:val="superscript"/>
        </w:rPr>
      </w:pPr>
    </w:p>
    <w:p>
      <w:pPr>
        <w:ind w:left="320" w:hanging="312"/>
        <w:spacing w:after="0" w:line="193" w:lineRule="auto"/>
        <w:tabs>
          <w:tab w:leader="none" w:pos="320" w:val="left"/>
        </w:tabs>
        <w:numPr>
          <w:ilvl w:val="0"/>
          <w:numId w:val="20"/>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2024 periods, primarily includes non-cash charges related to the write-down of two U.S. NGL terminals.</w:t>
      </w:r>
    </w:p>
    <w:p>
      <w:pPr>
        <w:ind w:left="5440" w:hanging="106"/>
        <w:spacing w:after="0"/>
        <w:tabs>
          <w:tab w:leader="none" w:pos="5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auto"/>
        </w:rPr>
        <w:t>Page 16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CRUDE OIL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60" w:type="dxa"/>
            <w:vAlign w:val="bottom"/>
            <w:gridSpan w:val="5"/>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38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48,720</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(45,033)</w:t>
            </w:r>
          </w:p>
        </w:tc>
      </w:tr>
      <w:tr>
        <w:trPr>
          <w:trHeight w:val="230"/>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 (3)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29"/>
        </w:trPr>
        <w:tc>
          <w:tcPr>
            <w:tcW w:w="61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(4)</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r>
      <w:tr>
        <w:trPr>
          <w:trHeight w:val="229"/>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r>
      <w:tr>
        <w:trPr>
          <w:trHeight w:val="162"/>
        </w:trPr>
        <w:tc>
          <w:tcPr>
            <w:tcW w:w="38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9"/>
        </w:trPr>
        <w:tc>
          <w:tcPr>
            <w:tcW w:w="61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Line 901 incident</w:t>
            </w:r>
          </w:p>
        </w:tc>
        <w:tc>
          <w:tcPr>
            <w:tcW w:w="1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61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20" w:type="dxa"/>
            <w:vAlign w:val="bottom"/>
            <w:tcBorders>
              <w:bottom w:val="single" w:sz="8" w:color="CCEEFF"/>
            </w:tcBorders>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(6)</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8"/>
        </w:trPr>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Crude Oil Segment Adjusted EBITDA / Adjusted EBITDA from Crude Oil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maintenance capital expenditures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27"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Includes intersegment amounts.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Field operating costs and Segment general and administrative expenses include equity-indexed compensation expense.</w:t>
      </w:r>
    </w:p>
    <w:p>
      <w:pPr>
        <w:spacing w:after="0" w:line="75" w:lineRule="exact"/>
        <w:rPr>
          <w:sz w:val="20"/>
          <w:szCs w:val="20"/>
          <w:color w:val="auto"/>
        </w:rPr>
      </w:pPr>
    </w:p>
    <w:p>
      <w:pPr>
        <w:sectPr>
          <w:pgSz w:w="11900" w:h="16838" w:orient="portrait"/>
          <w:cols w:equalWidth="0" w:num="2">
            <w:col w:w="140" w:space="180"/>
            <w:col w:w="10920"/>
          </w:cols>
          <w:pgMar w:left="320" w:top="364" w:right="339" w:bottom="1440" w:gutter="0" w:footer="0" w:header="0"/>
          <w:type w:val="continuous"/>
        </w:sectPr>
      </w:pPr>
    </w:p>
    <w:p>
      <w:pPr>
        <w:jc w:val="both"/>
        <w:ind w:left="340" w:right="120" w:hanging="332"/>
        <w:spacing w:after="0" w:line="23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for the three and twelve months ended December 31, 2024 include higher expenses related to (i) $225 million resulting from the write-off of a receivable for Line 901 insurance proceeds and (ii) an increase in estimated costs for long-term environmental remediation obligations. The twelve months ended December 31, 2024 also includes the impact of $120 million associated with settlements in the third quarter of 2024 related to the Line 901 incident that occurred in May 2015.</w:t>
      </w:r>
    </w:p>
    <w:p>
      <w:pPr>
        <w:spacing w:after="0" w:line="36"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36" w:lineRule="exact"/>
        <w:rPr>
          <w:rFonts w:ascii="Times New Roman" w:cs="Times New Roman" w:eastAsia="Times New Roman" w:hAnsi="Times New Roman"/>
          <w:sz w:val="23"/>
          <w:szCs w:val="23"/>
          <w:color w:val="auto"/>
          <w:vertAlign w:val="superscript"/>
        </w:rPr>
      </w:pPr>
    </w:p>
    <w:p>
      <w:pPr>
        <w:ind w:left="340" w:right="140" w:hanging="332"/>
        <w:spacing w:after="0" w:line="235" w:lineRule="auto"/>
        <w:tabs>
          <w:tab w:leader="none" w:pos="32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utilized by our CODM in the evaluation of segment results. Many of these adjustments are also considered selected items impacting comparability when calculating consolidated non-GAAP financial measures such as Adjusted EBITDA. See the “Selected Items Impacting Comparability” table for additional discussion.</w:t>
      </w:r>
    </w:p>
    <w:p>
      <w:pPr>
        <w:spacing w:after="0" w:line="2" w:lineRule="exact"/>
        <w:rPr>
          <w:rFonts w:ascii="Times New Roman" w:cs="Times New Roman" w:eastAsia="Times New Roman" w:hAnsi="Times New Roman"/>
          <w:sz w:val="23"/>
          <w:szCs w:val="23"/>
          <w:color w:val="auto"/>
          <w:vertAlign w:val="superscript"/>
        </w:rPr>
      </w:pPr>
    </w:p>
    <w:p>
      <w:pPr>
        <w:ind w:left="320" w:hanging="312"/>
        <w:spacing w:after="0" w:line="209"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Reflects amounts attributable to noncontrolling interests in the Permian JV, Cactus II Pipeline LLC and Red River Pipeline LLC.</w:t>
      </w:r>
    </w:p>
    <w:p>
      <w:pPr>
        <w:ind w:left="5440" w:hanging="106"/>
        <w:spacing w:after="0"/>
        <w:tabs>
          <w:tab w:leader="none" w:pos="54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auto"/>
        </w:rPr>
        <w:t>Page 17</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FINANCIAL DATA BY NGL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64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440" w:type="dxa"/>
            <w:vAlign w:val="bottom"/>
            <w:gridSpan w:val="5"/>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3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6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7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6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616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6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NGL Segment Adjusted EBITDA </w:t>
            </w:r>
            <w:r>
              <w:rPr>
                <w:rFonts w:ascii="Times New Roman" w:cs="Times New Roman" w:eastAsia="Times New Roman" w:hAnsi="Times New Roman"/>
                <w:sz w:val="23"/>
                <w:szCs w:val="23"/>
                <w:color w:val="auto"/>
                <w:vertAlign w:val="superscript"/>
              </w:rPr>
              <w:t>(4)</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160" w:type="dxa"/>
            <w:vAlign w:val="bottom"/>
            <w:tcBorders>
              <w:bottom w:val="single" w:sz="8" w:color="CCEEFF"/>
            </w:tcBorders>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(5)</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48"/>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from NGL</w:t>
            </w: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continuing operations</w:t>
            </w:r>
          </w:p>
        </w:tc>
        <w:tc>
          <w:tcPr>
            <w:tcW w:w="76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 from NGL discontinued operations</w:t>
            </w:r>
          </w:p>
        </w:tc>
        <w:tc>
          <w:tcPr>
            <w:tcW w:w="7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48"/>
        </w:trPr>
        <w:tc>
          <w:tcPr>
            <w:tcW w:w="61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NGL maintenance capital expenditures</w:t>
            </w:r>
          </w:p>
        </w:tc>
        <w:tc>
          <w:tcPr>
            <w:tcW w:w="76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36"/>
        </w:trPr>
        <w:tc>
          <w:tcPr>
            <w:tcW w:w="3880" w:type="dxa"/>
            <w:vAlign w:val="bottom"/>
            <w:tcBorders>
              <w:bottom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100"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intersegment amounts.</w:t>
      </w:r>
    </w:p>
    <w:p>
      <w:pPr>
        <w:spacing w:after="0" w:line="55" w:lineRule="exact"/>
        <w:rPr>
          <w:rFonts w:ascii="Times New Roman" w:cs="Times New Roman" w:eastAsia="Times New Roman" w:hAnsi="Times New Roman"/>
          <w:sz w:val="23"/>
          <w:szCs w:val="23"/>
          <w:color w:val="auto"/>
          <w:vertAlign w:val="superscript"/>
        </w:rPr>
      </w:pPr>
    </w:p>
    <w:p>
      <w:pPr>
        <w:ind w:left="340" w:right="360" w:hanging="332"/>
        <w:spacing w:after="0" w:line="21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 including information technology, insurance and other shared services costs.</w:t>
      </w:r>
    </w:p>
    <w:p>
      <w:pPr>
        <w:spacing w:after="0" w:line="35" w:lineRule="exact"/>
        <w:rPr>
          <w:rFonts w:ascii="Times New Roman" w:cs="Times New Roman" w:eastAsia="Times New Roman" w:hAnsi="Times New Roman"/>
          <w:sz w:val="23"/>
          <w:szCs w:val="23"/>
          <w:color w:val="auto"/>
          <w:vertAlign w:val="superscript"/>
        </w:rPr>
      </w:pPr>
    </w:p>
    <w:p>
      <w:pPr>
        <w:ind w:left="340" w:right="100" w:hanging="332"/>
        <w:spacing w:after="0" w:line="22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6"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results from continuing operations and excludes amounts related to discontinued operations for all periods presented.</w:t>
      </w:r>
    </w:p>
    <w:p>
      <w:pPr>
        <w:spacing w:after="0" w:line="55" w:lineRule="exact"/>
        <w:rPr>
          <w:rFonts w:ascii="Times New Roman" w:cs="Times New Roman" w:eastAsia="Times New Roman" w:hAnsi="Times New Roman"/>
          <w:sz w:val="23"/>
          <w:szCs w:val="23"/>
          <w:color w:val="auto"/>
          <w:vertAlign w:val="superscript"/>
        </w:rPr>
      </w:pPr>
    </w:p>
    <w:p>
      <w:pPr>
        <w:ind w:left="340" w:right="120" w:hanging="332"/>
        <w:spacing w:after="0" w:line="219" w:lineRule="auto"/>
        <w:tabs>
          <w:tab w:leader="none" w:pos="328"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table for a reconciliation to the most directly comparable measure as reported in accordance with GAAP.</w:t>
      </w:r>
    </w:p>
    <w:p>
      <w:pPr>
        <w:spacing w:after="0" w:line="184"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auto"/>
        </w:rPr>
        <w:t>Page 18</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DISCONTINUED OPERATIONS DETAIL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Income from Discontinued Operations, Net of Tax:</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60" w:type="dxa"/>
            <w:vAlign w:val="bottom"/>
            <w:gridSpan w:val="10"/>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Pr>
          <w:p>
            <w:pPr>
              <w:spacing w:after="0"/>
              <w:rPr>
                <w:sz w:val="16"/>
                <w:szCs w:val="16"/>
                <w:color w:val="auto"/>
              </w:rPr>
            </w:pPr>
          </w:p>
        </w:tc>
        <w:tc>
          <w:tcPr>
            <w:tcW w:w="2480" w:type="dxa"/>
            <w:vAlign w:val="bottom"/>
            <w:gridSpan w:val="10"/>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on asset sales, net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before tax</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 (expense)/benefit</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0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from NGL Discontinued Operations: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38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9"/>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from discontinued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from discontinued operations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 from discontinued operations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on asset sales, net from discontinued operations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2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Adjustments attributable to discontinued operations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6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62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Rail fleet amortization expense related to discontinued operations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 from NGL Discontinued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“Selected Items Impacting Comparability” table for additional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Capital from NGL Discontinued Operations: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8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Twelve Months Ended December 31,</w:t>
            </w:r>
          </w:p>
        </w:tc>
      </w:tr>
      <w:tr>
        <w:trPr>
          <w:trHeight w:val="23"/>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42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r>
      <w:tr>
        <w:trPr>
          <w:trHeight w:val="229"/>
        </w:trPr>
        <w:tc>
          <w:tcPr>
            <w:tcW w:w="20" w:type="dxa"/>
            <w:vAlign w:val="bottom"/>
            <w:shd w:val="clear" w:color="auto" w:fill="CCEEFF"/>
          </w:tcPr>
          <w:p>
            <w:pPr>
              <w:spacing w:after="0"/>
              <w:rPr>
                <w:sz w:val="19"/>
                <w:szCs w:val="19"/>
                <w:color w:val="auto"/>
              </w:rPr>
            </w:pPr>
          </w:p>
        </w:tc>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NGL investment capital expenditures from discontinued operations</w:t>
            </w:r>
          </w:p>
        </w:tc>
        <w:tc>
          <w:tcPr>
            <w:tcW w:w="12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4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80" w:type="dxa"/>
            <w:vAlign w:val="bottom"/>
            <w:gridSpan w:val="2"/>
          </w:tcPr>
          <w:p>
            <w:pPr>
              <w:jc w:val="center"/>
              <w:ind w:right="942"/>
              <w:spacing w:after="0"/>
              <w:rPr>
                <w:sz w:val="20"/>
                <w:szCs w:val="20"/>
                <w:color w:val="auto"/>
              </w:rPr>
            </w:pPr>
            <w:r>
              <w:rPr>
                <w:rFonts w:ascii="Times New Roman" w:cs="Times New Roman" w:eastAsia="Times New Roman" w:hAnsi="Times New Roman"/>
                <w:sz w:val="18"/>
                <w:szCs w:val="18"/>
                <w:color w:val="auto"/>
                <w:w w:val="99"/>
              </w:rPr>
              <w:t>- more -</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135"/>
        </w:trPr>
        <w:tc>
          <w:tcPr>
            <w:tcW w:w="20" w:type="dxa"/>
            <w:vAlign w:val="bottom"/>
          </w:tcPr>
          <w:p>
            <w:pPr>
              <w:spacing w:after="0"/>
              <w:rPr>
                <w:sz w:val="11"/>
                <w:szCs w:val="11"/>
                <w:color w:val="auto"/>
              </w:rPr>
            </w:pPr>
          </w:p>
        </w:tc>
        <w:tc>
          <w:tcPr>
            <w:tcW w:w="4240" w:type="dxa"/>
            <w:vAlign w:val="bottom"/>
            <w:tcBorders>
              <w:bottom w:val="single" w:sz="8" w:color="auto"/>
            </w:tcBorders>
          </w:tcPr>
          <w:p>
            <w:pPr>
              <w:spacing w:after="0"/>
              <w:rPr>
                <w:sz w:val="11"/>
                <w:szCs w:val="11"/>
                <w:color w:val="auto"/>
              </w:rPr>
            </w:pPr>
          </w:p>
        </w:tc>
        <w:tc>
          <w:tcPr>
            <w:tcW w:w="2920" w:type="dxa"/>
            <w:vAlign w:val="bottom"/>
            <w:tcBorders>
              <w:bottom w:val="single" w:sz="8" w:color="auto"/>
            </w:tcBorders>
            <w:gridSpan w:val="3"/>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gridSpan w:val="6"/>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331"/>
        </w:trPr>
        <w:tc>
          <w:tcPr>
            <w:tcW w:w="20" w:type="dxa"/>
            <w:vAlign w:val="bottom"/>
          </w:tcPr>
          <w:p>
            <w:pPr>
              <w:spacing w:after="0"/>
              <w:rPr>
                <w:sz w:val="24"/>
                <w:szCs w:val="24"/>
                <w:color w:val="auto"/>
              </w:rPr>
            </w:pPr>
          </w:p>
        </w:tc>
        <w:tc>
          <w:tcPr>
            <w:tcW w:w="424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2920" w:type="dxa"/>
            <w:vAlign w:val="bottom"/>
            <w:gridSpan w:val="3"/>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9"/>
              </w:rPr>
              <w:t>Houston, Texas 77002</w:t>
            </w:r>
          </w:p>
        </w:tc>
        <w:tc>
          <w:tcPr>
            <w:tcW w:w="300" w:type="dxa"/>
            <w:vAlign w:val="bottom"/>
          </w:tcPr>
          <w:p>
            <w:pPr>
              <w:spacing w:after="0"/>
              <w:rPr>
                <w:sz w:val="24"/>
                <w:szCs w:val="24"/>
                <w:color w:val="auto"/>
              </w:rPr>
            </w:pPr>
          </w:p>
        </w:tc>
        <w:tc>
          <w:tcPr>
            <w:tcW w:w="22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713-646-4100 / 866-809-1291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auto"/>
        </w:rPr>
        <w:t>Page 19</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3"/>
          <w:szCs w:val="23"/>
          <w:b w:val="1"/>
          <w:bCs w:val="1"/>
          <w:color w:val="auto"/>
          <w:vertAlign w:val="superscript"/>
        </w:rPr>
        <w:t>(1)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5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6"/>
        </w:trPr>
        <w:tc>
          <w:tcPr>
            <w:tcW w:w="38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Borders>
              <w:bottom w:val="single" w:sz="8" w:color="auto"/>
            </w:tcBorders>
            <w:gridSpan w:val="3"/>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r>
      <w:tr>
        <w:trPr>
          <w:trHeight w:val="196"/>
        </w:trPr>
        <w:tc>
          <w:tcPr>
            <w:tcW w:w="3880" w:type="dxa"/>
            <w:vAlign w:val="bottom"/>
            <w:tcBorders>
              <w:bottom w:val="single" w:sz="8" w:color="CCEEFF"/>
            </w:tcBorders>
          </w:tcPr>
          <w:p>
            <w:pPr>
              <w:spacing w:after="0"/>
              <w:rPr>
                <w:sz w:val="17"/>
                <w:szCs w:val="17"/>
                <w:color w:val="auto"/>
              </w:rPr>
            </w:pPr>
          </w:p>
        </w:tc>
        <w:tc>
          <w:tcPr>
            <w:tcW w:w="234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Volumes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Crude oil pipeline tariff (by region)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Permian Basin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w:t>
            </w:r>
          </w:p>
        </w:tc>
      </w:tr>
      <w:tr>
        <w:trPr>
          <w:trHeight w:val="229"/>
        </w:trPr>
        <w:tc>
          <w:tcPr>
            <w:tcW w:w="62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South Texas / Eagle Ford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Mid-Continent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622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Gulf Coast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6220" w:type="dxa"/>
            <w:vAlign w:val="bottom"/>
            <w:gridSpan w:val="2"/>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Rocky Mountain </w:t>
            </w:r>
            <w:r>
              <w:rPr>
                <w:rFonts w:ascii="Times New Roman" w:cs="Times New Roman" w:eastAsia="Times New Roman" w:hAnsi="Times New Roman"/>
                <w:sz w:val="23"/>
                <w:szCs w:val="23"/>
                <w:color w:val="auto"/>
                <w:vertAlign w:val="superscript"/>
              </w:rPr>
              <w:t>(2)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30"/>
        </w:trPr>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Western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9"/>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3"/>
        </w:trPr>
        <w:tc>
          <w:tcPr>
            <w:tcW w:w="62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 xml:space="preserve">Total crude oil pipeline tariff </w:t>
            </w:r>
            <w:r>
              <w:rPr>
                <w:rFonts w:ascii="Times New Roman" w:cs="Times New Roman" w:eastAsia="Times New Roman" w:hAnsi="Times New Roman"/>
                <w:sz w:val="23"/>
                <w:szCs w:val="23"/>
                <w:color w:val="auto"/>
                <w:vertAlign w:val="superscript"/>
              </w:rPr>
              <w:t>(2)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r>
      <w:tr>
        <w:trPr>
          <w:trHeight w:val="216"/>
        </w:trPr>
        <w:tc>
          <w:tcPr>
            <w:tcW w:w="388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62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NGL Volumes </w:t>
            </w:r>
            <w:r>
              <w:rPr>
                <w:rFonts w:ascii="Times New Roman" w:cs="Times New Roman" w:eastAsia="Times New Roman" w:hAnsi="Times New Roman"/>
                <w:sz w:val="23"/>
                <w:szCs w:val="23"/>
                <w:b w:val="1"/>
                <w:bCs w:val="1"/>
                <w:color w:val="auto"/>
                <w:vertAlign w:val="superscript"/>
              </w:rPr>
              <w:t>(3)</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NGL fractionation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6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NGL pipeline tariff</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6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Propane and butane sales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62"/>
        </w:trPr>
        <w:tc>
          <w:tcPr>
            <w:tcW w:w="3880" w:type="dxa"/>
            <w:vAlign w:val="bottom"/>
            <w:tcBorders>
              <w:bottom w:val="single" w:sz="8" w:color="auto"/>
            </w:tcBorders>
          </w:tcPr>
          <w:p>
            <w:pPr>
              <w:spacing w:after="0"/>
              <w:rPr>
                <w:sz w:val="14"/>
                <w:szCs w:val="14"/>
                <w:color w:val="auto"/>
              </w:rPr>
            </w:pPr>
          </w:p>
        </w:tc>
        <w:tc>
          <w:tcPr>
            <w:tcW w:w="2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30" w:lineRule="exact"/>
        <w:rPr>
          <w:sz w:val="20"/>
          <w:szCs w:val="20"/>
          <w:color w:val="auto"/>
        </w:rPr>
      </w:pPr>
    </w:p>
    <w:p>
      <w:pPr>
        <w:ind w:left="340" w:right="20" w:hanging="332"/>
        <w:spacing w:after="0" w:line="235" w:lineRule="auto"/>
        <w:tabs>
          <w:tab w:leader="none" w:pos="328"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volumes in thousands of barrels per day calculated as the total volumes (attributable to our interest for assets owned by unconsolidated entities or through undivided joint interests) for the period divided by the number of days in the period. Volumes associated with assets acquired during the period represent total volumes for the number of days we actually owned the assets divided by the number of days in the period.</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volumes (attributable to our interest) from assets owned by unconsolidated entities.</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83" w:lineRule="auto"/>
        <w:tabs>
          <w:tab w:leader="none" w:pos="320" w:val="left"/>
        </w:tabs>
        <w:numPr>
          <w:ilvl w:val="0"/>
          <w:numId w:val="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volumes from assets associated with continuing operations and discontinued operations.</w:t>
      </w:r>
    </w:p>
    <w:p>
      <w:pPr>
        <w:ind w:left="5440" w:hanging="106"/>
        <w:spacing w:after="0"/>
        <w:tabs>
          <w:tab w:leader="none" w:pos="5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auto"/>
        </w:rPr>
        <w:t>Page 20</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NON-GAAP RECONCILIATIONS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Supplemental Adjusted EBITDA attributable to PAA Reconciliation: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2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6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95"/>
        </w:trPr>
        <w:tc>
          <w:tcPr>
            <w:tcW w:w="38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22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 Segment Adjusted EBITDA</w:t>
            </w:r>
          </w:p>
        </w:tc>
        <w:tc>
          <w:tcPr>
            <w:tcW w:w="74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30"/>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NGL Segment Adjusted EBITDA</w:t>
            </w:r>
          </w:p>
        </w:tc>
        <w:tc>
          <w:tcPr>
            <w:tcW w:w="7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1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from NGL Discontinued Operations </w:t>
            </w:r>
            <w:r>
              <w:rPr>
                <w:rFonts w:ascii="Times New Roman" w:cs="Times New Roman" w:eastAsia="Times New Roman" w:hAnsi="Times New Roman"/>
                <w:sz w:val="23"/>
                <w:szCs w:val="23"/>
                <w:color w:val="auto"/>
                <w:vertAlign w:val="superscript"/>
              </w:rPr>
              <w:t>(1)</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9"/>
        </w:trPr>
        <w:tc>
          <w:tcPr>
            <w:tcW w:w="614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other income, net </w:t>
            </w:r>
            <w:r>
              <w:rPr>
                <w:rFonts w:ascii="Times New Roman" w:cs="Times New Roman" w:eastAsia="Times New Roman" w:hAnsi="Times New Roman"/>
                <w:sz w:val="23"/>
                <w:szCs w:val="23"/>
                <w:color w:val="auto"/>
                <w:vertAlign w:val="superscript"/>
              </w:rPr>
              <w:t>(2)</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8"/>
        </w:trPr>
        <w:tc>
          <w:tcPr>
            <w:tcW w:w="6140" w:type="dxa"/>
            <w:vAlign w:val="bottom"/>
            <w:tcBorders>
              <w:bottom w:val="single" w:sz="8" w:color="CCEEFF"/>
            </w:tcBorders>
            <w:gridSpan w:val="2"/>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(3)</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17" w:lineRule="exact"/>
        <w:rPr>
          <w:sz w:val="20"/>
          <w:szCs w:val="20"/>
          <w:color w:val="auto"/>
        </w:rPr>
      </w:pPr>
    </w:p>
    <w:p>
      <w:pPr>
        <w:ind w:left="340" w:hanging="332"/>
        <w:spacing w:after="0" w:line="229"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“Reconciliation of Adjusted EBITDA from NGL Discontinued Operations” table for a reconciliation to the most directly comparable measure as reported in accordance with GAAP.</w:t>
      </w:r>
    </w:p>
    <w:p>
      <w:pPr>
        <w:spacing w:after="0" w:line="36" w:lineRule="exact"/>
        <w:rPr>
          <w:rFonts w:ascii="Times New Roman" w:cs="Times New Roman" w:eastAsia="Times New Roman" w:hAnsi="Times New Roman"/>
          <w:sz w:val="23"/>
          <w:szCs w:val="23"/>
          <w:color w:val="auto"/>
          <w:vertAlign w:val="superscript"/>
        </w:rPr>
      </w:pPr>
    </w:p>
    <w:p>
      <w:pPr>
        <w:ind w:left="340" w:hanging="332"/>
        <w:spacing w:after="0" w:line="235" w:lineRule="auto"/>
        <w:tabs>
          <w:tab w:leader="none" w:pos="32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“Other income, net” as reported on our Condensed Consolidated Statements of Operations, excluding interest income on promissory notes by and among certain Plains entities, as well as other income, net attributable to noncontrolling interests, adjusted for selected items impacting comparability. See the “Selected Items Impacting Comparability” table for additional information.</w:t>
      </w:r>
    </w:p>
    <w:p>
      <w:pPr>
        <w:spacing w:after="0" w:line="7" w:lineRule="exact"/>
        <w:rPr>
          <w:rFonts w:ascii="Times New Roman" w:cs="Times New Roman" w:eastAsia="Times New Roman" w:hAnsi="Times New Roman"/>
          <w:sz w:val="23"/>
          <w:szCs w:val="23"/>
          <w:color w:val="auto"/>
          <w:vertAlign w:val="superscript"/>
        </w:rPr>
      </w:pPr>
    </w:p>
    <w:p>
      <w:pPr>
        <w:ind w:left="320" w:hanging="312"/>
        <w:spacing w:after="0"/>
        <w:tabs>
          <w:tab w:leader="none" w:pos="3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the “Net Income to Adjusted EBITDA attributable to PAA and Implied DCF Reconciliation” table for reconciliation to Net Income.</w:t>
      </w:r>
    </w:p>
    <w:p>
      <w:pPr>
        <w:spacing w:after="0" w:line="82" w:lineRule="exact"/>
        <w:rPr>
          <w:rFonts w:ascii="Times New Roman" w:cs="Times New Roman" w:eastAsia="Times New Roman" w:hAnsi="Times New Roman"/>
          <w:sz w:val="23"/>
          <w:szCs w:val="23"/>
          <w:color w:val="auto"/>
          <w:vertAlign w:val="superscript"/>
        </w:rPr>
      </w:pPr>
    </w:p>
    <w:p>
      <w:pPr>
        <w:ind w:left="5440" w:hanging="106"/>
        <w:spacing w:after="0"/>
        <w:tabs>
          <w:tab w:leader="none" w:pos="54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90805</wp:posOffset>
            </wp:positionV>
            <wp:extent cx="71151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20"/>
          </w:cols>
          <w:pgMar w:left="320" w:top="364"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Page 21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20" w:type="dxa"/>
            <w:vAlign w:val="bottom"/>
          </w:tcPr>
          <w:p>
            <w:pPr>
              <w:spacing w:after="0"/>
              <w:rPr>
                <w:sz w:val="18"/>
                <w:szCs w:val="18"/>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12,035</w:t>
            </w: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9,571</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Losses on asset sales, asset impairments and other, net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7"/>
        </w:trPr>
        <w:tc>
          <w:tcPr>
            <w:tcW w:w="3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12,052</w:t>
            </w:r>
          </w:p>
        </w:tc>
        <w:tc>
          <w:tcPr>
            <w:tcW w:w="0" w:type="dxa"/>
            <w:vAlign w:val="bottom"/>
          </w:tcPr>
          <w:p>
            <w:pPr>
              <w:spacing w:after="0"/>
              <w:rPr>
                <w:sz w:val="1"/>
                <w:szCs w:val="1"/>
                <w:color w:val="auto"/>
              </w:rPr>
            </w:pPr>
          </w:p>
        </w:tc>
      </w:tr>
      <w:tr>
        <w:trPr>
          <w:trHeight w:val="111"/>
        </w:trPr>
        <w:tc>
          <w:tcPr>
            <w:tcW w:w="3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INCOME/(LOSS)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10"/>
        </w:trPr>
        <w:tc>
          <w:tcPr>
            <w:tcW w:w="3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45"/>
        </w:trPr>
        <w:tc>
          <w:tcPr>
            <w:tcW w:w="382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Current income tax benefit/(expense) from continuing</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operations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4"/>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ATTRIBUTABLE TO PAGP</w:t>
            </w:r>
          </w:p>
        </w:tc>
        <w:tc>
          <w:tcPr>
            <w:tcW w:w="2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and diluted net income/(loss)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3"/>
        </w:trPr>
        <w:tc>
          <w:tcPr>
            <w:tcW w:w="3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4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3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income/(loss) per Class A share</w:t>
            </w: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4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84" w:lineRule="auto"/>
        <w:tabs>
          <w:tab w:leader="none" w:pos="320"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“Computation of Basic and Diluted Net Income/(Loss) Per Class A Share” table for additional information.</w:t>
      </w:r>
    </w:p>
    <w:p>
      <w:pPr>
        <w:ind w:left="5440" w:hanging="106"/>
        <w:spacing w:after="0"/>
        <w:tabs>
          <w:tab w:leader="none" w:pos="54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060"/>
          </w:cols>
          <w:pgMar w:left="320" w:top="364" w:right="5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auto"/>
        </w:rPr>
        <w:t>Page 22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PAA</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8"/>
                <w:szCs w:val="18"/>
                <w:color w:val="auto"/>
              </w:rPr>
            </w:pPr>
          </w:p>
        </w:tc>
        <w:tc>
          <w:tcPr>
            <w:tcW w:w="8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PAGP</w:t>
            </w:r>
          </w:p>
        </w:tc>
        <w:tc>
          <w:tcPr>
            <w:tcW w:w="0" w:type="dxa"/>
            <w:vAlign w:val="bottom"/>
          </w:tcPr>
          <w:p>
            <w:pPr>
              <w:spacing w:after="0"/>
              <w:rPr>
                <w:sz w:val="1"/>
                <w:szCs w:val="1"/>
                <w:color w:val="auto"/>
              </w:rPr>
            </w:pPr>
          </w:p>
        </w:tc>
      </w:tr>
      <w:tr>
        <w:trPr>
          <w:trHeight w:val="209"/>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44,262</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48,889</w:t>
            </w:r>
          </w:p>
        </w:tc>
        <w:tc>
          <w:tcPr>
            <w:tcW w:w="0" w:type="dxa"/>
            <w:vAlign w:val="bottom"/>
          </w:tcPr>
          <w:p>
            <w:pPr>
              <w:spacing w:after="0"/>
              <w:rPr>
                <w:sz w:val="1"/>
                <w:szCs w:val="1"/>
                <w:color w:val="auto"/>
              </w:rPr>
            </w:pPr>
          </w:p>
        </w:tc>
      </w:tr>
      <w:tr>
        <w:trPr>
          <w:trHeight w:val="21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40,433</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45,162</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1,471</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168"/>
        </w:trPr>
        <w:tc>
          <w:tcPr>
            <w:tcW w:w="3920" w:type="dxa"/>
            <w:vAlign w:val="bottom"/>
            <w:gridSpan w:val="2"/>
            <w:shd w:val="clear" w:color="auto" w:fill="CCEEFF"/>
          </w:tcPr>
          <w:p>
            <w:pPr>
              <w:spacing w:after="0" w:line="168" w:lineRule="exact"/>
              <w:rPr>
                <w:sz w:val="20"/>
                <w:szCs w:val="20"/>
                <w:color w:val="auto"/>
              </w:rPr>
            </w:pPr>
            <w:r>
              <w:rPr>
                <w:rFonts w:ascii="Times New Roman" w:cs="Times New Roman" w:eastAsia="Times New Roman" w:hAnsi="Times New Roman"/>
                <w:sz w:val="16"/>
                <w:szCs w:val="16"/>
                <w:color w:val="auto"/>
              </w:rPr>
              <w:t>(Gains)/losses on asset sales, asset impairments and other,</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w:t>
            </w: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42,828</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42,834</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48,027</w:t>
            </w:r>
          </w:p>
        </w:tc>
        <w:tc>
          <w:tcPr>
            <w:tcW w:w="0" w:type="dxa"/>
            <w:vAlign w:val="bottom"/>
          </w:tcPr>
          <w:p>
            <w:pPr>
              <w:spacing w:after="0"/>
              <w:rPr>
                <w:sz w:val="1"/>
                <w:szCs w:val="1"/>
                <w:color w:val="auto"/>
              </w:rPr>
            </w:pPr>
          </w:p>
        </w:tc>
      </w:tr>
      <w:tr>
        <w:trPr>
          <w:trHeight w:val="111"/>
        </w:trPr>
        <w:tc>
          <w:tcPr>
            <w:tcW w:w="3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0" w:type="dxa"/>
            <w:vAlign w:val="bottom"/>
          </w:tcPr>
          <w:p>
            <w:pPr>
              <w:spacing w:after="0"/>
              <w:rPr>
                <w:sz w:val="1"/>
                <w:szCs w:val="1"/>
                <w:color w:val="auto"/>
              </w:rPr>
            </w:pPr>
          </w:p>
        </w:tc>
      </w:tr>
      <w:tr>
        <w:trPr>
          <w:trHeight w:val="110"/>
        </w:trPr>
        <w:tc>
          <w:tcPr>
            <w:tcW w:w="38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145"/>
        </w:trPr>
        <w:tc>
          <w:tcPr>
            <w:tcW w:w="3920" w:type="dxa"/>
            <w:vAlign w:val="bottom"/>
            <w:gridSpan w:val="2"/>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b w:val="1"/>
                <w:bCs w:val="1"/>
                <w:color w:val="auto"/>
              </w:rPr>
              <w:t>INCOME FROM CONTINUING OPERATIONS</w:t>
            </w: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BEFORE TAX</w:t>
            </w: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expense from continuing operations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42"/>
        </w:trPr>
        <w:tc>
          <w:tcPr>
            <w:tcW w:w="39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INCOME FROM CONTINUING OPERATIONS, NET</w:t>
            </w: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0" w:type="dxa"/>
            <w:vAlign w:val="bottom"/>
          </w:tcPr>
          <w:p>
            <w:pPr>
              <w:spacing w:after="0"/>
              <w:rPr>
                <w:sz w:val="1"/>
                <w:szCs w:val="1"/>
                <w:color w:val="auto"/>
              </w:rPr>
            </w:pPr>
          </w:p>
        </w:tc>
      </w:tr>
      <w:tr>
        <w:trPr>
          <w:trHeight w:val="214"/>
        </w:trPr>
        <w:tc>
          <w:tcPr>
            <w:tcW w:w="392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OF TAX</w:t>
            </w: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92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INCOME FROM DISCONTINUED OPERATIONS,</w:t>
            </w: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NET OF TAX</w:t>
            </w: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1,070</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0" w:type="dxa"/>
            <w:vAlign w:val="bottom"/>
          </w:tcPr>
          <w:p>
            <w:pPr>
              <w:spacing w:after="0"/>
              <w:rPr>
                <w:sz w:val="1"/>
                <w:szCs w:val="1"/>
                <w:color w:val="auto"/>
              </w:rPr>
            </w:pPr>
          </w:p>
        </w:tc>
      </w:tr>
      <w:tr>
        <w:trPr>
          <w:trHeight w:val="210"/>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PAGP</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8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8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Basic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3"/>
        </w:trPr>
        <w:tc>
          <w:tcPr>
            <w:tcW w:w="39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20" w:type="dxa"/>
            <w:vAlign w:val="bottom"/>
            <w:tcBorders>
              <w:bottom w:val="single" w:sz="8" w:color="CCEEFF"/>
              <w:right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0" w:type="dxa"/>
            <w:vAlign w:val="bottom"/>
          </w:tcPr>
          <w:p>
            <w:pPr>
              <w:spacing w:after="0"/>
              <w:rPr>
                <w:sz w:val="1"/>
                <w:szCs w:val="1"/>
                <w:color w:val="auto"/>
              </w:rPr>
            </w:pPr>
          </w:p>
        </w:tc>
      </w:tr>
      <w:tr>
        <w:trPr>
          <w:trHeight w:val="235"/>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Class A share</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38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Diluted net income per Class A share </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Continuing operations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r>
        <w:trPr>
          <w:trHeight w:val="219"/>
        </w:trPr>
        <w:tc>
          <w:tcPr>
            <w:tcW w:w="3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Discontinued operations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47"/>
        </w:trPr>
        <w:tc>
          <w:tcPr>
            <w:tcW w:w="3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net income per Class A share</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132"/>
        </w:trPr>
        <w:tc>
          <w:tcPr>
            <w:tcW w:w="38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aggregate consolidating adjustments necessary to produce consolidated financial statements for PAGP.</w:t>
      </w:r>
    </w:p>
    <w:p>
      <w:pPr>
        <w:spacing w:after="0" w:line="50" w:lineRule="exact"/>
        <w:rPr>
          <w:rFonts w:ascii="Times New Roman" w:cs="Times New Roman" w:eastAsia="Times New Roman" w:hAnsi="Times New Roman"/>
          <w:sz w:val="21"/>
          <w:szCs w:val="21"/>
          <w:color w:val="auto"/>
          <w:vertAlign w:val="superscript"/>
        </w:rPr>
      </w:pPr>
    </w:p>
    <w:p>
      <w:pPr>
        <w:ind w:left="320" w:hanging="312"/>
        <w:spacing w:after="0" w:line="184" w:lineRule="auto"/>
        <w:tabs>
          <w:tab w:leader="none" w:pos="320" w:val="left"/>
        </w:tabs>
        <w:numPr>
          <w:ilvl w:val="0"/>
          <w:numId w:val="2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the “Computation of Basic and Diluted Net Income/(Loss) Per Class A Share” table for additional information.</w:t>
      </w:r>
    </w:p>
    <w:p>
      <w:pPr>
        <w:ind w:left="5440" w:hanging="106"/>
        <w:spacing w:after="0"/>
        <w:tabs>
          <w:tab w:leader="none" w:pos="54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90170</wp:posOffset>
            </wp:positionV>
            <wp:extent cx="71151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3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auto"/>
        </w:rPr>
        <w:t>Page 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CONSOLIDATING BALANCE SHEET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2"/>
        </w:trPr>
        <w:tc>
          <w:tcPr>
            <w:tcW w:w="3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Consolidating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7"/>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60" w:type="dxa"/>
            <w:vAlign w:val="bottom"/>
          </w:tcPr>
          <w:p>
            <w:pPr>
              <w:spacing w:after="0"/>
              <w:rPr>
                <w:sz w:val="18"/>
                <w:szCs w:val="18"/>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PAGP</w:t>
            </w:r>
          </w:p>
        </w:tc>
        <w:tc>
          <w:tcPr>
            <w:tcW w:w="28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PAA</w:t>
            </w: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 xml:space="preserve">Adjustments </w:t>
            </w:r>
            <w:r>
              <w:rPr>
                <w:rFonts w:ascii="Times New Roman" w:cs="Times New Roman" w:eastAsia="Times New Roman" w:hAnsi="Times New Roman"/>
                <w:sz w:val="18"/>
                <w:szCs w:val="18"/>
                <w:b w:val="1"/>
                <w:bCs w:val="1"/>
                <w:color w:val="auto"/>
                <w:w w:val="98"/>
                <w:vertAlign w:val="superscript"/>
              </w:rPr>
              <w:t>(1)</w:t>
            </w:r>
          </w:p>
        </w:tc>
        <w:tc>
          <w:tcPr>
            <w:tcW w:w="24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PAGP</w:t>
            </w: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29"/>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Linefill</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r>
      <w:tr>
        <w:trPr>
          <w:trHeight w:val="176"/>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operating lease right-of-use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net</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inventory</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 of discontinued operations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3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PARTNERS’</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1"/>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2"/>
        </w:trPr>
        <w:tc>
          <w:tcPr>
            <w:tcW w:w="3340" w:type="dxa"/>
            <w:vAlign w:val="bottom"/>
            <w:shd w:val="clear" w:color="auto" w:fill="CCEEFF"/>
          </w:tcPr>
          <w:p>
            <w:pPr>
              <w:ind w:left="20"/>
              <w:spacing w:after="0" w:line="232" w:lineRule="exact"/>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w:t>
            </w: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debt, net</w:t>
            </w:r>
          </w:p>
        </w:tc>
        <w:tc>
          <w:tcPr>
            <w:tcW w:w="2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Long-term liabilities of discontinued</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operations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175"/>
        </w:trPr>
        <w:tc>
          <w:tcPr>
            <w:tcW w:w="33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long-term liabilities and deferred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credits</w:t>
            </w:r>
          </w:p>
        </w:tc>
        <w:tc>
          <w:tcPr>
            <w:tcW w:w="2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3"/>
        </w:trPr>
        <w:tc>
          <w:tcPr>
            <w:tcW w:w="3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13,440</w:t>
            </w:r>
          </w:p>
        </w:tc>
      </w:tr>
      <w:tr>
        <w:trPr>
          <w:trHeight w:val="216"/>
        </w:trPr>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Partners’ capital excluding noncontrolling</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30"/>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12,965</w:t>
            </w:r>
          </w:p>
        </w:tc>
      </w:tr>
      <w:tr>
        <w:trPr>
          <w:trHeight w:val="223"/>
        </w:trPr>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partners’ capital</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14,216</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r>
      <w:tr>
        <w:trPr>
          <w:trHeight w:val="263"/>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100" w:type="dxa"/>
            <w:vAlign w:val="bottom"/>
          </w:tcPr>
          <w:p>
            <w:pPr>
              <w:spacing w:after="0"/>
              <w:rPr>
                <w:sz w:val="22"/>
                <w:szCs w:val="22"/>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31,276</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26,562</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27,756</w:t>
            </w:r>
          </w:p>
        </w:tc>
      </w:tr>
      <w:tr>
        <w:trPr>
          <w:trHeight w:val="156"/>
        </w:trPr>
        <w:tc>
          <w:tcPr>
            <w:tcW w:w="3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100"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the aggregate consolidating adjustments necessary to produce consolidated financial statements for PAGP.</w:t>
      </w:r>
    </w:p>
    <w:p>
      <w:pPr>
        <w:spacing w:after="0" w:line="55"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assets of discontinued operations of $479 million and $415 million as of December 31, 2025 and December 31, 2024, respectively.</w:t>
      </w:r>
    </w:p>
    <w:p>
      <w:pPr>
        <w:spacing w:after="0" w:line="56" w:lineRule="exact"/>
        <w:rPr>
          <w:rFonts w:ascii="Times New Roman" w:cs="Times New Roman" w:eastAsia="Times New Roman" w:hAnsi="Times New Roman"/>
          <w:sz w:val="23"/>
          <w:szCs w:val="23"/>
          <w:color w:val="auto"/>
          <w:vertAlign w:val="superscript"/>
        </w:rPr>
      </w:pPr>
    </w:p>
    <w:p>
      <w:pPr>
        <w:ind w:left="320" w:hanging="312"/>
        <w:spacing w:after="0" w:line="194" w:lineRule="auto"/>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current liabilities of discontinued operations of $382 million and $350 million as of December 31, 2025 and December 31, 2024, respectively.</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40"/>
          </w:cols>
          <w:pgMar w:left="320" w:top="36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Page 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PLAINS GP HOLDINGS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FINANCIAL SUMMARY </w:t>
      </w: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99" w:lineRule="exact"/>
        <w:rPr>
          <w:sz w:val="20"/>
          <w:szCs w:val="20"/>
          <w:color w:val="auto"/>
        </w:rPr>
      </w:pPr>
    </w:p>
    <w:p>
      <w:pPr>
        <w:ind w:right="39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COMPUTATION OF BASIC AND DILUTED NET INCOME/(LOSS) PER CLASS A SHARE </w:t>
      </w:r>
      <w:r>
        <w:rPr>
          <w:rFonts w:ascii="Times New Roman" w:cs="Times New Roman" w:eastAsia="Times New Roman" w:hAnsi="Times New Roman"/>
          <w:sz w:val="18"/>
          <w:szCs w:val="18"/>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40" w:type="dxa"/>
            <w:vAlign w:val="bottom"/>
            <w:gridSpan w:val="4"/>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tcPr>
          <w:p>
            <w:pPr>
              <w:spacing w:after="0"/>
              <w:rPr>
                <w:sz w:val="17"/>
                <w:szCs w:val="17"/>
                <w:color w:val="auto"/>
              </w:rPr>
            </w:pPr>
          </w:p>
        </w:tc>
        <w:tc>
          <w:tcPr>
            <w:tcW w:w="468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Net Income/(Loss) per Class A Share</w:t>
            </w:r>
          </w:p>
        </w:tc>
        <w:tc>
          <w:tcPr>
            <w:tcW w:w="1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income/(loss) attributable to PAGP from continuing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116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 net income/(loss) per Class A share</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Net Income/(Loss) per Class A Share</w:t>
            </w: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Net income/(loss) attributable to PAGP from continuing operations</w:t>
            </w: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6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attributable to PAGP from discontinued operations</w:t>
            </w:r>
          </w:p>
        </w:tc>
        <w:tc>
          <w:tcPr>
            <w:tcW w:w="1160" w:type="dxa"/>
            <w:vAlign w:val="bottom"/>
          </w:tcPr>
          <w:p>
            <w:pPr>
              <w:spacing w:after="0"/>
              <w:rPr>
                <w:sz w:val="19"/>
                <w:szCs w:val="19"/>
                <w:color w:val="auto"/>
              </w:rPr>
            </w:pPr>
          </w:p>
        </w:tc>
        <w:tc>
          <w:tcPr>
            <w:tcW w:w="820" w:type="dxa"/>
            <w:vAlign w:val="bottom"/>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Incremental net income attributable to PAGP resulting from assumed</w:t>
            </w: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exchange of AAP Management Units</w:t>
            </w:r>
          </w:p>
        </w:tc>
        <w:tc>
          <w:tcPr>
            <w:tcW w:w="11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color w:val="auto"/>
              </w:rPr>
              <w:t>Net income attributable to PAGP from discontinued operations including</w:t>
            </w:r>
          </w:p>
        </w:tc>
        <w:tc>
          <w:tcPr>
            <w:tcW w:w="820" w:type="dxa"/>
            <w:vAlign w:val="bottom"/>
            <w:tcBorders>
              <w:top w:val="single" w:sz="8" w:color="auto"/>
            </w:tcBorders>
            <w:vMerge w:val="restart"/>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3"/>
                <w:szCs w:val="13"/>
                <w:color w:val="auto"/>
              </w:rPr>
            </w:pPr>
          </w:p>
        </w:tc>
        <w:tc>
          <w:tcPr>
            <w:tcW w:w="780" w:type="dxa"/>
            <w:vAlign w:val="bottom"/>
            <w:tcBorders>
              <w:top w:val="single" w:sz="8" w:color="auto"/>
            </w:tcBorders>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3"/>
                <w:szCs w:val="13"/>
                <w:color w:val="auto"/>
              </w:rPr>
            </w:pPr>
          </w:p>
        </w:tc>
        <w:tc>
          <w:tcPr>
            <w:tcW w:w="420" w:type="dxa"/>
            <w:vAlign w:val="bottom"/>
            <w:tcBorders>
              <w:top w:val="single" w:sz="8" w:color="auto"/>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incremental net income from assumed exchange of AAP Management Units</w:t>
            </w:r>
          </w:p>
        </w:tc>
        <w:tc>
          <w:tcPr>
            <w:tcW w:w="82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Basic weighted average Class A shares outstanding</w:t>
            </w: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Dilutive shares resulting from assumed exchange of AAP Management Units</w:t>
            </w:r>
          </w:p>
        </w:tc>
        <w:tc>
          <w:tcPr>
            <w:tcW w:w="8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weighted average Class A shares outstanding</w:t>
            </w:r>
          </w:p>
        </w:tc>
        <w:tc>
          <w:tcPr>
            <w:tcW w:w="116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Diluted Net Income/(Loss) per Class A Share:</w:t>
            </w: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Continuing operations</w:t>
            </w:r>
          </w:p>
        </w:tc>
        <w:tc>
          <w:tcPr>
            <w:tcW w:w="1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16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Diluted net income/(loss) per Class A share</w:t>
            </w:r>
          </w:p>
        </w:tc>
        <w:tc>
          <w:tcPr>
            <w:tcW w:w="1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980" w:type="dxa"/>
            <w:vAlign w:val="bottom"/>
            <w:gridSpan w:val="2"/>
          </w:tcPr>
          <w:p>
            <w:pPr>
              <w:jc w:val="right"/>
              <w:ind w:right="673"/>
              <w:spacing w:after="0"/>
              <w:rPr>
                <w:sz w:val="20"/>
                <w:szCs w:val="20"/>
                <w:color w:val="auto"/>
              </w:rPr>
            </w:pPr>
            <w:r>
              <w:rPr>
                <w:rFonts w:ascii="Times New Roman" w:cs="Times New Roman" w:eastAsia="Times New Roman" w:hAnsi="Times New Roman"/>
                <w:sz w:val="18"/>
                <w:szCs w:val="18"/>
                <w:color w:val="auto"/>
              </w:rPr>
              <w:t>- more -</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2"/>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5"/>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68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tc>
        <w:tc>
          <w:tcPr>
            <w:tcW w:w="1980" w:type="dxa"/>
            <w:vAlign w:val="bottom"/>
            <w:gridSpan w:val="2"/>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Houston, Texas 77002</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713-646-4100 / 866-809-1291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Page 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that involve certain risks and uncertainties that could cause actual results or outcomes to differ materially from results or outcomes anticipated in the forward-looking statements. These risks and uncertainties include, among other things, the following:</w:t>
      </w:r>
    </w:p>
    <w:p>
      <w:pPr>
        <w:spacing w:after="0" w:line="68" w:lineRule="exact"/>
        <w:rPr>
          <w:sz w:val="20"/>
          <w:szCs w:val="20"/>
          <w:color w:val="auto"/>
        </w:rPr>
      </w:pPr>
    </w:p>
    <w:p>
      <w:pPr>
        <w:ind w:left="660" w:right="22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7" w:lineRule="exact"/>
        <w:rPr>
          <w:rFonts w:ascii="Times New Roman" w:cs="Times New Roman" w:eastAsia="Times New Roman" w:hAnsi="Times New Roman"/>
          <w:sz w:val="18"/>
          <w:szCs w:val="18"/>
          <w:color w:val="auto"/>
        </w:rPr>
      </w:pPr>
    </w:p>
    <w:p>
      <w:pPr>
        <w:ind w:left="660" w:right="240" w:hanging="328"/>
        <w:spacing w:after="0" w:line="281" w:lineRule="auto"/>
        <w:tabs>
          <w:tab w:leader="none" w:pos="655"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42" w:lineRule="exact"/>
        <w:rPr>
          <w:rFonts w:ascii="Times New Roman" w:cs="Times New Roman" w:eastAsia="Times New Roman" w:hAnsi="Times New Roman"/>
          <w:sz w:val="17"/>
          <w:szCs w:val="17"/>
          <w:i w:val="1"/>
          <w:iCs w:val="1"/>
          <w:color w:val="auto"/>
        </w:rPr>
      </w:pPr>
    </w:p>
    <w:p>
      <w:pPr>
        <w:ind w:left="660" w:right="40" w:hanging="328"/>
        <w:spacing w:after="0" w:line="25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52"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03"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40"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 including the Canadian NGL Business divestiture (as defined herein);</w:t>
      </w:r>
    </w:p>
    <w:p>
      <w:pPr>
        <w:spacing w:after="0" w:line="4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26"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40"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40"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 or (iii) otherwise negatively impact our business or increase our exposure to risk;</w:t>
      </w:r>
    </w:p>
    <w:p>
      <w:pPr>
        <w:spacing w:after="0" w:line="44"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1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220"/>
          </w:cols>
          <w:pgMar w:left="320" w:top="36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Page 26</w:t>
      </w:r>
    </w:p>
    <w:p>
      <w:pPr>
        <w:spacing w:after="0" w:line="200" w:lineRule="exact"/>
        <w:rPr>
          <w:sz w:val="20"/>
          <w:szCs w:val="20"/>
          <w:color w:val="auto"/>
        </w:rPr>
      </w:pPr>
    </w:p>
    <w:p>
      <w:pPr>
        <w:spacing w:after="0" w:line="241"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03"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90"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103"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26" w:lineRule="exact"/>
        <w:rPr>
          <w:rFonts w:ascii="Times New Roman" w:cs="Times New Roman" w:eastAsia="Times New Roman" w:hAnsi="Times New Roman"/>
          <w:sz w:val="18"/>
          <w:szCs w:val="18"/>
          <w:color w:val="auto"/>
        </w:rPr>
      </w:pPr>
    </w:p>
    <w:p>
      <w:pPr>
        <w:ind w:left="660" w:right="20" w:hanging="328"/>
        <w:spacing w:after="0" w:line="312" w:lineRule="auto"/>
        <w:tabs>
          <w:tab w:leader="none" w:pos="65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1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03"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90" w:lineRule="exact"/>
        <w:rPr>
          <w:rFonts w:ascii="Times New Roman" w:cs="Times New Roman" w:eastAsia="Times New Roman" w:hAnsi="Times New Roman"/>
          <w:sz w:val="18"/>
          <w:szCs w:val="18"/>
          <w:color w:val="auto"/>
        </w:rPr>
      </w:pPr>
    </w:p>
    <w:p>
      <w:pPr>
        <w:ind w:left="660" w:right="600" w:hanging="328"/>
        <w:spacing w:after="0" w:line="266"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 as discussed in the Partnerships’ filings with the Securities and Exchange Commission.</w:t>
      </w:r>
    </w:p>
    <w:p>
      <w:pPr>
        <w:spacing w:after="0" w:line="13" w:lineRule="exact"/>
        <w:rPr>
          <w:rFonts w:ascii="Times New Roman" w:cs="Times New Roman" w:eastAsia="Times New Roman" w:hAnsi="Times New Roman"/>
          <w:sz w:val="18"/>
          <w:szCs w:val="18"/>
          <w:color w:val="auto"/>
        </w:rPr>
      </w:pPr>
    </w:p>
    <w:p>
      <w:pPr>
        <w:ind w:left="5440" w:hanging="106"/>
        <w:spacing w:after="0"/>
        <w:tabs>
          <w:tab w:leader="none" w:pos="54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102870</wp:posOffset>
            </wp:positionV>
            <wp:extent cx="71151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5"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p>
      <w:pPr>
        <w:sectPr>
          <w:pgSz w:w="11900" w:h="16838" w:orient="portrait"/>
          <w:cols w:equalWidth="0" w:num="1">
            <w:col w:w="11180"/>
          </w:cols>
          <w:pgMar w:left="320" w:top="364"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auto"/>
        </w:rPr>
        <w:t>Page 27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Plains:</w:t>
      </w:r>
    </w:p>
    <w:p>
      <w:pPr>
        <w:spacing w:after="0" w:line="3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over 9 million barrels per day of crude oil and NGL.</w:t>
      </w:r>
    </w:p>
    <w:p>
      <w:pPr>
        <w:spacing w:after="0" w:line="20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and PAGP are headquartered in Houston, Texas. For more information, please visit www.plains.com.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Contacts</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Ross Hovde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(866) 809-1291</w:t>
      </w:r>
    </w:p>
    <w:p>
      <w:pPr>
        <w:spacing w:after="0" w:line="1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711517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47" w:lineRule="exact"/>
        <w:rPr>
          <w:sz w:val="20"/>
          <w:szCs w:val="20"/>
          <w:color w:val="auto"/>
        </w:rPr>
      </w:pPr>
    </w:p>
    <w:p>
      <w:pPr>
        <w:ind w:left="1660"/>
        <w:spacing w:after="0"/>
        <w:tabs>
          <w:tab w:leader="none" w:pos="4760" w:val="left"/>
          <w:tab w:leader="none" w:pos="7480" w:val="left"/>
        </w:tabs>
        <w:rPr>
          <w:sz w:val="20"/>
          <w:szCs w:val="20"/>
          <w:color w:val="auto"/>
        </w:rPr>
      </w:pPr>
      <w:r>
        <w:rPr>
          <w:rFonts w:ascii="Times New Roman" w:cs="Times New Roman" w:eastAsia="Times New Roman" w:hAnsi="Times New Roman"/>
          <w:sz w:val="18"/>
          <w:szCs w:val="18"/>
          <w:b w:val="1"/>
          <w:bCs w:val="1"/>
          <w:color w:val="auto"/>
        </w:rPr>
        <w:t>333 Clay Street, Suite 1600</w:t>
      </w:r>
      <w:r>
        <w:rPr>
          <w:sz w:val="20"/>
          <w:szCs w:val="20"/>
          <w:color w:val="auto"/>
        </w:rPr>
        <w:tab/>
      </w:r>
      <w:r>
        <w:rPr>
          <w:rFonts w:ascii="Times New Roman" w:cs="Times New Roman" w:eastAsia="Times New Roman" w:hAnsi="Times New Roman"/>
          <w:sz w:val="18"/>
          <w:szCs w:val="18"/>
          <w:b w:val="1"/>
          <w:bCs w:val="1"/>
          <w:color w:val="auto"/>
        </w:rPr>
        <w:t>Houston, Texas 77002</w:t>
      </w:r>
      <w:r>
        <w:rPr>
          <w:sz w:val="20"/>
          <w:szCs w:val="20"/>
          <w:color w:val="auto"/>
        </w:rPr>
        <w:tab/>
      </w:r>
      <w:r>
        <w:rPr>
          <w:rFonts w:ascii="Times New Roman" w:cs="Times New Roman" w:eastAsia="Times New Roman" w:hAnsi="Times New Roman"/>
          <w:sz w:val="17"/>
          <w:szCs w:val="17"/>
          <w:b w:val="1"/>
          <w:bCs w:val="1"/>
          <w:color w:val="auto"/>
        </w:rPr>
        <w:t>713-646-4100 / 866-809-1291</w:t>
      </w:r>
    </w:p>
    <w:sectPr>
      <w:pgSz w:w="11900" w:h="16838" w:orient="portrait"/>
      <w:cols w:equalWidth="0" w:num="1">
        <w:col w:w="11040"/>
      </w:cols>
      <w:pgMar w:left="320" w:top="36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04"/>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lvl w:ilvl="1">
      <w:lvlJc w:val="left"/>
      <w:lvlText w:val="-"/>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1)"/>
      <w:numFmt w:val="lowerRoman"/>
      <w:start w:val="5"/>
    </w:lvl>
  </w:abstractNum>
  <w:abstractNum w:abstractNumId="8">
    <w:nsid w:val="257130A3"/>
    <w:multiLevelType w:val="hybridMultilevel"/>
    <w:lvl w:ilvl="0">
      <w:lvlJc w:val="left"/>
      <w:lvlText w:val="(%1)"/>
      <w:numFmt w:val="decimal"/>
      <w:start w:val="1"/>
    </w:lvl>
    <w:lvl w:ilvl="1">
      <w:lvlJc w:val="left"/>
      <w:lvlText w:val="-"/>
      <w:numFmt w:val="bullet"/>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lvl w:ilvl="1">
      <w:lvlJc w:val="left"/>
      <w:lvlText w:val="-"/>
      <w:numFmt w:val="bullet"/>
      <w:start w:val="1"/>
    </w:lvl>
  </w:abstractNum>
  <w:abstractNum w:abstractNumId="11">
    <w:nsid w:val="628C895D"/>
    <w:multiLevelType w:val="hybridMultilevel"/>
    <w:lvl w:ilvl="0">
      <w:lvlJc w:val="left"/>
      <w:lvlText w:val="(%1)"/>
      <w:numFmt w:val="decimal"/>
      <w:start w:val="1"/>
    </w:lvl>
    <w:lvl w:ilvl="1">
      <w:lvlJc w:val="left"/>
      <w:lvlText w:val="-"/>
      <w:numFmt w:val="bullet"/>
      <w:start w:val="1"/>
    </w:lvl>
  </w:abstractNum>
  <w:abstractNum w:abstractNumId="12">
    <w:nsid w:val="333AB105"/>
    <w:multiLevelType w:val="hybridMultilevel"/>
    <w:lvl w:ilvl="0">
      <w:lvlJc w:val="left"/>
      <w:lvlText w:val="(%1)"/>
      <w:numFmt w:val="decimal"/>
      <w:start w:val="1"/>
    </w:lvl>
    <w:lvl w:ilvl="1">
      <w:lvlJc w:val="left"/>
      <w:lvlText w:val="-"/>
      <w:numFmt w:val="bullet"/>
      <w:start w:val="1"/>
    </w:lvl>
  </w:abstractNum>
  <w:abstractNum w:abstractNumId="13">
    <w:nsid w:val="721DA317"/>
    <w:multiLevelType w:val="hybridMultilevel"/>
    <w:lvl w:ilvl="0">
      <w:lvlJc w:val="left"/>
      <w:lvlText w:val="(%1)"/>
      <w:numFmt w:val="decimal"/>
      <w:start w:val="1"/>
    </w:lvl>
    <w:lvl w:ilvl="1">
      <w:lvlJc w:val="left"/>
      <w:lvlText w:val="-"/>
      <w:numFmt w:val="bullet"/>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lvl w:ilvl="1">
      <w:lvlJc w:val="left"/>
      <w:lvlText w:val="-"/>
      <w:numFmt w:val="bullet"/>
      <w:start w:val="1"/>
    </w:lvl>
  </w:abstractNum>
  <w:abstractNum w:abstractNumId="16">
    <w:nsid w:val="6763845E"/>
    <w:multiLevelType w:val="hybridMultilevel"/>
    <w:lvl w:ilvl="0">
      <w:lvlJc w:val="left"/>
      <w:lvlText w:val="(%1)"/>
      <w:numFmt w:val="decimal"/>
      <w:start w:val="1"/>
    </w:lvl>
    <w:lvl w:ilvl="1">
      <w:lvlJc w:val="left"/>
      <w:lvlText w:val="-"/>
      <w:numFmt w:val="bullet"/>
      <w:start w:val="1"/>
    </w:lvl>
  </w:abstractNum>
  <w:abstractNum w:abstractNumId="17">
    <w:nsid w:val="75A2A8D4"/>
    <w:multiLevelType w:val="hybridMultilevel"/>
    <w:lvl w:ilvl="0">
      <w:lvlJc w:val="left"/>
      <w:lvlText w:val="(%1)"/>
      <w:numFmt w:val="decimal"/>
      <w:start w:val="1"/>
    </w:lvl>
    <w:lvl w:ilvl="1">
      <w:lvlJc w:val="left"/>
      <w:lvlText w:val="-"/>
      <w:numFmt w:val="bullet"/>
      <w:start w:val="1"/>
    </w:lvl>
  </w:abstractNum>
  <w:abstractNum w:abstractNumId="18">
    <w:nsid w:val="8EDBDAB"/>
    <w:multiLevelType w:val="hybridMultilevel"/>
    <w:lvl w:ilvl="0">
      <w:lvlJc w:val="left"/>
      <w:lvlText w:val="(%1)"/>
      <w:numFmt w:val="decimal"/>
      <w:start w:val="1"/>
    </w:lvl>
    <w:lvl w:ilvl="1">
      <w:lvlJc w:val="left"/>
      <w:lvlText w:val="-"/>
      <w:numFmt w:val="bullet"/>
      <w:start w:val="1"/>
    </w:lvl>
  </w:abstractNum>
  <w:abstractNum w:abstractNumId="19">
    <w:nsid w:val="79838CB2"/>
    <w:multiLevelType w:val="hybridMultilevel"/>
    <w:lvl w:ilvl="0">
      <w:lvlJc w:val="left"/>
      <w:lvlText w:val="(%1)"/>
      <w:numFmt w:val="decimal"/>
      <w:start w:val="1"/>
    </w:lvl>
    <w:lvl w:ilvl="1">
      <w:lvlJc w:val="left"/>
      <w:lvlText w:val="-"/>
      <w:numFmt w:val="bullet"/>
      <w:start w:val="1"/>
    </w:lvl>
  </w:abstractNum>
  <w:abstractNum w:abstractNumId="20">
    <w:nsid w:val="4353D0CD"/>
    <w:multiLevelType w:val="hybridMultilevel"/>
    <w:lvl w:ilvl="0">
      <w:lvlJc w:val="left"/>
      <w:lvlText w:val="(%1)"/>
      <w:numFmt w:val="decimal"/>
      <w:start w:val="3"/>
    </w:lvl>
    <w:lvl w:ilvl="1">
      <w:lvlJc w:val="left"/>
      <w:lvlText w:val="-"/>
      <w:numFmt w:val="bullet"/>
      <w:start w:val="1"/>
    </w:lvl>
  </w:abstractNum>
  <w:abstractNum w:abstractNumId="21">
    <w:nsid w:val="B03E0C6"/>
    <w:multiLevelType w:val="hybridMultilevel"/>
    <w:lvl w:ilvl="0">
      <w:lvlJc w:val="left"/>
      <w:lvlText w:val="(%1)"/>
      <w:numFmt w:val="decimal"/>
      <w:start w:val="1"/>
    </w:lvl>
    <w:lvl w:ilvl="1">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lvl w:ilvl="1">
      <w:lvlJc w:val="left"/>
      <w:lvlText w:val="-"/>
      <w:numFmt w:val="bullet"/>
      <w:start w:val="1"/>
    </w:lvl>
  </w:abstractNum>
  <w:abstractNum w:abstractNumId="24">
    <w:nsid w:val="71F32454"/>
    <w:multiLevelType w:val="hybridMultilevel"/>
    <w:lvl w:ilvl="0">
      <w:lvlJc w:val="left"/>
      <w:lvlText w:val="(%1)"/>
      <w:numFmt w:val="decimal"/>
      <w:start w:val="1"/>
    </w:lvl>
    <w:lvl w:ilvl="1">
      <w:lvlJc w:val="left"/>
      <w:lvlText w:val="-"/>
      <w:numFmt w:val="bullet"/>
      <w:start w:val="1"/>
    </w:lvl>
  </w:abstractNum>
  <w:abstractNum w:abstractNumId="25">
    <w:nsid w:val="2CA88611"/>
    <w:multiLevelType w:val="hybridMultilevel"/>
    <w:lvl w:ilvl="0">
      <w:lvlJc w:val="left"/>
      <w:lvlText w:val="(%1)"/>
      <w:numFmt w:val="decimal"/>
      <w:start w:val="1"/>
    </w:lvl>
    <w:lvl w:ilvl="1">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
      <w:numFmt w:val="bullet"/>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
      <w:numFmt w:val="bullet"/>
      <w:start w:val="1"/>
    </w:lvl>
    <w:lvl w:ilvl="1">
      <w:lvlJc w:val="left"/>
      <w:lvlText w:val="-"/>
      <w:numFmt w:val="bullet"/>
      <w:start w:val="1"/>
    </w:lvl>
  </w:abstractNum>
  <w:abstractNum w:abstractNumId="29">
    <w:nsid w:val="8138641"/>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2026-02-06T08:50:42Z</dcterms:created>
  <dcterms:modified xsi:type="dcterms:W3CDTF">2026-02-06T08:50:42Z</dcterms:modified>
</cp:coreProperties>
</file>