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07" w:lineRule="exact"/>
        <w:rPr>
          <w:sz w:val="24"/>
          <w:szCs w:val="24"/>
          <w:color w:val="auto"/>
        </w:rPr>
      </w:pPr>
    </w:p>
    <w:p>
      <w:pPr>
        <w:ind w:left="3900" w:right="1800" w:hanging="3892"/>
        <w:spacing w:after="0" w:line="422" w:lineRule="auto"/>
        <w:tabs>
          <w:tab w:leader="none" w:pos="4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4160" w:type="dxa"/>
            <w:vAlign w:val="bottom"/>
          </w:tcPr>
          <w:p>
            <w:pPr>
              <w:jc w:val="center"/>
              <w:ind w:right="214"/>
              <w:spacing w:after="0"/>
              <w:rPr>
                <w:sz w:val="20"/>
                <w:szCs w:val="20"/>
                <w:color w:val="auto"/>
              </w:rPr>
            </w:pPr>
            <w:r>
              <w:rPr>
                <w:rFonts w:ascii="Arial" w:cs="Arial" w:eastAsia="Arial" w:hAnsi="Arial"/>
                <w:sz w:val="18"/>
                <w:szCs w:val="18"/>
                <w:b w:val="1"/>
                <w:bCs w:val="1"/>
                <w:color w:val="auto"/>
                <w:w w:val="93"/>
              </w:rPr>
              <w:t>Delaware</w:t>
            </w:r>
          </w:p>
        </w:tc>
        <w:tc>
          <w:tcPr>
            <w:tcW w:w="4580" w:type="dxa"/>
            <w:vAlign w:val="bottom"/>
          </w:tcPr>
          <w:p>
            <w:pPr>
              <w:jc w:val="right"/>
              <w:ind w:right="674"/>
              <w:spacing w:after="0"/>
              <w:rPr>
                <w:sz w:val="20"/>
                <w:szCs w:val="20"/>
                <w:color w:val="auto"/>
              </w:rPr>
            </w:pPr>
            <w:r>
              <w:rPr>
                <w:rFonts w:ascii="Arial" w:cs="Arial" w:eastAsia="Arial" w:hAnsi="Arial"/>
                <w:sz w:val="18"/>
                <w:szCs w:val="18"/>
                <w:b w:val="1"/>
                <w:bCs w:val="1"/>
                <w:color w:val="auto"/>
              </w:rPr>
              <w:t>76-0582150</w:t>
            </w:r>
          </w:p>
        </w:tc>
      </w:tr>
      <w:tr>
        <w:trPr>
          <w:trHeight w:val="251"/>
        </w:trPr>
        <w:tc>
          <w:tcPr>
            <w:tcW w:w="4160" w:type="dxa"/>
            <w:vAlign w:val="bottom"/>
          </w:tcPr>
          <w:p>
            <w:pPr>
              <w:jc w:val="center"/>
              <w:ind w:right="214"/>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580" w:type="dxa"/>
            <w:vAlign w:val="bottom"/>
          </w:tcPr>
          <w:p>
            <w:pPr>
              <w:jc w:val="center"/>
              <w:ind w:left="2134"/>
              <w:spacing w:after="0"/>
              <w:rPr>
                <w:sz w:val="20"/>
                <w:szCs w:val="20"/>
                <w:color w:val="auto"/>
              </w:rPr>
            </w:pPr>
            <w:r>
              <w:rPr>
                <w:rFonts w:ascii="Arial" w:cs="Arial" w:eastAsia="Arial" w:hAnsi="Arial"/>
                <w:sz w:val="16"/>
                <w:szCs w:val="16"/>
                <w:color w:val="auto"/>
                <w:w w:val="95"/>
              </w:rPr>
              <w:t>(I.R.S. Employer Identification No.)</w:t>
            </w:r>
          </w:p>
        </w:tc>
      </w:tr>
      <w:tr>
        <w:trPr>
          <w:trHeight w:val="411"/>
        </w:trPr>
        <w:tc>
          <w:tcPr>
            <w:tcW w:w="4160" w:type="dxa"/>
            <w:vAlign w:val="bottom"/>
          </w:tcPr>
          <w:p>
            <w:pPr>
              <w:jc w:val="center"/>
              <w:ind w:right="214"/>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4580" w:type="dxa"/>
            <w:vAlign w:val="bottom"/>
          </w:tcPr>
          <w:p>
            <w:pPr>
              <w:jc w:val="right"/>
              <w:ind w:right="874"/>
              <w:spacing w:after="0"/>
              <w:rPr>
                <w:sz w:val="20"/>
                <w:szCs w:val="20"/>
                <w:color w:val="auto"/>
              </w:rPr>
            </w:pPr>
            <w:r>
              <w:rPr>
                <w:rFonts w:ascii="Arial" w:cs="Arial" w:eastAsia="Arial" w:hAnsi="Arial"/>
                <w:sz w:val="18"/>
                <w:szCs w:val="18"/>
                <w:b w:val="1"/>
                <w:bCs w:val="1"/>
                <w:color w:val="auto"/>
              </w:rPr>
              <w:t>77002</w:t>
            </w:r>
          </w:p>
        </w:tc>
      </w:tr>
      <w:tr>
        <w:trPr>
          <w:trHeight w:val="251"/>
        </w:trPr>
        <w:tc>
          <w:tcPr>
            <w:tcW w:w="4160" w:type="dxa"/>
            <w:vAlign w:val="bottom"/>
          </w:tcPr>
          <w:p>
            <w:pPr>
              <w:jc w:val="center"/>
              <w:ind w:right="214"/>
              <w:spacing w:after="0"/>
              <w:rPr>
                <w:sz w:val="20"/>
                <w:szCs w:val="20"/>
                <w:color w:val="auto"/>
              </w:rPr>
            </w:pPr>
            <w:r>
              <w:rPr>
                <w:rFonts w:ascii="Arial" w:cs="Arial" w:eastAsia="Arial" w:hAnsi="Arial"/>
                <w:sz w:val="16"/>
                <w:szCs w:val="16"/>
                <w:color w:val="auto"/>
                <w:w w:val="94"/>
              </w:rPr>
              <w:t>(Address of principal executive offices)</w:t>
            </w:r>
          </w:p>
        </w:tc>
        <w:tc>
          <w:tcPr>
            <w:tcW w:w="4580" w:type="dxa"/>
            <w:vAlign w:val="bottom"/>
          </w:tcPr>
          <w:p>
            <w:pPr>
              <w:jc w:val="center"/>
              <w:ind w:left="2134"/>
              <w:spacing w:after="0"/>
              <w:rPr>
                <w:sz w:val="20"/>
                <w:szCs w:val="20"/>
                <w:color w:val="auto"/>
              </w:rPr>
            </w:pPr>
            <w:r>
              <w:rPr>
                <w:rFonts w:ascii="Arial" w:cs="Arial" w:eastAsia="Arial" w:hAnsi="Arial"/>
                <w:sz w:val="16"/>
                <w:szCs w:val="16"/>
                <w:color w:val="auto"/>
                <w:w w:val="95"/>
              </w:rPr>
              <w:t>(Zip Code)</w:t>
            </w:r>
          </w:p>
        </w:tc>
      </w:tr>
      <w:tr>
        <w:trPr>
          <w:trHeight w:val="398"/>
        </w:trPr>
        <w:tc>
          <w:tcPr>
            <w:tcW w:w="4160" w:type="dxa"/>
            <w:vAlign w:val="bottom"/>
          </w:tcPr>
          <w:p>
            <w:pPr>
              <w:spacing w:after="0"/>
              <w:rPr>
                <w:sz w:val="24"/>
                <w:szCs w:val="24"/>
                <w:color w:val="auto"/>
              </w:rPr>
            </w:pPr>
          </w:p>
        </w:tc>
        <w:tc>
          <w:tcPr>
            <w:tcW w:w="4580" w:type="dxa"/>
            <w:vAlign w:val="bottom"/>
          </w:tcPr>
          <w:p>
            <w:pPr>
              <w:jc w:val="right"/>
              <w:ind w:right="3054"/>
              <w:spacing w:after="0"/>
              <w:rPr>
                <w:sz w:val="20"/>
                <w:szCs w:val="20"/>
                <w:color w:val="auto"/>
              </w:rPr>
            </w:pPr>
            <w:r>
              <w:rPr>
                <w:rFonts w:ascii="Arial" w:cs="Arial" w:eastAsia="Arial" w:hAnsi="Arial"/>
                <w:sz w:val="18"/>
                <w:szCs w:val="18"/>
                <w:b w:val="1"/>
                <w:bCs w:val="1"/>
                <w:color w:val="auto"/>
              </w:rPr>
              <w:t>(713) 646-4100</w:t>
            </w:r>
          </w:p>
        </w:tc>
      </w:tr>
    </w:tbl>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16"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120" w:firstLine="369"/>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74"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233" w:right="279" w:bottom="1440" w:gutter="0" w:footer="0" w:header="0"/>
        </w:sectPr>
      </w:pPr>
    </w:p>
    <w:p>
      <w:pPr>
        <w:spacing w:after="0" w:line="95" w:lineRule="exact"/>
        <w:rPr>
          <w:sz w:val="24"/>
          <w:szCs w:val="24"/>
          <w:color w:val="auto"/>
        </w:rPr>
      </w:pPr>
    </w:p>
    <w:p>
      <w:pPr>
        <w:ind w:left="17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6840" w:space="720"/>
            <w:col w:w="3820"/>
          </w:cols>
          <w:pgMar w:left="240" w:top="233" w:right="279" w:bottom="1440" w:gutter="0" w:footer="0" w:header="0"/>
          <w:type w:val="continuous"/>
        </w:sectPr>
      </w:pPr>
    </w:p>
    <w:p>
      <w:pPr>
        <w:spacing w:after="0" w:line="15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460" w:space="720"/>
            <w:col w:w="4200"/>
          </w:cols>
          <w:pgMar w:left="240" w:top="233" w:right="279" w:bottom="1440" w:gutter="0" w:footer="0" w:header="0"/>
          <w:type w:val="continuous"/>
        </w:sectPr>
      </w:pPr>
    </w:p>
    <w:p>
      <w:pPr>
        <w:spacing w:after="0" w:line="8" w:lineRule="exact"/>
        <w:rPr>
          <w:sz w:val="24"/>
          <w:szCs w:val="24"/>
          <w:color w:val="auto"/>
        </w:rPr>
      </w:pPr>
    </w:p>
    <w:p>
      <w:pPr>
        <w:ind w:left="718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380"/>
          </w:cols>
          <w:pgMar w:left="240" w:top="233" w:right="279" w:bottom="1440" w:gutter="0" w:footer="0" w:header="0"/>
          <w:type w:val="continuous"/>
        </w:sectPr>
      </w:pPr>
    </w:p>
    <w:p>
      <w:pPr>
        <w:spacing w:after="0" w:line="113" w:lineRule="exact"/>
        <w:rPr>
          <w:sz w:val="24"/>
          <w:szCs w:val="24"/>
          <w:color w:val="auto"/>
        </w:rPr>
      </w:pPr>
    </w:p>
    <w:p>
      <w:pPr>
        <w:ind w:right="300" w:firstLine="351"/>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right="1880" w:firstLine="324"/>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Securities registered pursuant to Section 12(b) of the Act:</w:t>
      </w:r>
    </w:p>
    <w:p>
      <w:pPr>
        <w:spacing w:after="0" w:line="116" w:lineRule="exact"/>
        <w:rPr>
          <w:sz w:val="24"/>
          <w:szCs w:val="24"/>
          <w:color w:val="auto"/>
        </w:rPr>
      </w:pPr>
    </w:p>
    <w:tbl>
      <w:tblPr>
        <w:tblLayout w:type="fixed"/>
        <w:tblInd w:w="310" w:type="dxa"/>
        <w:tblCellMar>
          <w:top w:w="0" w:type="dxa"/>
          <w:left w:w="0" w:type="dxa"/>
          <w:bottom w:w="0" w:type="dxa"/>
          <w:right w:w="0" w:type="dxa"/>
        </w:tblCellMar>
      </w:tblPr>
      <w:tr>
        <w:trPr>
          <w:trHeight w:val="257"/>
        </w:trPr>
        <w:tc>
          <w:tcPr>
            <w:tcW w:w="3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4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1, 2019, there were 726,821,163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7"/>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280" w:type="dxa"/>
            <w:vAlign w:val="bottom"/>
            <w:gridSpan w:val="19"/>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1034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0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2019 and December 31, 2018</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620" w:type="dxa"/>
            <w:vAlign w:val="bottom"/>
            <w:gridSpan w:val="2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2019 and 2018</w:t>
              </w:r>
            </w:hyperlink>
          </w:p>
        </w:tc>
        <w:tc>
          <w:tcPr>
            <w:tcW w:w="2580" w:type="dxa"/>
            <w:vAlign w:val="bottom"/>
            <w:gridSpan w:val="6"/>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540" w:type="dxa"/>
            <w:vAlign w:val="bottom"/>
            <w:gridSpan w:val="3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2019 and 2018</w:t>
              </w:r>
            </w:hyperlink>
          </w:p>
        </w:tc>
        <w:tc>
          <w:tcPr>
            <w:tcW w:w="1660" w:type="dxa"/>
            <w:vAlign w:val="bottom"/>
            <w:gridSpan w:val="4"/>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980" w:type="dxa"/>
            <w:vAlign w:val="bottom"/>
            <w:tcBorders>
              <w:bottom w:val="single" w:sz="8" w:color="0000EE"/>
            </w:tcBorders>
            <w:gridSpan w:val="3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 three months ended March</w:t>
              </w:r>
            </w:hyperlink>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6"/>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31, 2019 and 2018</w:t>
              </w:r>
            </w:hyperlink>
          </w:p>
        </w:tc>
        <w:tc>
          <w:tcPr>
            <w:tcW w:w="8700" w:type="dxa"/>
            <w:vAlign w:val="bottom"/>
            <w:gridSpan w:val="28"/>
          </w:tcPr>
          <w:p>
            <w:pPr>
              <w:spacing w:after="0"/>
              <w:rPr>
                <w:sz w:val="17"/>
                <w:szCs w:val="17"/>
                <w:color w:val="auto"/>
              </w:rPr>
            </w:pPr>
          </w:p>
        </w:tc>
        <w:tc>
          <w:tcPr>
            <w:tcW w:w="1020" w:type="dxa"/>
            <w:vAlign w:val="bottom"/>
            <w:gridSpan w:val="4"/>
          </w:tcPr>
          <w:p>
            <w:pPr>
              <w:jc w:val="right"/>
              <w:ind w:right="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00" w:type="dxa"/>
            <w:vAlign w:val="bottom"/>
            <w:gridSpan w:val="3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2019 and 2018</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00" w:type="dxa"/>
            <w:vAlign w:val="bottom"/>
            <w:gridSpan w:val="3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Partners’ Capital: For the three months ended March 31, 2019 and 2018</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140" w:type="dxa"/>
            <w:vAlign w:val="bottom"/>
          </w:tcPr>
          <w:p>
            <w:pPr>
              <w:spacing w:after="0"/>
              <w:rPr>
                <w:sz w:val="21"/>
                <w:szCs w:val="21"/>
                <w:color w:val="auto"/>
              </w:rPr>
            </w:pPr>
          </w:p>
        </w:tc>
        <w:tc>
          <w:tcPr>
            <w:tcW w:w="430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4580" w:type="dxa"/>
            <w:vAlign w:val="bottom"/>
            <w:tcBorders>
              <w:top w:val="single" w:sz="8" w:color="0000EE"/>
            </w:tcBorders>
            <w:gridSpan w:val="10"/>
          </w:tcPr>
          <w:p>
            <w:pPr>
              <w:spacing w:after="0"/>
              <w:rPr>
                <w:sz w:val="21"/>
                <w:szCs w:val="21"/>
                <w:color w:val="auto"/>
              </w:rPr>
            </w:pPr>
          </w:p>
        </w:tc>
        <w:tc>
          <w:tcPr>
            <w:tcW w:w="132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gridSpan w:val="21"/>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640" w:type="dxa"/>
            <w:vAlign w:val="bottom"/>
            <w:gridSpan w:val="12"/>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3240" w:type="dxa"/>
            <w:vAlign w:val="bottom"/>
            <w:gridSpan w:val="18"/>
          </w:tcPr>
          <w:p>
            <w:pPr>
              <w:ind w:left="20"/>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Summary of Significant Accounting Policies</w:t>
              </w:r>
            </w:hyperlink>
          </w:p>
        </w:tc>
        <w:tc>
          <w:tcPr>
            <w:tcW w:w="960" w:type="dxa"/>
            <w:vAlign w:val="bottom"/>
            <w:gridSpan w:val="3"/>
          </w:tcPr>
          <w:p>
            <w:pPr>
              <w:spacing w:after="0"/>
              <w:rPr>
                <w:sz w:val="21"/>
                <w:szCs w:val="21"/>
                <w:color w:val="auto"/>
              </w:rPr>
            </w:pPr>
          </w:p>
        </w:tc>
        <w:tc>
          <w:tcPr>
            <w:tcW w:w="5640" w:type="dxa"/>
            <w:vAlign w:val="bottom"/>
            <w:gridSpan w:val="12"/>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0">
              <w:r>
                <w:rPr>
                  <w:rFonts w:ascii="Arial" w:cs="Arial" w:eastAsia="Arial" w:hAnsi="Arial"/>
                  <w:sz w:val="17"/>
                  <w:szCs w:val="17"/>
                  <w:color w:val="0000EE"/>
                  <w:w w:val="73"/>
                </w:rPr>
                <w:t>10</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3240" w:type="dxa"/>
            <w:vAlign w:val="bottom"/>
            <w:gridSpan w:val="18"/>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Revenues and Accounts Receivable</w:t>
              </w:r>
            </w:hyperlink>
          </w:p>
        </w:tc>
        <w:tc>
          <w:tcPr>
            <w:tcW w:w="6600" w:type="dxa"/>
            <w:vAlign w:val="bottom"/>
            <w:gridSpan w:val="15"/>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1">
              <w:r>
                <w:rPr>
                  <w:rFonts w:ascii="Arial" w:cs="Arial" w:eastAsia="Arial" w:hAnsi="Arial"/>
                  <w:sz w:val="17"/>
                  <w:szCs w:val="17"/>
                  <w:color w:val="0000EE"/>
                  <w:w w:val="73"/>
                </w:rPr>
                <w:t>11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12"/>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4. Net Income Per Common Unit</w:t>
              </w:r>
            </w:hyperlink>
          </w:p>
        </w:tc>
        <w:tc>
          <w:tcPr>
            <w:tcW w:w="360" w:type="dxa"/>
            <w:vAlign w:val="bottom"/>
            <w:gridSpan w:val="4"/>
          </w:tcPr>
          <w:p>
            <w:pPr>
              <w:spacing w:after="0"/>
              <w:rPr>
                <w:sz w:val="21"/>
                <w:szCs w:val="21"/>
                <w:color w:val="auto"/>
              </w:rPr>
            </w:pPr>
          </w:p>
        </w:tc>
        <w:tc>
          <w:tcPr>
            <w:tcW w:w="7240" w:type="dxa"/>
            <w:vAlign w:val="bottom"/>
            <w:gridSpan w:val="18"/>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4">
              <w:r>
                <w:rPr>
                  <w:rFonts w:ascii="Arial" w:cs="Arial" w:eastAsia="Arial" w:hAnsi="Arial"/>
                  <w:sz w:val="17"/>
                  <w:szCs w:val="17"/>
                  <w:color w:val="0000EE"/>
                  <w:w w:val="73"/>
                </w:rPr>
                <w:t>14</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5.</w:t>
              </w:r>
            </w:hyperlink>
          </w:p>
        </w:tc>
        <w:tc>
          <w:tcPr>
            <w:tcW w:w="4240" w:type="dxa"/>
            <w:vAlign w:val="bottom"/>
            <w:gridSpan w:val="22"/>
          </w:tcPr>
          <w:p>
            <w:pPr>
              <w:ind w:left="20"/>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Inventory, Linefill and Base Gas and Long-term Inventory</w:t>
              </w:r>
            </w:hyperlink>
          </w:p>
        </w:tc>
        <w:tc>
          <w:tcPr>
            <w:tcW w:w="5600" w:type="dxa"/>
            <w:vAlign w:val="bottom"/>
            <w:gridSpan w:val="11"/>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6">
              <w:r>
                <w:rPr>
                  <w:rFonts w:ascii="Arial" w:cs="Arial" w:eastAsia="Arial" w:hAnsi="Arial"/>
                  <w:sz w:val="17"/>
                  <w:szCs w:val="17"/>
                  <w:color w:val="0000EE"/>
                  <w:w w:val="73"/>
                </w:rPr>
                <w:t>16</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6.</w:t>
              </w:r>
            </w:hyperlink>
          </w:p>
        </w:tc>
        <w:tc>
          <w:tcPr>
            <w:tcW w:w="4240" w:type="dxa"/>
            <w:vAlign w:val="bottom"/>
            <w:gridSpan w:val="22"/>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Goodwill</w:t>
              </w:r>
            </w:hyperlink>
          </w:p>
        </w:tc>
        <w:tc>
          <w:tcPr>
            <w:tcW w:w="5600" w:type="dxa"/>
            <w:vAlign w:val="bottom"/>
            <w:gridSpan w:val="11"/>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6">
              <w:r>
                <w:rPr>
                  <w:rFonts w:ascii="Arial" w:cs="Arial" w:eastAsia="Arial" w:hAnsi="Arial"/>
                  <w:sz w:val="17"/>
                  <w:szCs w:val="17"/>
                  <w:color w:val="0000EE"/>
                  <w:w w:val="73"/>
                </w:rPr>
                <w:t>16</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7.</w:t>
              </w:r>
            </w:hyperlink>
          </w:p>
        </w:tc>
        <w:tc>
          <w:tcPr>
            <w:tcW w:w="2860" w:type="dxa"/>
            <w:vAlign w:val="bottom"/>
            <w:gridSpan w:val="17"/>
          </w:tcPr>
          <w:p>
            <w:pPr>
              <w:ind w:left="20"/>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Investments in Unconsolidated Entities</w:t>
              </w:r>
            </w:hyperlink>
          </w:p>
        </w:tc>
        <w:tc>
          <w:tcPr>
            <w:tcW w:w="6980" w:type="dxa"/>
            <w:vAlign w:val="bottom"/>
            <w:gridSpan w:val="16"/>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7">
              <w:r>
                <w:rPr>
                  <w:rFonts w:ascii="Arial" w:cs="Arial" w:eastAsia="Arial" w:hAnsi="Arial"/>
                  <w:sz w:val="17"/>
                  <w:szCs w:val="17"/>
                  <w:color w:val="0000EE"/>
                  <w:w w:val="73"/>
                </w:rPr>
                <w:t>17</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Debt</w:t>
              </w:r>
            </w:hyperlink>
          </w:p>
        </w:tc>
        <w:tc>
          <w:tcPr>
            <w:tcW w:w="2480" w:type="dxa"/>
            <w:vAlign w:val="bottom"/>
            <w:gridSpan w:val="16"/>
          </w:tcPr>
          <w:p>
            <w:pPr>
              <w:spacing w:after="0"/>
              <w:rPr>
                <w:sz w:val="21"/>
                <w:szCs w:val="21"/>
                <w:color w:val="auto"/>
              </w:rPr>
            </w:pPr>
          </w:p>
        </w:tc>
        <w:tc>
          <w:tcPr>
            <w:tcW w:w="6980" w:type="dxa"/>
            <w:vAlign w:val="bottom"/>
            <w:gridSpan w:val="16"/>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8">
              <w:r>
                <w:rPr>
                  <w:rFonts w:ascii="Arial" w:cs="Arial" w:eastAsia="Arial" w:hAnsi="Arial"/>
                  <w:sz w:val="17"/>
                  <w:szCs w:val="17"/>
                  <w:color w:val="0000EE"/>
                  <w:w w:val="73"/>
                </w:rPr>
                <w:t>18</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9.</w:t>
              </w:r>
            </w:hyperlink>
          </w:p>
        </w:tc>
        <w:tc>
          <w:tcPr>
            <w:tcW w:w="2500" w:type="dxa"/>
            <w:vAlign w:val="bottom"/>
            <w:gridSpan w:val="13"/>
          </w:tcPr>
          <w:p>
            <w:pPr>
              <w:ind w:left="2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Partners’ Capital and Distributions</w:t>
              </w:r>
            </w:hyperlink>
          </w:p>
        </w:tc>
        <w:tc>
          <w:tcPr>
            <w:tcW w:w="7340" w:type="dxa"/>
            <w:vAlign w:val="bottom"/>
            <w:gridSpan w:val="20"/>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9">
              <w:r>
                <w:rPr>
                  <w:rFonts w:ascii="Arial" w:cs="Arial" w:eastAsia="Arial" w:hAnsi="Arial"/>
                  <w:sz w:val="17"/>
                  <w:szCs w:val="17"/>
                  <w:color w:val="0000EE"/>
                  <w:w w:val="73"/>
                </w:rPr>
                <w:t>19</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gridSpan w:val="20"/>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10. Derivatives and Risk Management Activities</w:t>
              </w:r>
            </w:hyperlink>
          </w:p>
        </w:tc>
        <w:tc>
          <w:tcPr>
            <w:tcW w:w="6480" w:type="dxa"/>
            <w:vAlign w:val="bottom"/>
            <w:gridSpan w:val="14"/>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0">
              <w:r>
                <w:rPr>
                  <w:rFonts w:ascii="Arial" w:cs="Arial" w:eastAsia="Arial" w:hAnsi="Arial"/>
                  <w:sz w:val="17"/>
                  <w:szCs w:val="17"/>
                  <w:color w:val="0000EE"/>
                  <w:w w:val="73"/>
                </w:rPr>
                <w:t>20</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spacing w:after="0"/>
              <w:rPr>
                <w:rFonts w:ascii="Arial" w:cs="Arial" w:eastAsia="Arial" w:hAnsi="Arial"/>
                <w:sz w:val="18"/>
                <w:szCs w:val="18"/>
                <w:color w:val="0000EE"/>
                <w:w w:val="83"/>
              </w:rPr>
            </w:pPr>
            <w:hyperlink w:anchor="page27">
              <w:r>
                <w:rPr>
                  <w:rFonts w:ascii="Arial" w:cs="Arial" w:eastAsia="Arial" w:hAnsi="Arial"/>
                  <w:sz w:val="18"/>
                  <w:szCs w:val="18"/>
                  <w:color w:val="0000EE"/>
                  <w:w w:val="83"/>
                </w:rPr>
                <w:t>11. Leases</w:t>
              </w:r>
            </w:hyperlink>
          </w:p>
        </w:tc>
        <w:tc>
          <w:tcPr>
            <w:tcW w:w="2740" w:type="dxa"/>
            <w:vAlign w:val="bottom"/>
            <w:gridSpan w:val="17"/>
          </w:tcPr>
          <w:p>
            <w:pPr>
              <w:spacing w:after="0"/>
              <w:rPr>
                <w:sz w:val="21"/>
                <w:szCs w:val="21"/>
                <w:color w:val="auto"/>
              </w:rPr>
            </w:pPr>
          </w:p>
        </w:tc>
        <w:tc>
          <w:tcPr>
            <w:tcW w:w="6480" w:type="dxa"/>
            <w:vAlign w:val="bottom"/>
            <w:gridSpan w:val="14"/>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7">
              <w:r>
                <w:rPr>
                  <w:rFonts w:ascii="Arial" w:cs="Arial" w:eastAsia="Arial" w:hAnsi="Arial"/>
                  <w:sz w:val="17"/>
                  <w:szCs w:val="17"/>
                  <w:color w:val="0000EE"/>
                  <w:w w:val="73"/>
                </w:rPr>
                <w:t>27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0" w:type="dxa"/>
            <w:vAlign w:val="bottom"/>
            <w:gridSpan w:val="3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12. Related Party Transactions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13. Commitments and Contingencies</w:t>
              </w:r>
            </w:hyperlink>
          </w:p>
        </w:tc>
        <w:tc>
          <w:tcPr>
            <w:tcW w:w="7340" w:type="dxa"/>
            <w:vAlign w:val="bottom"/>
            <w:gridSpan w:val="20"/>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31">
              <w:r>
                <w:rPr>
                  <w:rFonts w:ascii="Arial" w:cs="Arial" w:eastAsia="Arial" w:hAnsi="Arial"/>
                  <w:sz w:val="17"/>
                  <w:szCs w:val="17"/>
                  <w:color w:val="0000EE"/>
                  <w:w w:val="73"/>
                </w:rPr>
                <w:t>31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14. Operating Segments</w:t>
              </w:r>
            </w:hyperlink>
          </w:p>
        </w:tc>
        <w:tc>
          <w:tcPr>
            <w:tcW w:w="7340" w:type="dxa"/>
            <w:vAlign w:val="bottom"/>
            <w:gridSpan w:val="20"/>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36">
              <w:r>
                <w:rPr>
                  <w:rFonts w:ascii="Arial" w:cs="Arial" w:eastAsia="Arial" w:hAnsi="Arial"/>
                  <w:sz w:val="17"/>
                  <w:szCs w:val="17"/>
                  <w:color w:val="0000EE"/>
                  <w:w w:val="73"/>
                </w:rPr>
                <w:t>36</w:t>
              </w:r>
            </w:hyperlink>
          </w:p>
        </w:tc>
      </w:tr>
      <w:tr>
        <w:trPr>
          <w:trHeight w:val="20"/>
        </w:trPr>
        <w:tc>
          <w:tcPr>
            <w:tcW w:w="34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0340" w:type="dxa"/>
            <w:vAlign w:val="bottom"/>
            <w:gridSpan w:val="3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700" w:type="dxa"/>
            <w:vAlign w:val="bottom"/>
            <w:gridSpan w:val="29"/>
          </w:tcPr>
          <w:p>
            <w:pPr>
              <w:spacing w:after="0"/>
              <w:rPr>
                <w:rFonts w:ascii="Arial" w:cs="Arial" w:eastAsia="Arial" w:hAnsi="Arial"/>
                <w:sz w:val="18"/>
                <w:szCs w:val="18"/>
                <w:color w:val="0000EE"/>
                <w:w w:val="97"/>
              </w:rPr>
            </w:pPr>
            <w:hyperlink w:anchor="page60">
              <w:r>
                <w:rPr>
                  <w:rFonts w:ascii="Arial" w:cs="Arial" w:eastAsia="Arial" w:hAnsi="Arial"/>
                  <w:sz w:val="18"/>
                  <w:szCs w:val="18"/>
                  <w:color w:val="0000EE"/>
                  <w:w w:val="97"/>
                </w:rPr>
                <w:t>Item 3. QUANTITATIVE AND QUALITATIVE DISCLOSURES ABOUT MARKET RISK</w:t>
              </w:r>
            </w:hyperlink>
          </w:p>
        </w:tc>
        <w:tc>
          <w:tcPr>
            <w:tcW w:w="276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0">
              <w:r>
                <w:rPr>
                  <w:rFonts w:ascii="Arial" w:cs="Arial" w:eastAsia="Arial" w:hAnsi="Arial"/>
                  <w:sz w:val="17"/>
                  <w:szCs w:val="17"/>
                  <w:color w:val="0000EE"/>
                  <w:w w:val="73"/>
                </w:rPr>
                <w:t>60</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160" w:type="dxa"/>
            <w:vAlign w:val="bottom"/>
            <w:gridSpan w:val="19"/>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Item 4. CONTROLS AND PROCEDURES</w:t>
              </w:r>
            </w:hyperlink>
          </w:p>
        </w:tc>
        <w:tc>
          <w:tcPr>
            <w:tcW w:w="3540" w:type="dxa"/>
            <w:vAlign w:val="bottom"/>
            <w:gridSpan w:val="10"/>
          </w:tcPr>
          <w:p>
            <w:pPr>
              <w:spacing w:after="0"/>
              <w:rPr>
                <w:sz w:val="21"/>
                <w:szCs w:val="21"/>
                <w:color w:val="auto"/>
              </w:rPr>
            </w:pPr>
          </w:p>
        </w:tc>
        <w:tc>
          <w:tcPr>
            <w:tcW w:w="364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1">
              <w:r>
                <w:rPr>
                  <w:rFonts w:ascii="Arial" w:cs="Arial" w:eastAsia="Arial" w:hAnsi="Arial"/>
                  <w:sz w:val="17"/>
                  <w:szCs w:val="17"/>
                  <w:color w:val="0000EE"/>
                  <w:w w:val="73"/>
                </w:rPr>
                <w:t>61</w:t>
              </w:r>
            </w:hyperlink>
          </w:p>
        </w:tc>
      </w:tr>
      <w:tr>
        <w:trPr>
          <w:trHeight w:val="520"/>
        </w:trPr>
        <w:tc>
          <w:tcPr>
            <w:tcW w:w="276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II. OTHER INFORMATION</w:t>
              </w:r>
            </w:hyperlink>
          </w:p>
        </w:tc>
        <w:tc>
          <w:tcPr>
            <w:tcW w:w="400" w:type="dxa"/>
            <w:vAlign w:val="bottom"/>
            <w:tcBorders>
              <w:top w:val="single" w:sz="8" w:color="0000EE"/>
            </w:tcBorders>
            <w:gridSpan w:val="4"/>
          </w:tcPr>
          <w:p>
            <w:pPr>
              <w:spacing w:after="0"/>
              <w:rPr>
                <w:sz w:val="24"/>
                <w:szCs w:val="24"/>
                <w:color w:val="auto"/>
              </w:rPr>
            </w:pPr>
          </w:p>
        </w:tc>
        <w:tc>
          <w:tcPr>
            <w:tcW w:w="7180" w:type="dxa"/>
            <w:vAlign w:val="bottom"/>
            <w:gridSpan w:val="17"/>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0340" w:type="dxa"/>
            <w:vAlign w:val="bottom"/>
            <w:gridSpan w:val="3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 LEGAL PROCEEDINGS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20" w:type="dxa"/>
            <w:vAlign w:val="bottom"/>
            <w:gridSpan w:val="1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1A. RISK FACTORS</w:t>
              </w:r>
            </w:hyperlink>
          </w:p>
        </w:tc>
        <w:tc>
          <w:tcPr>
            <w:tcW w:w="7920" w:type="dxa"/>
            <w:vAlign w:val="bottom"/>
            <w:gridSpan w:val="25"/>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2">
              <w:r>
                <w:rPr>
                  <w:rFonts w:ascii="Arial" w:cs="Arial" w:eastAsia="Arial" w:hAnsi="Arial"/>
                  <w:sz w:val="17"/>
                  <w:szCs w:val="17"/>
                  <w:color w:val="0000EE"/>
                  <w:w w:val="73"/>
                </w:rPr>
                <w:t>62</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340" w:type="dxa"/>
            <w:vAlign w:val="bottom"/>
            <w:gridSpan w:val="3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2. UNREGISTERED SALES OF EQUITY SECURITIES AND USE OF PROCEEDS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2880" w:type="dxa"/>
            <w:vAlign w:val="bottom"/>
            <w:tcBorders>
              <w:left w:val="single" w:sz="8" w:color="0000EE"/>
            </w:tcBorders>
            <w:gridSpan w:val="7"/>
            <w:shd w:val="clear" w:color="auto" w:fill="0000EE"/>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740" w:type="dxa"/>
            <w:vAlign w:val="bottom"/>
            <w:gridSpan w:val="21"/>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Item 3. DEFAULTS UPON SENIOR SECURITIES</w:t>
              </w:r>
            </w:hyperlink>
          </w:p>
        </w:tc>
        <w:tc>
          <w:tcPr>
            <w:tcW w:w="2880" w:type="dxa"/>
            <w:vAlign w:val="bottom"/>
            <w:gridSpan w:val="7"/>
          </w:tcPr>
          <w:p>
            <w:pPr>
              <w:spacing w:after="0"/>
              <w:rPr>
                <w:sz w:val="21"/>
                <w:szCs w:val="21"/>
                <w:color w:val="auto"/>
              </w:rPr>
            </w:pPr>
          </w:p>
        </w:tc>
        <w:tc>
          <w:tcPr>
            <w:tcW w:w="3720" w:type="dxa"/>
            <w:vAlign w:val="bottom"/>
            <w:gridSpan w:val="8"/>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2">
              <w:r>
                <w:rPr>
                  <w:rFonts w:ascii="Arial" w:cs="Arial" w:eastAsia="Arial" w:hAnsi="Arial"/>
                  <w:sz w:val="17"/>
                  <w:szCs w:val="17"/>
                  <w:color w:val="0000EE"/>
                  <w:w w:val="73"/>
                </w:rPr>
                <w:t>62</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5"/>
            <w:shd w:val="clear" w:color="auto" w:fill="0000EE"/>
          </w:tcPr>
          <w:p>
            <w:pPr>
              <w:spacing w:after="0" w:line="20" w:lineRule="exact"/>
              <w:rPr>
                <w:sz w:val="1"/>
                <w:szCs w:val="1"/>
                <w:color w:val="auto"/>
              </w:rPr>
            </w:pPr>
          </w:p>
        </w:tc>
        <w:tc>
          <w:tcPr>
            <w:tcW w:w="6600" w:type="dxa"/>
            <w:vAlign w:val="bottom"/>
            <w:gridSpan w:val="15"/>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000" w:type="dxa"/>
            <w:vAlign w:val="bottom"/>
            <w:gridSpan w:val="16"/>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Item 4. MINE SAFETY DISCLOSURES</w:t>
              </w:r>
            </w:hyperlink>
          </w:p>
        </w:tc>
        <w:tc>
          <w:tcPr>
            <w:tcW w:w="740" w:type="dxa"/>
            <w:vAlign w:val="bottom"/>
            <w:gridSpan w:val="5"/>
          </w:tcPr>
          <w:p>
            <w:pPr>
              <w:spacing w:after="0"/>
              <w:rPr>
                <w:sz w:val="21"/>
                <w:szCs w:val="21"/>
                <w:color w:val="auto"/>
              </w:rPr>
            </w:pPr>
          </w:p>
        </w:tc>
        <w:tc>
          <w:tcPr>
            <w:tcW w:w="6600" w:type="dxa"/>
            <w:vAlign w:val="bottom"/>
            <w:gridSpan w:val="15"/>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2">
              <w:r>
                <w:rPr>
                  <w:rFonts w:ascii="Arial" w:cs="Arial" w:eastAsia="Arial" w:hAnsi="Arial"/>
                  <w:sz w:val="17"/>
                  <w:szCs w:val="17"/>
                  <w:color w:val="0000EE"/>
                  <w:w w:val="73"/>
                </w:rPr>
                <w:t>62</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340" w:type="dxa"/>
            <w:vAlign w:val="bottom"/>
            <w:gridSpan w:val="20"/>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340" w:type="dxa"/>
            <w:vAlign w:val="bottom"/>
            <w:gridSpan w:val="20"/>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2">
              <w:r>
                <w:rPr>
                  <w:rFonts w:ascii="Arial" w:cs="Arial" w:eastAsia="Arial" w:hAnsi="Arial"/>
                  <w:sz w:val="17"/>
                  <w:szCs w:val="17"/>
                  <w:color w:val="0000EE"/>
                  <w:w w:val="73"/>
                </w:rPr>
                <w:t>62</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900" w:type="dxa"/>
            <w:vAlign w:val="bottom"/>
            <w:gridSpan w:val="24"/>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6. EXHIBITS</w:t>
              </w:r>
            </w:hyperlink>
          </w:p>
        </w:tc>
        <w:tc>
          <w:tcPr>
            <w:tcW w:w="7900" w:type="dxa"/>
            <w:vAlign w:val="bottom"/>
            <w:gridSpan w:val="24"/>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3">
              <w:r>
                <w:rPr>
                  <w:rFonts w:ascii="Arial" w:cs="Arial" w:eastAsia="Arial" w:hAnsi="Arial"/>
                  <w:sz w:val="17"/>
                  <w:szCs w:val="17"/>
                  <w:color w:val="0000EE"/>
                  <w:w w:val="73"/>
                </w:rPr>
                <w:t>63</w:t>
              </w:r>
            </w:hyperlink>
          </w:p>
        </w:tc>
      </w:tr>
      <w:tr>
        <w:trPr>
          <w:trHeight w:val="20"/>
        </w:trPr>
        <w:tc>
          <w:tcPr>
            <w:tcW w:w="11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980" w:type="dxa"/>
            <w:vAlign w:val="bottom"/>
            <w:gridSpan w:val="29"/>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20" w:type="dxa"/>
            <w:vAlign w:val="bottom"/>
            <w:gridSpan w:val="5"/>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SIGNATURES</w:t>
              </w:r>
            </w:hyperlink>
          </w:p>
        </w:tc>
        <w:tc>
          <w:tcPr>
            <w:tcW w:w="240" w:type="dxa"/>
            <w:vAlign w:val="bottom"/>
            <w:gridSpan w:val="2"/>
          </w:tcPr>
          <w:p>
            <w:pPr>
              <w:spacing w:after="0"/>
              <w:rPr>
                <w:sz w:val="21"/>
                <w:szCs w:val="21"/>
                <w:color w:val="auto"/>
              </w:rPr>
            </w:pPr>
          </w:p>
        </w:tc>
        <w:tc>
          <w:tcPr>
            <w:tcW w:w="8980" w:type="dxa"/>
            <w:vAlign w:val="bottom"/>
            <w:gridSpan w:val="29"/>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66">
              <w:r>
                <w:rPr>
                  <w:rFonts w:ascii="Arial" w:cs="Arial" w:eastAsia="Arial" w:hAnsi="Arial"/>
                  <w:sz w:val="17"/>
                  <w:szCs w:val="17"/>
                  <w:color w:val="0000EE"/>
                  <w:w w:val="73"/>
                </w:rPr>
                <w:t>66</w:t>
              </w:r>
            </w:hyperlink>
          </w:p>
        </w:tc>
      </w:tr>
      <w:tr>
        <w:trPr>
          <w:trHeight w:val="723"/>
        </w:trPr>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gridSpan w:val="2"/>
          </w:tcPr>
          <w:p>
            <w:pPr>
              <w:spacing w:after="0"/>
              <w:rPr>
                <w:sz w:val="24"/>
                <w:szCs w:val="24"/>
                <w:color w:val="auto"/>
              </w:rPr>
            </w:pPr>
          </w:p>
        </w:tc>
        <w:tc>
          <w:tcPr>
            <w:tcW w:w="5280" w:type="dxa"/>
            <w:vAlign w:val="bottom"/>
            <w:gridSpan w:val="21"/>
          </w:tcPr>
          <w:p>
            <w:pPr>
              <w:jc w:val="right"/>
              <w:ind w:right="6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160" w:type="dxa"/>
            <w:vAlign w:val="bottom"/>
          </w:tcPr>
          <w:p>
            <w:pPr>
              <w:jc w:val="right"/>
              <w:ind w:right="231"/>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7"/>
        </w:trPr>
        <w:tc>
          <w:tcPr>
            <w:tcW w:w="8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20"/>
                <w:szCs w:val="20"/>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0"/>
        </w:trPr>
        <w:tc>
          <w:tcPr>
            <w:tcW w:w="8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66</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2,454</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373</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3,533</w:t>
            </w:r>
          </w:p>
        </w:tc>
      </w:tr>
      <w:tr>
        <w:trPr>
          <w:trHeight w:val="264"/>
        </w:trPr>
        <w:tc>
          <w:tcPr>
            <w:tcW w:w="83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17,866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(3,079)</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14,787</w:t>
            </w:r>
          </w:p>
        </w:tc>
      </w:tr>
      <w:tr>
        <w:trPr>
          <w:trHeight w:val="264"/>
        </w:trPr>
        <w:tc>
          <w:tcPr>
            <w:tcW w:w="83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2,521</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Linefill and base gas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916</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operating lease right-of-use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136</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w:t>
            </w:r>
          </w:p>
        </w:tc>
      </w:tr>
      <w:tr>
        <w:trPr>
          <w:trHeight w:val="297"/>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27,386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25,511</w:t>
            </w:r>
          </w:p>
        </w:tc>
      </w:tr>
      <w:tr>
        <w:trPr>
          <w:trHeight w:val="217"/>
        </w:trPr>
        <w:tc>
          <w:tcPr>
            <w:tcW w:w="8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66</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w:t>
            </w:r>
          </w:p>
        </w:tc>
      </w:tr>
      <w:tr>
        <w:trPr>
          <w:trHeight w:val="237"/>
        </w:trPr>
        <w:tc>
          <w:tcPr>
            <w:tcW w:w="83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3,456</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long-term debt, net</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202</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910</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10,053</w:t>
            </w:r>
          </w:p>
        </w:tc>
      </w:tr>
      <w:tr>
        <w:trPr>
          <w:trHeight w:val="223"/>
        </w:trPr>
        <w:tc>
          <w:tcPr>
            <w:tcW w:w="8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0"/>
        </w:trPr>
        <w:tc>
          <w:tcPr>
            <w:tcW w:w="8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Series A preferred unitholders (71,090,468 and 71,090,468 units outstanding, respectively)</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1,505</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preferred unitholders (800,000 and 800,000 units outstanding,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Common unitholders (726,785,813 and 726,361,924 units outstanding, respectively)</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10,470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9,710</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12,002</w:t>
            </w:r>
          </w:p>
        </w:tc>
      </w:tr>
      <w:tr>
        <w:trPr>
          <w:trHeight w:val="257"/>
        </w:trPr>
        <w:tc>
          <w:tcPr>
            <w:tcW w:w="8320" w:type="dxa"/>
            <w:vAlign w:val="bottom"/>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27,386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25,511</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314"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unit data)</w:t>
      </w:r>
    </w:p>
    <w:p>
      <w:pPr>
        <w:spacing w:after="0" w:line="148"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13335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96"/>
        </w:trPr>
        <w:tc>
          <w:tcPr>
            <w:tcW w:w="8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7"/>
                <w:szCs w:val="17"/>
                <w:color w:val="auto"/>
              </w:rPr>
            </w:pPr>
          </w:p>
        </w:tc>
      </w:tr>
      <w:tr>
        <w:trPr>
          <w:trHeight w:val="25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8,022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8,111</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141</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8,398</w:t>
            </w:r>
          </w:p>
        </w:tc>
      </w:tr>
      <w:tr>
        <w:trPr>
          <w:trHeight w:val="297"/>
        </w:trPr>
        <w:tc>
          <w:tcPr>
            <w:tcW w:w="8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7,519</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79</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8,017</w:t>
            </w:r>
          </w:p>
        </w:tc>
      </w:tr>
      <w:tr>
        <w:trPr>
          <w:trHeight w:val="324"/>
        </w:trPr>
        <w:tc>
          <w:tcPr>
            <w:tcW w:w="8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w:t>
            </w:r>
          </w:p>
        </w:tc>
      </w:tr>
      <w:tr>
        <w:trPr>
          <w:trHeight w:val="324"/>
        </w:trPr>
        <w:tc>
          <w:tcPr>
            <w:tcW w:w="8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75</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investment in unconsolidated entities (Note 7)</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 of $11 and $6, respectively)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87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318"/>
        </w:trPr>
        <w:tc>
          <w:tcPr>
            <w:tcW w:w="87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6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8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 (NOTE 4):</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237</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r>
      <w:tr>
        <w:trPr>
          <w:trHeight w:val="304"/>
        </w:trPr>
        <w:tc>
          <w:tcPr>
            <w:tcW w:w="8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net income per common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0.33</w:t>
            </w:r>
          </w:p>
        </w:tc>
      </w:tr>
      <w:tr>
        <w:trPr>
          <w:trHeight w:val="311"/>
        </w:trPr>
        <w:tc>
          <w:tcPr>
            <w:tcW w:w="8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237</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w:t>
            </w:r>
          </w:p>
        </w:tc>
      </w:tr>
      <w:tr>
        <w:trPr>
          <w:trHeight w:val="264"/>
        </w:trPr>
        <w:tc>
          <w:tcPr>
            <w:tcW w:w="8780" w:type="dxa"/>
            <w:vAlign w:val="bottom"/>
          </w:tcPr>
          <w:p>
            <w:pPr>
              <w:ind w:left="180"/>
              <w:spacing w:after="0"/>
              <w:rPr>
                <w:sz w:val="20"/>
                <w:szCs w:val="20"/>
                <w:color w:val="auto"/>
              </w:rPr>
            </w:pPr>
            <w:r>
              <w:rPr>
                <w:rFonts w:ascii="Arial" w:cs="Arial" w:eastAsia="Arial" w:hAnsi="Arial"/>
                <w:sz w:val="18"/>
                <w:szCs w:val="18"/>
                <w:color w:val="auto"/>
              </w:rPr>
              <w:t>Diluted net income per common unit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0.33</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3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348"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13335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196"/>
        </w:trPr>
        <w:tc>
          <w:tcPr>
            <w:tcW w:w="8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7"/>
                <w:szCs w:val="17"/>
                <w:color w:val="auto"/>
              </w:rPr>
            </w:pPr>
          </w:p>
        </w:tc>
      </w:tr>
      <w:tr>
        <w:trPr>
          <w:trHeight w:val="25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42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4"/>
                <w:szCs w:val="14"/>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Unrealized loss on hedges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420" w:type="dxa"/>
            <w:vAlign w:val="bottom"/>
          </w:tcPr>
          <w:p>
            <w:pPr>
              <w:spacing w:after="0"/>
              <w:rPr>
                <w:sz w:val="24"/>
                <w:szCs w:val="24"/>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24"/>
                <w:szCs w:val="24"/>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Unrealized gain on hedges</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288</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127</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(benefit)/expense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Loss on foreign currency revaluation</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10)</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Gain on investment in unconsolidated entities (Note 7)</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1,033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r>
      <w:tr>
        <w:trPr>
          <w:trHeight w:val="277"/>
        </w:trPr>
        <w:tc>
          <w:tcPr>
            <w:tcW w:w="83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9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83</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purchases of linefill and base gas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investing activities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77"/>
        </w:trPr>
        <w:tc>
          <w:tcPr>
            <w:tcW w:w="83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repayments under commercial paper program (Note 8)</w:t>
            </w:r>
          </w:p>
        </w:tc>
        <w:tc>
          <w:tcPr>
            <w:tcW w:w="9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 under senior unsecured revolving credit facility (Note 8)</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repayments under senior secured hedged inventory facility (Note 8)</w:t>
            </w:r>
          </w:p>
        </w:tc>
        <w:tc>
          <w:tcPr>
            <w:tcW w:w="9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Series A preferred unitholders (Note 9)</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Distributions paid to common unitholders (Note 9)</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Effect of translation adjustment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8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9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r>
      <w:tr>
        <w:trPr>
          <w:trHeight w:val="29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end of period</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r>
      <w:tr>
        <w:trPr>
          <w:trHeight w:val="271"/>
        </w:trPr>
        <w:tc>
          <w:tcPr>
            <w:tcW w:w="8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w:t>
            </w: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80" w:right="206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left="304"/>
              <w:spacing w:after="0"/>
              <w:rPr>
                <w:sz w:val="20"/>
                <w:szCs w:val="20"/>
                <w:color w:val="auto"/>
              </w:rPr>
            </w:pPr>
            <w:r>
              <w:rPr>
                <w:rFonts w:ascii="Arial" w:cs="Arial" w:eastAsia="Arial" w:hAnsi="Arial"/>
                <w:sz w:val="14"/>
                <w:szCs w:val="14"/>
                <w:b w:val="1"/>
                <w:bCs w:val="1"/>
                <w:color w:val="auto"/>
                <w:w w:val="95"/>
              </w:rPr>
              <w:t>Limited Partners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20" w:type="dxa"/>
            <w:vAlign w:val="bottom"/>
            <w:gridSpan w:val="4"/>
          </w:tcPr>
          <w:p>
            <w:pPr>
              <w:jc w:val="right"/>
              <w:ind w:right="844"/>
              <w:spacing w:after="0"/>
              <w:rPr>
                <w:sz w:val="20"/>
                <w:szCs w:val="20"/>
                <w:color w:val="auto"/>
              </w:rPr>
            </w:pPr>
            <w:r>
              <w:rPr>
                <w:rFonts w:ascii="Arial" w:cs="Arial" w:eastAsia="Arial" w:hAnsi="Arial"/>
                <w:sz w:val="14"/>
                <w:szCs w:val="14"/>
                <w:b w:val="1"/>
                <w:bCs w:val="1"/>
                <w:color w:val="auto"/>
                <w:w w:val="95"/>
              </w:rPr>
              <w:t>Preferred Unitholders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center"/>
              <w:ind w:right="31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3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80" w:type="dxa"/>
            <w:vAlign w:val="bottom"/>
            <w:gridSpan w:val="2"/>
            <w:vMerge w:val="restart"/>
          </w:tcPr>
          <w:p>
            <w:pPr>
              <w:jc w:val="center"/>
              <w:ind w:right="560"/>
              <w:spacing w:after="0" w:line="139" w:lineRule="exact"/>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40" w:type="dxa"/>
            <w:vAlign w:val="bottom"/>
            <w:vMerge w:val="restart"/>
          </w:tcPr>
          <w:p>
            <w:pPr>
              <w:jc w:val="center"/>
              <w:ind w:right="315"/>
              <w:spacing w:after="0" w:line="13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vMerge w:val="restart"/>
          </w:tcPr>
          <w:p>
            <w:pPr>
              <w:jc w:val="center"/>
              <w:ind w:left="304"/>
              <w:spacing w:after="0"/>
              <w:rPr>
                <w:sz w:val="20"/>
                <w:szCs w:val="20"/>
                <w:color w:val="auto"/>
              </w:rPr>
            </w:pPr>
            <w:r>
              <w:rPr>
                <w:rFonts w:ascii="Arial" w:cs="Arial" w:eastAsia="Arial" w:hAnsi="Arial"/>
                <w:sz w:val="14"/>
                <w:szCs w:val="14"/>
                <w:b w:val="1"/>
                <w:bCs w:val="1"/>
                <w:color w:val="auto"/>
                <w:w w:val="89"/>
              </w:rPr>
              <w:t>Series B</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5"/>
              </w:rPr>
              <w:t>Unitholders</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280" w:type="dxa"/>
            <w:vAlign w:val="bottom"/>
            <w:tcBorders>
              <w:bottom w:val="single" w:sz="8" w:color="auto"/>
            </w:tcBorders>
            <w:gridSpan w:val="2"/>
            <w:shd w:val="clear" w:color="auto" w:fill="CCEEFF"/>
          </w:tcPr>
          <w:p>
            <w:pPr>
              <w:jc w:val="right"/>
              <w:ind w:right="108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auto"/>
            </w:tcBorders>
            <w:gridSpan w:val="2"/>
            <w:shd w:val="clear" w:color="auto" w:fill="CCEEFF"/>
          </w:tcPr>
          <w:p>
            <w:pPr>
              <w:jc w:val="right"/>
              <w:ind w:right="134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(Note 9)</w:t>
            </w: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w:t>
            </w: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1280" w:type="dxa"/>
            <w:vAlign w:val="bottom"/>
            <w:tcBorders>
              <w:bottom w:val="single" w:sz="8" w:color="auto"/>
            </w:tcBorders>
            <w:gridSpan w:val="2"/>
            <w:shd w:val="clear" w:color="auto" w:fill="CCEEFF"/>
          </w:tcPr>
          <w:p>
            <w:pPr>
              <w:jc w:val="right"/>
              <w:ind w:right="108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gridSpan w:val="2"/>
            <w:shd w:val="clear" w:color="auto" w:fill="CCEEFF"/>
          </w:tcPr>
          <w:p>
            <w:pPr>
              <w:jc w:val="right"/>
              <w:ind w:right="134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w w:val="95"/>
              </w:rPr>
              <w:t>Limited Partners</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20" w:type="dxa"/>
            <w:vAlign w:val="bottom"/>
            <w:gridSpan w:val="4"/>
          </w:tcPr>
          <w:p>
            <w:pPr>
              <w:jc w:val="right"/>
              <w:ind w:right="824"/>
              <w:spacing w:after="0"/>
              <w:rPr>
                <w:sz w:val="20"/>
                <w:szCs w:val="20"/>
                <w:color w:val="auto"/>
              </w:rPr>
            </w:pPr>
            <w:r>
              <w:rPr>
                <w:rFonts w:ascii="Arial" w:cs="Arial" w:eastAsia="Arial" w:hAnsi="Arial"/>
                <w:sz w:val="14"/>
                <w:szCs w:val="14"/>
                <w:b w:val="1"/>
                <w:bCs w:val="1"/>
                <w:color w:val="auto"/>
                <w:w w:val="97"/>
              </w:rPr>
              <w:t>Preferred Unitholders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center"/>
              <w:ind w:right="2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80" w:type="dxa"/>
            <w:vAlign w:val="bottom"/>
            <w:gridSpan w:val="2"/>
            <w:vMerge w:val="restart"/>
          </w:tcPr>
          <w:p>
            <w:pPr>
              <w:jc w:val="center"/>
              <w:ind w:right="540"/>
              <w:spacing w:after="0" w:line="139" w:lineRule="exact"/>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40" w:type="dxa"/>
            <w:vAlign w:val="bottom"/>
            <w:vMerge w:val="restart"/>
          </w:tcPr>
          <w:p>
            <w:pPr>
              <w:jc w:val="center"/>
              <w:ind w:right="295"/>
              <w:spacing w:after="0" w:line="139"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vMerge w:val="restart"/>
          </w:tcPr>
          <w:p>
            <w:pPr>
              <w:jc w:val="center"/>
              <w:ind w:left="344"/>
              <w:spacing w:after="0"/>
              <w:rPr>
                <w:sz w:val="20"/>
                <w:szCs w:val="20"/>
                <w:color w:val="auto"/>
              </w:rPr>
            </w:pPr>
            <w:r>
              <w:rPr>
                <w:rFonts w:ascii="Arial" w:cs="Arial" w:eastAsia="Arial" w:hAnsi="Arial"/>
                <w:sz w:val="14"/>
                <w:szCs w:val="14"/>
                <w:b w:val="1"/>
                <w:bCs w:val="1"/>
                <w:color w:val="auto"/>
                <w:w w:val="89"/>
              </w:rPr>
              <w:t>Series B</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Unitholders</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6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8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32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8,665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Impact of adoption of ASU 2017-05</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w:t>
            </w: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1280" w:type="dxa"/>
            <w:vAlign w:val="bottom"/>
            <w:gridSpan w:val="2"/>
            <w:shd w:val="clear" w:color="auto" w:fill="CCEEFF"/>
          </w:tcPr>
          <w:p>
            <w:pPr>
              <w:jc w:val="right"/>
              <w:ind w:right="108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32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787</w:t>
            </w:r>
          </w:p>
        </w:tc>
        <w:tc>
          <w:tcPr>
            <w:tcW w:w="1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8,744</w:t>
            </w:r>
          </w:p>
        </w:tc>
        <w:tc>
          <w:tcPr>
            <w:tcW w:w="1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14 for further discussion of our operating segments.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March 31, 2019, AAP also owned a limited partner interest in us through its ownership of approximately 280.6 million of our common units (approximately 35% of our total outstanding common units and Series A preferred units combined). Plains All American GP LLC (“GP LLC”), a Delaware limited liability company, is AAP’s general partner. Plains GP Holdings, L.P. (“PAGP”) is the sole and managing member of GP LLC, and, at March 31, 2019, owned an approximate 57% limited partner interest in AAP. PAA GP Holdings LLC (“PAGP GP”) is the general partner of PAGP.</w:t>
      </w:r>
    </w:p>
    <w:p>
      <w:pPr>
        <w:spacing w:after="0" w:line="1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DERs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Earnings before interest, taxes, depreciation and amortization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2018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2018 was derived from audited financial statements, but does not include all disclosures required by GAAP. The results of operations for the three months ended March 31, 2019 should not be taken as indicative of results to be expected for the entire year.</w:t>
      </w:r>
    </w:p>
    <w:p>
      <w:pPr>
        <w:spacing w:after="0" w:line="17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the Condensed Consolidated Balance Sheet that sum to the total of the amounts shown on the Condensed Consolidated Statement of Cash Flows as of the end of the period (in millions):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37"/>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99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436</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33</w:t>
            </w:r>
          </w:p>
        </w:tc>
      </w:tr>
      <w:tr>
        <w:trPr>
          <w:trHeight w:val="27"/>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cash and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469</w:t>
            </w:r>
          </w:p>
        </w:tc>
      </w:tr>
      <w:tr>
        <w:trPr>
          <w:trHeight w:val="20"/>
        </w:trPr>
        <w:tc>
          <w:tcPr>
            <w:tcW w:w="9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restricted cash as of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Except as discussed below and in our 2018 Annual Report on Form 10-K, there have been no new accounting pronouncements that have become effective or have been issued during the three months ended March 31, 2019 that are of significance or potential significance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(followed by a series of related accounting standard updates (collectively referred to as “Topic 842”)), that revises the current accounting model for leases. The most significant changes are the clarification of the definition of a lease and required lessee recognition on the balance sheet of right-of-use assets and lease liabilities with lease terms of more than 12 months (with the election of the practical expedient to exclude short-term leases on the balance sheet), including extensive quantitative and qualitative disclosures. This guidance became effective for interim and annual periods beginning after December 15, 2018. We adopted this guidance effective January 1, 2019. Our adoption resulted in the recording of additional net lease right-of-use assets and lease liabilities of approximately $560 million and $570 million, respectively, on January 1, 2019 and did not have a material impact on our results of operations or cash flows.</w:t>
      </w:r>
    </w:p>
    <w:p>
      <w:pPr>
        <w:spacing w:after="0" w:line="17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elected the package of practical expedients permitted under the transition guidance within Topic 842, which, among other things, allowed us to carry forward the historical accounting related to lease identification, classification and indirect costs. We also elected the practical expedient related to land easements, allowing us to carry forward our accounting treatment for land easements (including rights of way) on existing agreements. Additionally, we elected the non-lease component separation practical expedient for certain classes of assets where we are the lessee and for all classes of assets where we are the lessor. Further, we elected the practical expedient which provides us with an optional transitional method, thereby applying the new guidance at the effective date, without adjusting the comparative periods and, if necessary, recognizing a cumulative-effect adjustment to the opening balance of Partners’ Capital upon adoption. There was no impact to retained earnings related to our adoption. We did not elect the practical expedient related to using hindsight in determining the lease term as this was not relevant following our election of the optional transitional method. We implemented a process to evaluate the impact of adopting this guidance on each type of lease contract we have entered into with counterparties. Our implementation team determined appropriate changes to our business processes, systems and controls to support recognition and disclosure under Topic 842. In addition to the above, which primarily relates to our accounting as a lessee, our accounting from a lessor perspective remains substantially unchanged under Topic 842. See Note 11 for information about our leases.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also adopted the ASUs listed below effective January 1, 2019 and our adoption did not have a material impact to our financial position, results of operations or cash flows (see Note 2 to our Consolidated Financial Statements included in Part IV of our 2018 Annual Report on Form 10-K for additional information regarding these ASUs):</w:t>
      </w:r>
    </w:p>
    <w:p>
      <w:pPr>
        <w:spacing w:after="0" w:line="181" w:lineRule="exact"/>
        <w:rPr>
          <w:sz w:val="20"/>
          <w:szCs w:val="20"/>
          <w:color w:val="auto"/>
        </w:rPr>
      </w:pPr>
    </w:p>
    <w:p>
      <w:pPr>
        <w:ind w:left="820" w:right="320" w:hanging="164"/>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2018-16, Derivatives and Hedging (Topic 815): Inclusion of the Secured Overnight Financing Rate (SOFR) Overnight Index Swap (OIS) Rate as a Benchmark Interest Rate for Hedge Accounting Purposes;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2018-09, Codification Improvements;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ASU 2018-07, Compensation—Stock Compensation (Topic 718): Improvements to Nonemployee Share-Based Payment Accounting; and</w:t>
      </w:r>
    </w:p>
    <w:p>
      <w:pPr>
        <w:spacing w:after="0" w:line="128" w:lineRule="exact"/>
        <w:rPr>
          <w:rFonts w:ascii="Arial" w:cs="Arial" w:eastAsia="Arial" w:hAnsi="Arial"/>
          <w:sz w:val="17"/>
          <w:szCs w:val="17"/>
          <w:color w:val="auto"/>
        </w:rPr>
      </w:pPr>
    </w:p>
    <w:p>
      <w:pPr>
        <w:ind w:left="820" w:hanging="16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2017-12, Derivatives and Hedging (Topic 815): Targeted Improvements to Accounting for Hedging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disaggregate our revenues by segment and type of activity under ASC Topic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(“Topic 606”). These categories depict how the nature, amount, timing and uncertainty of revenues and cash flows are affected by economic factors. See Note 3 to our Consolidated Financial Statements included in Part IV of our 2018 Annual Report on Form 10-K for additional information regarding our types of revenues and policies for revenue recognition.</w:t>
      </w:r>
    </w:p>
    <w:p>
      <w:pPr>
        <w:spacing w:after="0" w:line="18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tables present our Supply and Logistics segment, Transportation segment and Facilities segment revenues from contracts with customers disaggregated by type of activity (in millions):</w:t>
      </w:r>
    </w:p>
    <w:p>
      <w:pPr>
        <w:spacing w:after="0" w:line="108"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13335</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Crude oil transactions</w:t>
            </w: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7,023</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and other transactions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w:t>
            </w: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7,846</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8,174</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91"/>
        </w:trPr>
        <w:tc>
          <w:tcPr>
            <w:tcW w:w="7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120" w:type="dxa"/>
            <w:vAlign w:val="bottom"/>
          </w:tcPr>
          <w:p>
            <w:pPr>
              <w:spacing w:after="0"/>
              <w:rPr>
                <w:sz w:val="24"/>
                <w:szCs w:val="24"/>
                <w:color w:val="auto"/>
              </w:rPr>
            </w:pPr>
          </w:p>
        </w:tc>
      </w:tr>
      <w:tr>
        <w:trPr>
          <w:trHeight w:val="192"/>
        </w:trPr>
        <w:tc>
          <w:tcPr>
            <w:tcW w:w="7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12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Tariff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pipelines</w:t>
            </w: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r>
      <w:tr>
        <w:trPr>
          <w:trHeight w:val="243"/>
        </w:trPr>
        <w:tc>
          <w:tcPr>
            <w:tcW w:w="7640" w:type="dxa"/>
            <w:vAlign w:val="bottom"/>
          </w:tcPr>
          <w:p>
            <w:pPr>
              <w:ind w:left="280"/>
              <w:spacing w:after="0"/>
              <w:rPr>
                <w:sz w:val="20"/>
                <w:szCs w:val="20"/>
                <w:color w:val="auto"/>
              </w:rPr>
            </w:pPr>
            <w:r>
              <w:rPr>
                <w:rFonts w:ascii="Arial" w:cs="Arial" w:eastAsia="Arial" w:hAnsi="Arial"/>
                <w:sz w:val="18"/>
                <w:szCs w:val="18"/>
                <w:color w:val="auto"/>
              </w:rPr>
              <w:t>NGL pipelines</w:t>
            </w:r>
          </w:p>
        </w:tc>
        <w:tc>
          <w:tcPr>
            <w:tcW w:w="114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7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tariff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w:t>
            </w: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Trucking</w:t>
            </w:r>
          </w:p>
        </w:tc>
        <w:tc>
          <w:tcPr>
            <w:tcW w:w="114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w:t>
            </w:r>
          </w:p>
        </w:tc>
      </w:tr>
      <w:tr>
        <w:trPr>
          <w:trHeight w:val="27"/>
        </w:trPr>
        <w:tc>
          <w:tcPr>
            <w:tcW w:w="7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91"/>
        </w:trPr>
        <w:tc>
          <w:tcPr>
            <w:tcW w:w="7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120" w:type="dxa"/>
            <w:vAlign w:val="bottom"/>
          </w:tcPr>
          <w:p>
            <w:pPr>
              <w:spacing w:after="0"/>
              <w:rPr>
                <w:sz w:val="24"/>
                <w:szCs w:val="24"/>
                <w:color w:val="auto"/>
              </w:rPr>
            </w:pPr>
          </w:p>
        </w:tc>
      </w:tr>
      <w:tr>
        <w:trPr>
          <w:trHeight w:val="192"/>
        </w:trPr>
        <w:tc>
          <w:tcPr>
            <w:tcW w:w="7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12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Crude oil, NGL and other terminalling and storage</w:t>
            </w: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166</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and natural gas processing and fractionation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Rail load / unload</w:t>
            </w:r>
          </w:p>
        </w:tc>
        <w:tc>
          <w:tcPr>
            <w:tcW w:w="114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7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282</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i w:val="1"/>
          <w:iCs w:val="1"/>
          <w:color w:val="auto"/>
        </w:rPr>
        <w:t xml:space="preserve">Reconciliation to Total Revenues of Reportable Segments. </w:t>
      </w:r>
      <w:r>
        <w:rPr>
          <w:rFonts w:ascii="Arial" w:cs="Arial" w:eastAsia="Arial" w:hAnsi="Arial"/>
          <w:sz w:val="16"/>
          <w:szCs w:val="16"/>
          <w:color w:val="auto"/>
        </w:rPr>
        <w:t>The following table presents the reconciliation of our revenues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segment revenues and total revenues as disclosed in our Condensed Consolidated Statements of Operations (in millions):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gridSpan w:val="2"/>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8,022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Supply and</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vMerge w:val="restart"/>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gridSpan w:val="2"/>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gridSpan w:val="2"/>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4"/>
            <w:vMerge w:val="continue"/>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At March 31, 2019 and December 31, 2018, counterparty deficiencies associated with contracts with customers and buy/sell arrangements that include minimum volume commitments totaled $54 million and $62 million, respectively, of which $33 million and $40 million, respectively, was recorded as a contract liability. The remaining balance of $21 million and $22 million at March 31, 2019 and December 31, 2018,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17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contract liability balance during the three months ended March 31, 2019 (in millions):</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Contract Liabilities</w:t>
            </w:r>
          </w:p>
        </w:tc>
      </w:tr>
      <w:tr>
        <w:trPr>
          <w:trHeight w:val="263"/>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338</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0"/>
        </w:trPr>
        <w:tc>
          <w:tcPr>
            <w:tcW w:w="9340" w:type="dxa"/>
            <w:vAlign w:val="bottom"/>
          </w:tcPr>
          <w:p>
            <w:pPr>
              <w:ind w:left="160"/>
              <w:spacing w:after="0"/>
              <w:rPr>
                <w:sz w:val="20"/>
                <w:szCs w:val="20"/>
                <w:color w:val="auto"/>
              </w:rPr>
            </w:pPr>
            <w:r>
              <w:rPr>
                <w:rFonts w:ascii="Arial" w:cs="Arial" w:eastAsia="Arial" w:hAnsi="Arial"/>
                <w:sz w:val="18"/>
                <w:szCs w:val="18"/>
                <w:color w:val="auto"/>
              </w:rPr>
              <w:t>Amounts recognized as revenue</w:t>
            </w: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9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r>
      <w:tr>
        <w:trPr>
          <w:trHeight w:val="257"/>
        </w:trPr>
        <w:tc>
          <w:tcPr>
            <w:tcW w:w="9340" w:type="dxa"/>
            <w:vAlign w:val="bottom"/>
          </w:tcPr>
          <w:p>
            <w:pPr>
              <w:ind w:left="20"/>
              <w:spacing w:after="0"/>
              <w:rPr>
                <w:sz w:val="20"/>
                <w:szCs w:val="20"/>
                <w:color w:val="auto"/>
              </w:rPr>
            </w:pPr>
            <w:r>
              <w:rPr>
                <w:rFonts w:ascii="Arial" w:cs="Arial" w:eastAsia="Arial" w:hAnsi="Arial"/>
                <w:sz w:val="18"/>
                <w:szCs w:val="18"/>
                <w:color w:val="auto"/>
              </w:rPr>
              <w:t>Balance at March 31, 2019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179</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March 31, 2019 (in millions):</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7"/>
              <w:spacing w:after="0"/>
              <w:rPr>
                <w:sz w:val="20"/>
                <w:szCs w:val="20"/>
                <w:color w:val="auto"/>
              </w:rPr>
            </w:pPr>
            <w:r>
              <w:rPr>
                <w:rFonts w:ascii="Arial" w:cs="Arial" w:eastAsia="Arial" w:hAnsi="Arial"/>
                <w:sz w:val="14"/>
                <w:szCs w:val="14"/>
                <w:b w:val="1"/>
                <w:bCs w:val="1"/>
                <w:color w:val="auto"/>
              </w:rPr>
              <w:t>2024 and</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215"/>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Pipeline revenues supported by minimum volume commitments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and long-term capacity agreements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w w:val="99"/>
              </w:rPr>
              <w:t>Long-term storage, terminalling and throughput agreement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0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58" w:lineRule="exact"/>
        <w:rPr>
          <w:sz w:val="20"/>
          <w:szCs w:val="20"/>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Acreage dedications — Contracts include those related to the Permian Basin, Eagle Ford, Central, Rocky Mountain and Canada regions;</w:t>
      </w:r>
    </w:p>
    <w:p>
      <w:pPr>
        <w:spacing w:after="0" w:line="128" w:lineRule="exact"/>
        <w:rPr>
          <w:rFonts w:ascii="Arial" w:cs="Arial" w:eastAsia="Arial" w:hAnsi="Arial"/>
          <w:sz w:val="17"/>
          <w:szCs w:val="17"/>
          <w:color w:val="auto"/>
        </w:rPr>
      </w:pPr>
    </w:p>
    <w:p>
      <w:pPr>
        <w:ind w:left="820" w:right="380" w:hanging="164"/>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and Logistics buy/sell arrangements — Contracts include agreements with future committed volumes on certain Permian Basin, Eagle Ford, Central and Canada region systems;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other Supply and Logistics contracts, due to the election of practical expedients related to variable consideration and short-term contracts;</w:t>
      </w:r>
    </w:p>
    <w:p>
      <w:pPr>
        <w:spacing w:after="0" w:line="128" w:lineRule="exact"/>
        <w:rPr>
          <w:rFonts w:ascii="Arial" w:cs="Arial" w:eastAsia="Arial" w:hAnsi="Arial"/>
          <w:sz w:val="17"/>
          <w:szCs w:val="17"/>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a reserve for amounts that we expect will not be fully recovered. We do not apply actual balances against the reserve until we have exhausted substantially all collection efforts. At March 31, 2019 and December 31, 2018, substantially all of our trade accounts receivable (net of allowance for doubtful accounts) were less than 30 days past their scheduled invoice date. Our allowance for doubtful accounts receivable totaled $3 million at both March 31, 2019 and December 31, 2018. Although we consider our allowance for doubtful accounts receivable to be adequate, actual amounts could vary significantly from estimated amounts.</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3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3,838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57"/>
        </w:trPr>
        <w:tc>
          <w:tcPr>
            <w:tcW w:w="8320" w:type="dxa"/>
            <w:vAlign w:val="bottom"/>
          </w:tcPr>
          <w:p>
            <w:pPr>
              <w:ind w:left="160"/>
              <w:spacing w:after="0"/>
              <w:rPr>
                <w:sz w:val="20"/>
                <w:szCs w:val="20"/>
                <w:color w:val="auto"/>
              </w:rPr>
            </w:pPr>
            <w:r>
              <w:rPr>
                <w:rFonts w:ascii="Arial" w:cs="Arial" w:eastAsia="Arial" w:hAnsi="Arial"/>
                <w:sz w:val="18"/>
                <w:szCs w:val="18"/>
                <w:color w:val="auto"/>
              </w:rPr>
              <w:t>Trade accounts receivable and other receivables,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3,001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Common Unit</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calculate basic and diluted net income per common unit by dividing net income (after deducting amounts allocated to preferred unitholders and participating securities) by the basic and diluted weighted average number of common units outstanding during the period. Participating securities include LTIP awards that have vested DERs, which entitle the grantee to a cash payment equal to the cash distribution paid on our outstanding common units.</w:t>
      </w:r>
    </w:p>
    <w:p>
      <w:pPr>
        <w:spacing w:after="0" w:line="14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When applying the if-converted method prescribed by FASB guidance, the possible conversion of our Series A preferred units was excluded from the calculation of diluted net income per common unit for the three months ended March 31, 2018 as the effect was antidilutive. 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were deemed to be dilutive during the three months ended March 31, 2019 and 2018 were reduced by a hypothetical common unit repurchase based on the remaining unamortized fair value, as prescribed by the treasury stock method in guidance issued by the FASB. See Note 17 to our Consolidated Financial Statements included in Part IV of our 2018 Annual Report on Form 10-K for a complete discussion of our equity-indexed compensation plan awards.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unit (in millions, except per unit data):</w:t>
      </w:r>
    </w:p>
    <w:p>
      <w:pPr>
        <w:spacing w:after="0" w:line="163"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13335</wp:posOffset>
            </wp:positionV>
            <wp:extent cx="1655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3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7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288</w:t>
            </w:r>
          </w:p>
        </w:tc>
      </w:tr>
      <w:tr>
        <w:trPr>
          <w:trHeight w:val="27"/>
        </w:trPr>
        <w:tc>
          <w:tcPr>
            <w:tcW w:w="8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Distributions to Series A preferred unitholders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780" w:type="dxa"/>
            <w:vAlign w:val="bottom"/>
          </w:tcPr>
          <w:p>
            <w:pPr>
              <w:ind w:left="360"/>
              <w:spacing w:after="0"/>
              <w:rPr>
                <w:sz w:val="20"/>
                <w:szCs w:val="20"/>
                <w:color w:val="auto"/>
              </w:rPr>
            </w:pPr>
            <w:r>
              <w:rPr>
                <w:rFonts w:ascii="Arial" w:cs="Arial" w:eastAsia="Arial" w:hAnsi="Arial"/>
                <w:sz w:val="18"/>
                <w:szCs w:val="18"/>
                <w:color w:val="auto"/>
              </w:rPr>
              <w:t>Distributions to Series B preferred unitholders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Distributions to participating securities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80" w:type="dxa"/>
            <w:vAlign w:val="bottom"/>
          </w:tcPr>
          <w:p>
            <w:pPr>
              <w:ind w:left="36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780" w:type="dxa"/>
            <w:vAlign w:val="bottom"/>
            <w:tcBorders>
              <w:bottom w:val="single" w:sz="8" w:color="CCEEFF"/>
            </w:tcBorders>
            <w:shd w:val="clear" w:color="auto" w:fill="CCEEFF"/>
          </w:tcPr>
          <w:p>
            <w:pPr>
              <w:ind w:left="200"/>
              <w:spacing w:after="0" w:line="264" w:lineRule="exact"/>
              <w:rPr>
                <w:sz w:val="20"/>
                <w:szCs w:val="20"/>
                <w:color w:val="auto"/>
              </w:rPr>
            </w:pPr>
            <w:r>
              <w:rPr>
                <w:rFonts w:ascii="Arial" w:cs="Arial" w:eastAsia="Arial" w:hAnsi="Arial"/>
                <w:sz w:val="18"/>
                <w:szCs w:val="18"/>
                <w:color w:val="auto"/>
              </w:rPr>
              <w:t xml:space="preserve">Net income allocated to common unitholders </w:t>
            </w:r>
            <w:r>
              <w:rPr>
                <w:rFonts w:ascii="Arial" w:cs="Arial" w:eastAsia="Arial" w:hAnsi="Arial"/>
                <w:sz w:val="25"/>
                <w:szCs w:val="25"/>
                <w:color w:val="auto"/>
                <w:vertAlign w:val="superscript"/>
              </w:rPr>
              <w:t>(1)</w:t>
            </w: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r>
      <w:tr>
        <w:trPr>
          <w:trHeight w:val="20"/>
        </w:trPr>
        <w:tc>
          <w:tcPr>
            <w:tcW w:w="8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8"/>
        </w:trPr>
        <w:tc>
          <w:tcPr>
            <w:tcW w:w="8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r>
      <w:tr>
        <w:trPr>
          <w:trHeight w:val="297"/>
        </w:trPr>
        <w:tc>
          <w:tcPr>
            <w:tcW w:w="8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4"/>
        </w:trPr>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net income per common unit</w:t>
            </w: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r>
      <w:tr>
        <w:trPr>
          <w:trHeight w:val="20"/>
        </w:trPr>
        <w:tc>
          <w:tcPr>
            <w:tcW w:w="8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8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288</w:t>
            </w:r>
          </w:p>
        </w:tc>
      </w:tr>
      <w:tr>
        <w:trPr>
          <w:trHeight w:val="27"/>
        </w:trPr>
        <w:tc>
          <w:tcPr>
            <w:tcW w:w="8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Series A preferred unitholders</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Distributions to Series B preferred unitholders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participating securities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780" w:type="dxa"/>
            <w:vAlign w:val="bottom"/>
            <w:tcBorders>
              <w:bottom w:val="single" w:sz="8" w:color="CCEEFF"/>
            </w:tcBorders>
            <w:shd w:val="clear" w:color="auto" w:fill="CCEEFF"/>
          </w:tcPr>
          <w:p>
            <w:pPr>
              <w:ind w:left="200"/>
              <w:spacing w:after="0" w:line="264" w:lineRule="exact"/>
              <w:rPr>
                <w:sz w:val="20"/>
                <w:szCs w:val="20"/>
                <w:color w:val="auto"/>
              </w:rPr>
            </w:pPr>
            <w:r>
              <w:rPr>
                <w:rFonts w:ascii="Arial" w:cs="Arial" w:eastAsia="Arial" w:hAnsi="Arial"/>
                <w:sz w:val="18"/>
                <w:szCs w:val="18"/>
                <w:color w:val="auto"/>
              </w:rPr>
              <w:t xml:space="preserve">Net income allocated to common unitholders </w:t>
            </w:r>
            <w:r>
              <w:rPr>
                <w:rFonts w:ascii="Arial" w:cs="Arial" w:eastAsia="Arial" w:hAnsi="Arial"/>
                <w:sz w:val="25"/>
                <w:szCs w:val="25"/>
                <w:color w:val="auto"/>
                <w:vertAlign w:val="superscript"/>
              </w:rPr>
              <w:t>(1)</w:t>
            </w: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r>
      <w:tr>
        <w:trPr>
          <w:trHeight w:val="20"/>
        </w:trPr>
        <w:tc>
          <w:tcPr>
            <w:tcW w:w="8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8"/>
        </w:trPr>
        <w:tc>
          <w:tcPr>
            <w:tcW w:w="8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r>
      <w:tr>
        <w:trPr>
          <w:trHeight w:val="243"/>
        </w:trPr>
        <w:tc>
          <w:tcPr>
            <w:tcW w:w="878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Series A preferred units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Equity-indexed compensation plan awards</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
        </w:trPr>
        <w:tc>
          <w:tcPr>
            <w:tcW w:w="8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8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727</w:t>
            </w:r>
          </w:p>
        </w:tc>
      </w:tr>
      <w:tr>
        <w:trPr>
          <w:trHeight w:val="20"/>
        </w:trPr>
        <w:tc>
          <w:tcPr>
            <w:tcW w:w="8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8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4"/>
        </w:trPr>
        <w:tc>
          <w:tcPr>
            <w:tcW w:w="8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net income per common unit</w:t>
            </w: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r>
      <w:tr>
        <w:trPr>
          <w:trHeight w:val="20"/>
        </w:trPr>
        <w:tc>
          <w:tcPr>
            <w:tcW w:w="8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32"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80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1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7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8,949</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439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49.06</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9,657</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367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2,366</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10,384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13,169</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751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57.03</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13,312</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761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1,720</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24,976</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2,315</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129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55.72</w:t>
            </w:r>
          </w:p>
        </w:tc>
        <w:tc>
          <w:tcPr>
            <w:tcW w:w="140" w:type="dxa"/>
            <w:vAlign w:val="bottom"/>
            <w:tcBorders>
              <w:right w:val="single" w:sz="8" w:color="auto"/>
            </w:tcBorders>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2,363</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140" w:hanging="652"/>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63"/>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2,521</w:t>
            </w: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w:t>
            </w:r>
          </w:p>
        </w:tc>
      </w:tr>
      <w:tr>
        <w:trPr>
          <w:trHeight w:val="27"/>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2,529</w:t>
            </w: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2"/>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65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40" w:type="dxa"/>
            <w:vAlign w:val="bottom"/>
            <w:vMerge w:val="restart"/>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at</w:t>
            </w:r>
          </w:p>
        </w:tc>
        <w:tc>
          <w:tcPr>
            <w:tcW w:w="120" w:type="dxa"/>
            <w:vAlign w:val="bottom"/>
          </w:tcPr>
          <w:p>
            <w:pPr>
              <w:spacing w:after="0"/>
              <w:rPr>
                <w:sz w:val="12"/>
                <w:szCs w:val="12"/>
                <w:color w:val="auto"/>
              </w:rPr>
            </w:pPr>
          </w:p>
        </w:tc>
        <w:tc>
          <w:tcPr>
            <w:tcW w:w="11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6"/>
              </w:rPr>
              <w:t>March 31, 2019</w:t>
            </w:r>
          </w:p>
        </w:tc>
        <w:tc>
          <w:tcPr>
            <w:tcW w:w="10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Advantage Pipeline Holdings LLC</w:t>
            </w:r>
          </w:p>
        </w:tc>
        <w:tc>
          <w:tcPr>
            <w:tcW w:w="2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BridgeTex Pipeline Company,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Cactus II Pipeline LLC</w:t>
            </w:r>
          </w:p>
        </w:tc>
        <w:tc>
          <w:tcPr>
            <w:tcW w:w="2640" w:type="dxa"/>
            <w:vAlign w:val="bottom"/>
            <w:gridSpan w:val="2"/>
            <w:shd w:val="clear" w:color="auto" w:fill="CCEEFF"/>
          </w:tcPr>
          <w:p>
            <w:pPr>
              <w:jc w:val="center"/>
              <w:ind w:right="14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Caddo Pipeline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640" w:type="dxa"/>
            <w:vAlign w:val="bottom"/>
            <w:gridSpan w:val="2"/>
            <w:shd w:val="clear" w:color="auto" w:fill="CCEEFF"/>
          </w:tcPr>
          <w:p>
            <w:pPr>
              <w:jc w:val="center"/>
              <w:ind w:right="14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Cheyenne Pipeline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Diamond Pipeline LLC</w:t>
            </w:r>
          </w:p>
        </w:tc>
        <w:tc>
          <w:tcPr>
            <w:tcW w:w="2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Eagle Ford Pipeline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Terminals Corpus Christi LLC</w:t>
            </w:r>
          </w:p>
        </w:tc>
        <w:tc>
          <w:tcPr>
            <w:tcW w:w="2640" w:type="dxa"/>
            <w:vAlign w:val="bottom"/>
            <w:gridSpan w:val="2"/>
            <w:shd w:val="clear" w:color="auto" w:fill="CCEEFF"/>
          </w:tcPr>
          <w:p>
            <w:pPr>
              <w:jc w:val="center"/>
              <w:ind w:right="140"/>
              <w:spacing w:after="0" w:line="270" w:lineRule="exact"/>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5"/>
                <w:szCs w:val="25"/>
                <w:color w:val="auto"/>
                <w:w w:val="90"/>
                <w:vertAlign w:val="superscript"/>
              </w:rPr>
              <w:t>(2)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Midway Pipeline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Saddlehorn Pipeline Company, LLC</w:t>
            </w:r>
          </w:p>
        </w:tc>
        <w:tc>
          <w:tcPr>
            <w:tcW w:w="2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Settoon Towing,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Barge Transportation Services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2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6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Crude Oil Pipeline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 (“W2W Pipeline”)</w:t>
            </w:r>
          </w:p>
        </w:tc>
        <w:tc>
          <w:tcPr>
            <w:tcW w:w="2640" w:type="dxa"/>
            <w:vAlign w:val="bottom"/>
            <w:gridSpan w:val="2"/>
            <w:shd w:val="clear" w:color="auto" w:fill="CCEEFF"/>
          </w:tcPr>
          <w:p>
            <w:pPr>
              <w:jc w:val="center"/>
              <w:ind w:right="140"/>
              <w:spacing w:after="0" w:line="27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5"/>
                <w:szCs w:val="25"/>
                <w:color w:val="auto"/>
                <w:w w:val="90"/>
                <w:vertAlign w:val="superscript"/>
              </w:rPr>
              <w:t>(2)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Total Investments in Unconsolidated Entities</w:t>
            </w:r>
          </w:p>
        </w:tc>
        <w:tc>
          <w:tcPr>
            <w:tcW w:w="2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22"/>
                <w:szCs w:val="22"/>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4" w:lineRule="exact"/>
        <w:rPr>
          <w:sz w:val="20"/>
          <w:szCs w:val="20"/>
          <w:color w:val="auto"/>
        </w:rPr>
      </w:pPr>
    </w:p>
    <w:p>
      <w:pPr>
        <w:ind w:left="660" w:right="2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98" w:lineRule="exact"/>
        <w:rPr>
          <w:rFonts w:ascii="Arial" w:cs="Arial" w:eastAsia="Arial" w:hAnsi="Arial"/>
          <w:sz w:val="25"/>
          <w:szCs w:val="25"/>
          <w:color w:val="auto"/>
          <w:vertAlign w:val="superscript"/>
        </w:rPr>
      </w:pPr>
    </w:p>
    <w:p>
      <w:pPr>
        <w:ind w:left="660" w:right="300" w:hanging="652"/>
        <w:spacing w:after="0" w:line="224"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Capline pipeline was taken out of service in the fourth quarter of 2018. The members of Capline Pipeline Company LLC launched a binding open season to solicit shipper interest for a reversal of the Capline pipeline and the initiation of southbound service.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Capline. </w:t>
      </w:r>
      <w:r>
        <w:rPr>
          <w:rFonts w:ascii="Arial" w:cs="Arial" w:eastAsia="Arial" w:hAnsi="Arial"/>
          <w:sz w:val="18"/>
          <w:szCs w:val="18"/>
          <w:color w:val="auto"/>
        </w:rPr>
        <w:t>During the first quarter of 2019, the owners of the Capline pipeline system, which originates in St. James, Louisiana and terminates in</w:t>
      </w:r>
      <w:r>
        <w:rPr>
          <w:rFonts w:ascii="Arial" w:cs="Arial" w:eastAsia="Arial" w:hAnsi="Arial"/>
          <w:sz w:val="18"/>
          <w:szCs w:val="18"/>
          <w:i w:val="1"/>
          <w:iCs w:val="1"/>
          <w:color w:val="auto"/>
        </w:rPr>
        <w:t xml:space="preserve"> </w:t>
      </w:r>
      <w:r>
        <w:rPr>
          <w:rFonts w:ascii="Arial" w:cs="Arial" w:eastAsia="Arial" w:hAnsi="Arial"/>
          <w:sz w:val="18"/>
          <w:szCs w:val="18"/>
          <w:color w:val="auto"/>
        </w:rPr>
        <w:t>Patoka, Illinois, contributed their undivided joint interests in the system for equity interests in a legal entity, Capline Pipeline Company LLC (“Capline LLC”). After the contribution, Capline LLC owns 100% of the pipeline system. Each owner’s undivided joint interest in the Capline pipeline system prior to the transaction is equal to each owner’s equity interest in Capline LLC. Although we own a majority of Capline LLC’s equity, we do not have a controlling financial interest in Capline LLC because the other members have substantive participating rights. Therefore, we account for our ownership interest in Capline LLC as an equity method investment.</w:t>
      </w:r>
    </w:p>
    <w:p>
      <w:pPr>
        <w:spacing w:after="0" w:line="19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transaction resulted in a loss of control of our undivided joint interest, which was derecognized and contributed to Capline LLC. The loss of control required us to measure our equity interest in Capline LLC at fair value. At the time of the transaction, our 54% undivided joint interest in the Capline pipeline system had a carrying value of $177 million, which primarily related to property and equipment included in our Transportation segment. We determined the fair value of our investment in Capline LLC to be approximately $444 million, resulting in a gain of $267 million during the three months ended March 31, 2019. Such gain is included in “Gain on investment in unconsolidated entities” on our Condensed Consolidated Statement of Operations. Our share of the underlying equity in the net assets of Capline LLC exceeds our investment in Capline LLC. The portion of this basis difference attributable to depreciable or amortizable assets will be accreted on a straight-line basis over the estimated useful life of the related assets.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fair value of our investment in Capline LLC was based on an income approach utilizing a discounted cash flow analysis. This approach requires us to make long-term forecasts of future revenues and expenditures. Those forecasts require the use of various assumptions and estimates which include those related to the timing and amount of capital expenditures, and the expected tariff rates and volumes of crude oil. These assumptions are based on a potential reversal of the Capline pipeline and the initiation of southbound service on the Capline pipeline from Patoka to St. James, and potential service on our Diamond joint venture pipeline and the Capline pipeline from Cushing, Oklahoma to St. James. We probability weighted various forecasted cash flow scenarios utilized in the analysis when we considered the possible outcomes. We use a discount rate representing our estimate of the risk adjusted discount rate that would be used by market participants. These projects are dependent upon shipper interest. If shipper interest varies from the levels assumed in our model, the related cash flows, and thus the fair value of our investment, could be materially impacted. The fair value of our investment was determined using significant unobservable inputs, or Level 3 inputs in the fair value hierarchy.</w:t>
      </w:r>
    </w:p>
    <w:p>
      <w:pPr>
        <w:spacing w:after="0" w:line="182"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i w:val="1"/>
          <w:iCs w:val="1"/>
          <w:color w:val="auto"/>
        </w:rPr>
        <w:t xml:space="preserve">W2W Pipeline. </w:t>
      </w:r>
      <w:r>
        <w:rPr>
          <w:rFonts w:ascii="Arial" w:cs="Arial" w:eastAsia="Arial" w:hAnsi="Arial"/>
          <w:sz w:val="18"/>
          <w:szCs w:val="18"/>
          <w:color w:val="auto"/>
        </w:rPr>
        <w:t>In the first quarter of 2019, we announced the formation of W2W Pipeline, a joint venture with subsidiaries of ExxonMobil and</w:t>
      </w:r>
      <w:r>
        <w:rPr>
          <w:rFonts w:ascii="Arial" w:cs="Arial" w:eastAsia="Arial" w:hAnsi="Arial"/>
          <w:sz w:val="18"/>
          <w:szCs w:val="18"/>
          <w:i w:val="1"/>
          <w:iCs w:val="1"/>
          <w:color w:val="auto"/>
        </w:rPr>
        <w:t xml:space="preserve"> </w:t>
      </w:r>
      <w:r>
        <w:rPr>
          <w:rFonts w:ascii="Arial" w:cs="Arial" w:eastAsia="Arial" w:hAnsi="Arial"/>
          <w:sz w:val="18"/>
          <w:szCs w:val="18"/>
          <w:color w:val="auto"/>
        </w:rPr>
        <w:t>Lotus Midstream, LLC. We own a 20% interest in W2W Pipeline, which is currently developing a new pipeline system that will originate in the Permian Basin in West Texas and transport crude oil to the Texas Gulf Coast. The pipeline system will provide more than 1 million barrels per day of crude oil and condensate capacity, and the project is targeted to commence operations in the first half of 2021. We account for our interest in W2W Pipeline under the equity method of accounting.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3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66</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short-term debt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r>
      <w:tr>
        <w:trPr>
          <w:trHeight w:val="284"/>
        </w:trPr>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85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net of unamortized discounts and debt issuance costs of $57 and $59, respectively </w:t>
            </w:r>
            <w:r>
              <w:rPr>
                <w:rFonts w:ascii="Arial" w:cs="Arial" w:eastAsia="Arial" w:hAnsi="Arial"/>
                <w:sz w:val="25"/>
                <w:szCs w:val="25"/>
                <w:color w:val="auto"/>
                <w:vertAlign w:val="superscript"/>
              </w:rPr>
              <w:t>(1) (2)</w:t>
            </w: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8,943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8,941</w:t>
            </w:r>
          </w:p>
        </w:tc>
      </w:tr>
      <w:tr>
        <w:trPr>
          <w:trHeight w:val="229"/>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GO Zone term loans, net of debt issuance costs of $2 and $2, respectively, bearing a weighted-average interest rate of</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856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3.2% and 3.1%, respectively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9,143</w:t>
            </w:r>
          </w:p>
        </w:tc>
      </w:tr>
      <w:tr>
        <w:trPr>
          <w:trHeight w:val="257"/>
        </w:trPr>
        <w:tc>
          <w:tcPr>
            <w:tcW w:w="8560" w:type="dxa"/>
            <w:vAlign w:val="bottom"/>
          </w:tcPr>
          <w:p>
            <w:pPr>
              <w:ind w:left="58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9,209</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4" w:lineRule="exact"/>
        <w:rPr>
          <w:sz w:val="20"/>
          <w:szCs w:val="20"/>
          <w:color w:val="auto"/>
        </w:rPr>
      </w:pPr>
    </w:p>
    <w:p>
      <w:pPr>
        <w:ind w:left="660" w:hanging="652"/>
        <w:spacing w:after="0" w:line="22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As of March 31, 2019, we classified our $500 million, 5.75% senior notes due January 2020 and our $500 million, 2.60% senior notes due December 2019 as long-term, and as of December 31, 2018, we classified our $500 million, 2.60% senior notes due December 2019 as long-term based on our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right="100" w:hanging="652"/>
        <w:spacing w:after="0" w:line="273" w:lineRule="auto"/>
        <w:tabs>
          <w:tab w:leader="none" w:pos="66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Our fixed-rate senior notes had a face value of approximately $9.0 billion at both March 31, 2019 and December 31, 2018. We estimated the aggregate fair value of these notes as of March 31, 2019 and December 31, 2018 to be approximately $9.1 billion and $8.6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GO Zone term loans approximates fair value as interest rates reflect current market rates. The fair value estimates for our senior notes and GO Zone term loans are based upon observable market data and are classified in Level 2 of the fair value hierarchy.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Total borrowings under our credit facilities and commercial paper program for the three months ended March 31, 2019 and 2018 were approximately $0.5 billion and $10.5 billion, respectively. Total repayments under our credit facilities and commercial paper program were approximately $0.5 billion and $10.7 billion for the three months ended March 31, 2019 and 2018, respectively. The variance in total gross borrowings and repayments is impacted by various business and financial factors including, but not limited to, the timing, average term and method of general partnership borrowing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March 31, 2019 and December 31, 2018, we had outstanding letters of credit of $155 million and $184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preferred and common units: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Limited Partners</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Series A Preferred Units</w:t>
            </w:r>
          </w:p>
        </w:tc>
        <w:tc>
          <w:tcPr>
            <w:tcW w:w="20" w:type="dxa"/>
            <w:vAlign w:val="bottom"/>
          </w:tcPr>
          <w:p>
            <w:pPr>
              <w:spacing w:after="0"/>
              <w:rPr>
                <w:sz w:val="22"/>
                <w:szCs w:val="22"/>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Series B Preferred Units</w:t>
            </w:r>
          </w:p>
        </w:tc>
        <w:tc>
          <w:tcPr>
            <w:tcW w:w="1580" w:type="dxa"/>
            <w:vAlign w:val="bottom"/>
          </w:tcPr>
          <w:p>
            <w:pPr>
              <w:jc w:val="right"/>
              <w:ind w:right="254"/>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6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71,090,468</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726,361,924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423,889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71,090,468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800,000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726,785,813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7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Series A</w:t>
            </w:r>
          </w:p>
        </w:tc>
        <w:tc>
          <w:tcPr>
            <w:tcW w:w="20" w:type="dxa"/>
            <w:vAlign w:val="bottom"/>
          </w:tcPr>
          <w:p>
            <w:pPr>
              <w:spacing w:after="0"/>
              <w:rPr>
                <w:sz w:val="13"/>
                <w:szCs w:val="13"/>
                <w:color w:val="auto"/>
              </w:rPr>
            </w:pPr>
          </w:p>
        </w:tc>
        <w:tc>
          <w:tcPr>
            <w:tcW w:w="16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Series B</w:t>
            </w:r>
          </w:p>
        </w:tc>
        <w:tc>
          <w:tcPr>
            <w:tcW w:w="15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Preferred Units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Preferred Units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69,696,542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725,189,138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Issuance of Series A preferred units in connection with in-kind distribution</w:t>
            </w: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1,393,926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Issuances of common units under equity-indexed compensation plans</w:t>
            </w:r>
          </w:p>
        </w:tc>
        <w:tc>
          <w:tcPr>
            <w:tcW w:w="1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Outstanding at March 31, 2018</w:t>
            </w:r>
          </w:p>
        </w:tc>
        <w:tc>
          <w:tcPr>
            <w:tcW w:w="16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71,090,468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725,206,904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i w:val="1"/>
          <w:iCs w:val="1"/>
          <w:color w:val="auto"/>
        </w:rPr>
        <w:t>Series A Preferred Unit Distributions</w:t>
      </w:r>
      <w:r>
        <w:rPr>
          <w:rFonts w:ascii="Arial" w:cs="Arial" w:eastAsia="Arial" w:hAnsi="Arial"/>
          <w:sz w:val="18"/>
          <w:szCs w:val="18"/>
          <w:color w:val="auto"/>
        </w:rPr>
        <w:t>. The following table details distributions to our Series A preferred unitholders paid during or pertaining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three months of 2019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76"/>
              <w:spacing w:after="0"/>
              <w:rPr>
                <w:sz w:val="20"/>
                <w:szCs w:val="20"/>
                <w:color w:val="auto"/>
              </w:rPr>
            </w:pPr>
            <w:r>
              <w:rPr>
                <w:rFonts w:ascii="Arial" w:cs="Arial" w:eastAsia="Arial" w:hAnsi="Arial"/>
                <w:sz w:val="14"/>
                <w:szCs w:val="14"/>
                <w:b w:val="1"/>
                <w:bCs w:val="1"/>
                <w:color w:val="auto"/>
              </w:rPr>
              <w:t>Series A Preferred Unitholders</w:t>
            </w: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7"/>
              </w:rPr>
              <w:t>Cash Distribution</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Distribution per Unit</w:t>
            </w:r>
          </w:p>
        </w:tc>
      </w:tr>
      <w:tr>
        <w:trPr>
          <w:trHeight w:val="270"/>
        </w:trPr>
        <w:tc>
          <w:tcPr>
            <w:tcW w:w="79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CEEFF"/>
          </w:tcPr>
          <w:p>
            <w:pPr>
              <w:spacing w:after="0"/>
              <w:rPr>
                <w:sz w:val="23"/>
                <w:szCs w:val="2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0.525</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February 14,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0.525</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90" w:lineRule="exact"/>
        <w:rPr>
          <w:sz w:val="20"/>
          <w:szCs w:val="20"/>
          <w:color w:val="auto"/>
        </w:rPr>
      </w:pPr>
    </w:p>
    <w:p>
      <w:pPr>
        <w:ind w:left="660" w:right="80" w:hanging="652"/>
        <w:spacing w:after="0" w:line="252"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Payable to unitholders of record at the close of business on May 1, 2019 for the period from January 1, 2019 through March 31, 2019. At March 31, 2019, such amount was accrued to distributions payable in “Other current liabilities” on our Condensed Consolidated Balance Sheet.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Series B Preferred Unit Distributions</w:t>
      </w:r>
      <w:r>
        <w:rPr>
          <w:rFonts w:ascii="Arial" w:cs="Arial" w:eastAsia="Arial" w:hAnsi="Arial"/>
          <w:sz w:val="16"/>
          <w:szCs w:val="16"/>
          <w:color w:val="auto"/>
        </w:rPr>
        <w:t>. Distributions on our Series B preferred units are payable semi-annually in arrears on the 15th day of May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The following table details distributions to be paid to our Series B preferred unitholders (in millions, except per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4"/>
                <w:szCs w:val="14"/>
                <w:b w:val="1"/>
                <w:bCs w:val="1"/>
                <w:color w:val="auto"/>
              </w:rPr>
              <w:t>Series B Preferred Unitholders</w:t>
            </w: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7"/>
              </w:rPr>
              <w:t>Cash Distribution</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4"/>
              </w:rPr>
              <w:t>Distribution per Unit</w:t>
            </w:r>
          </w:p>
        </w:tc>
      </w:tr>
      <w:tr>
        <w:trPr>
          <w:trHeight w:val="270"/>
        </w:trPr>
        <w:tc>
          <w:tcPr>
            <w:tcW w:w="79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2019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24.5</w:t>
            </w:r>
          </w:p>
        </w:tc>
        <w:tc>
          <w:tcPr>
            <w:tcW w:w="140" w:type="dxa"/>
            <w:vAlign w:val="bottom"/>
            <w:tcBorders>
              <w:right w:val="single" w:sz="8" w:color="auto"/>
            </w:tcBorders>
            <w:shd w:val="clear" w:color="auto" w:fill="CCEEFF"/>
          </w:tcPr>
          <w:p>
            <w:pPr>
              <w:spacing w:after="0"/>
              <w:rPr>
                <w:sz w:val="23"/>
                <w:szCs w:val="2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30.625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Payable to unitholders of record at the close of business on May 1, 2019 for the period from November 15, 2018 through May 14, 2019.</w:t>
      </w:r>
    </w:p>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March 31, 2019, we had accrued approximately $18 million of distributions payable to our Series B preferred unitholders in “Other current liabilities” on our Condensed Consolidated Balance Sheet.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Common Unit Distributions</w:t>
      </w:r>
      <w:r>
        <w:rPr>
          <w:rFonts w:ascii="Arial" w:cs="Arial" w:eastAsia="Arial" w:hAnsi="Arial"/>
          <w:sz w:val="18"/>
          <w:szCs w:val="18"/>
          <w:color w:val="auto"/>
        </w:rPr>
        <w:t>. The following table details distributions to our common unitholders paid during or pertaining to the first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2019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w w:val="92"/>
              </w:rPr>
              <w:t>Common Unitholders</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AAP</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4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2019 </w:t>
            </w:r>
            <w:r>
              <w:rPr>
                <w:rFonts w:ascii="Arial" w:cs="Arial" w:eastAsia="Arial" w:hAnsi="Arial"/>
                <w:sz w:val="25"/>
                <w:szCs w:val="25"/>
                <w:color w:val="auto"/>
                <w:vertAlign w:val="superscript"/>
              </w:rPr>
              <w:t>(1)</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101</w:t>
            </w:r>
          </w:p>
        </w:tc>
        <w:tc>
          <w:tcPr>
            <w:tcW w:w="7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4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February 14, 2019</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7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May 1, 2019 for the period from January 1, 2019 through March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2019, net derivative positions related to these activities included:</w:t>
      </w:r>
    </w:p>
    <w:p>
      <w:pPr>
        <w:spacing w:after="0" w:line="147" w:lineRule="exact"/>
        <w:rPr>
          <w:sz w:val="20"/>
          <w:szCs w:val="20"/>
          <w:color w:val="auto"/>
        </w:rPr>
      </w:pPr>
    </w:p>
    <w:p>
      <w:pPr>
        <w:ind w:left="980" w:right="4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long position of 3.8 million barrels associated with our crude oil purchases, which was unwound ratably during April 2019 to match monthly average pricing.</w:t>
      </w:r>
    </w:p>
    <w:p>
      <w:pPr>
        <w:spacing w:after="0" w:line="116"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short time spread position of 2.8 million barrels, which hedges a portion of our anticipated crude oil lease gathering purchases through June 2020.</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crude oil basis spread position of 42.8 million barrels through December 2020.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short position of 5.2 million barrels through March 2021 related to anticipated net sales of crude oil and NGL inventory.</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Storage Capacity Utilization </w:t>
      </w:r>
      <w:r>
        <w:rPr>
          <w:rFonts w:ascii="Arial" w:cs="Arial" w:eastAsia="Arial" w:hAnsi="Arial"/>
          <w:sz w:val="18"/>
          <w:szCs w:val="18"/>
          <w:color w:val="auto"/>
        </w:rPr>
        <w:t>— For capacity allocated to our supply and logistics operations, we have utilization risk in a backwardated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As of March 31, 2019, we used derivatives to manage the risk of not utilizing an average of approximately 0.8 million barrels per month of storage capacity through January 2021. These positions involve no outright price exposure, but instead enable us to profitably use the capacity to store hedged crude oil.</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We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to hedge a portion of the anticipated sales of the loss allowance oil that is to be collected under our tariffs. As of March 31, 2019, our PLA hedges included a short position consisting of crude oil futures of 1.7 million barrels through December 2020 and a long call option position of 2.1 million barrels through December 2020.</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Natural Gas Processing/NGL Fractionation </w:t>
      </w:r>
      <w:r>
        <w:rPr>
          <w:rFonts w:ascii="Arial" w:cs="Arial" w:eastAsia="Arial" w:hAnsi="Arial"/>
          <w:sz w:val="18"/>
          <w:szCs w:val="18"/>
          <w:color w:val="auto"/>
        </w:rPr>
        <w:t>— We purchase natural gas for processing and operational needs. Additionally, we purchase NGL mix</w:t>
      </w:r>
      <w:r>
        <w:rPr>
          <w:rFonts w:ascii="Arial" w:cs="Arial" w:eastAsia="Arial" w:hAnsi="Arial"/>
          <w:sz w:val="18"/>
          <w:szCs w:val="18"/>
          <w:i w:val="1"/>
          <w:iCs w:val="1"/>
          <w:color w:val="auto"/>
        </w:rPr>
        <w:t xml:space="preserve"> </w:t>
      </w:r>
      <w:r>
        <w:rPr>
          <w:rFonts w:ascii="Arial" w:cs="Arial" w:eastAsia="Arial" w:hAnsi="Arial"/>
          <w:sz w:val="18"/>
          <w:szCs w:val="18"/>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2019:</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Notional Volume</w:t>
            </w:r>
          </w:p>
        </w:tc>
        <w:tc>
          <w:tcPr>
            <w:tcW w:w="2260" w:type="dxa"/>
            <w:vAlign w:val="bottom"/>
          </w:tcPr>
          <w:p>
            <w:pPr>
              <w:spacing w:after="0"/>
              <w:rPr>
                <w:sz w:val="18"/>
                <w:szCs w:val="18"/>
                <w:color w:val="auto"/>
              </w:rPr>
            </w:pPr>
          </w:p>
        </w:tc>
      </w:tr>
      <w:tr>
        <w:trPr>
          <w:trHeight w:val="270"/>
        </w:trPr>
        <w:tc>
          <w:tcPr>
            <w:tcW w:w="6720" w:type="dxa"/>
            <w:vAlign w:val="bottom"/>
          </w:tcPr>
          <w:p>
            <w:pPr>
              <w:spacing w:after="0"/>
              <w:rPr>
                <w:sz w:val="23"/>
                <w:szCs w:val="23"/>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(Short)/Long</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3"/>
              </w:rPr>
              <w:t>Remaining Tenor</w:t>
            </w:r>
          </w:p>
        </w:tc>
      </w:tr>
      <w:tr>
        <w:trPr>
          <w:trHeight w:val="33"/>
        </w:trPr>
        <w:tc>
          <w:tcPr>
            <w:tcW w:w="67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54.8 Bcf</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(6.2) MMbls</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r>
      <w:tr>
        <w:trPr>
          <w:trHeight w:val="27"/>
        </w:trPr>
        <w:tc>
          <w:tcPr>
            <w:tcW w:w="6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(2.3) MMbls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2020</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(0.6) MMbls</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r>
      <w:tr>
        <w:trPr>
          <w:trHeight w:val="27"/>
        </w:trPr>
        <w:tc>
          <w:tcPr>
            <w:tcW w:w="6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Specification products sales (put options)</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0.7 MMbls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2019</w:t>
            </w:r>
          </w:p>
        </w:tc>
      </w:tr>
      <w:tr>
        <w:trPr>
          <w:trHeight w:val="341"/>
        </w:trPr>
        <w:tc>
          <w:tcPr>
            <w:tcW w:w="672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5"/>
                <w:szCs w:val="25"/>
                <w:color w:val="auto"/>
                <w:vertAlign w:val="superscript"/>
              </w:rPr>
              <w:t>(1)</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1.2 TWh</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bl>
    <w:p>
      <w:pPr>
        <w:spacing w:after="0" w:line="12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Power position to hedge a portion of our power supply requirements at our Canadian natural gas processing and fractionation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4955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8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March 31, 2019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00" w:type="dxa"/>
            <w:vAlign w:val="bottom"/>
            <w:vMerge w:val="restart"/>
          </w:tcPr>
          <w:p>
            <w:pPr>
              <w:spacing w:after="0"/>
              <w:rPr>
                <w:sz w:val="14"/>
                <w:szCs w:val="14"/>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Expected</w:t>
            </w: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Derivatives Employed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Locked</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8 forward starting swaps (30-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6/14/2019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8 forward starting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6/15/2020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(30-year)</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2019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Corresponding changes in fair value are recognized in “Other income/(expense), net” in our Condensed Consolidated Statement of Operations. See Note 12 to our Consolidated Financial Statements included in Part IV of our 2018 Annual Report on Form 10-K for additional information regarding our Series A preferred units and Preferred Distribution Rate Reset 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physical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gridSpan w:val="10"/>
          </w:tcPr>
          <w:p>
            <w:pPr>
              <w:jc w:val="center"/>
              <w:ind w:right="260"/>
              <w:spacing w:after="0"/>
              <w:rPr>
                <w:sz w:val="20"/>
                <w:szCs w:val="20"/>
                <w:color w:val="auto"/>
              </w:rPr>
            </w:pPr>
            <w:r>
              <w:rPr>
                <w:rFonts w:ascii="Arial" w:cs="Arial" w:eastAsia="Arial" w:hAnsi="Arial"/>
                <w:sz w:val="16"/>
                <w:szCs w:val="16"/>
                <w:b w:val="1"/>
                <w:bCs w:val="1"/>
                <w:color w:val="auto"/>
                <w:w w:val="93"/>
              </w:rPr>
              <w:t>Three Months Ended March 31, 2019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Preferred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Commodity</w:t>
            </w:r>
          </w:p>
        </w:tc>
        <w:tc>
          <w:tcPr>
            <w:tcW w:w="2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Distribution Rate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2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of Gain/(Loss)</w:t>
            </w:r>
          </w:p>
        </w:tc>
        <w:tc>
          <w:tcPr>
            <w:tcW w:w="220" w:type="dxa"/>
            <w:vAlign w:val="bottom"/>
          </w:tcPr>
          <w:p>
            <w:pPr>
              <w:spacing w:after="0"/>
              <w:rPr>
                <w:sz w:val="18"/>
                <w:szCs w:val="18"/>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Reset Option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Total Gain/(Loss) on Derivatives Recognized</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shd w:val="clear" w:color="auto" w:fill="CCEEFF"/>
          </w:tcPr>
          <w:p>
            <w:pPr>
              <w:ind w:left="104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 Net Income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10"/>
          </w:tcPr>
          <w:p>
            <w:pPr>
              <w:jc w:val="center"/>
              <w:ind w:right="240"/>
              <w:spacing w:after="0"/>
              <w:rPr>
                <w:sz w:val="20"/>
                <w:szCs w:val="20"/>
                <w:color w:val="auto"/>
              </w:rPr>
            </w:pPr>
            <w:r>
              <w:rPr>
                <w:rFonts w:ascii="Arial" w:cs="Arial" w:eastAsia="Arial" w:hAnsi="Arial"/>
                <w:sz w:val="16"/>
                <w:szCs w:val="16"/>
                <w:b w:val="1"/>
                <w:bCs w:val="1"/>
                <w:color w:val="auto"/>
                <w:w w:val="94"/>
              </w:rPr>
              <w:t>Three Months Ended March 31, 2018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Preferred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Commodity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Foreign Currency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Distribution Rate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b w:val="1"/>
                <w:bCs w:val="1"/>
                <w:color w:val="auto"/>
              </w:rPr>
              <w:t>Location of Gain/(Loss)</w:t>
            </w:r>
          </w:p>
        </w:tc>
        <w:tc>
          <w:tcPr>
            <w:tcW w:w="220" w:type="dxa"/>
            <w:vAlign w:val="bottom"/>
          </w:tcPr>
          <w:p>
            <w:pPr>
              <w:spacing w:after="0"/>
              <w:rPr>
                <w:sz w:val="18"/>
                <w:szCs w:val="18"/>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Reset Option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5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352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5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20" w:type="dxa"/>
            <w:vAlign w:val="bottom"/>
            <w:tcBorders>
              <w:bottom w:val="single" w:sz="8" w:color="CCEEFF"/>
            </w:tcBorders>
            <w:gridSpan w:val="2"/>
          </w:tcPr>
          <w:p>
            <w:pPr>
              <w:spacing w:after="0" w:line="270" w:lineRule="exact"/>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Total Gain/(Loss) on Derivatives Recognized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Net Income</w:t>
            </w:r>
          </w:p>
        </w:tc>
        <w:tc>
          <w:tcPr>
            <w:tcW w:w="22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vMerge w:val="restart"/>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74"/>
              </w:rPr>
              <w:t>(1)</w:t>
            </w:r>
          </w:p>
        </w:tc>
        <w:tc>
          <w:tcPr>
            <w:tcW w:w="3380" w:type="dxa"/>
            <w:vAlign w:val="bottom"/>
          </w:tcPr>
          <w:p>
            <w:pPr>
              <w:ind w:left="480"/>
              <w:spacing w:after="0"/>
              <w:rPr>
                <w:sz w:val="20"/>
                <w:szCs w:val="20"/>
                <w:color w:val="auto"/>
              </w:rPr>
            </w:pPr>
            <w:r>
              <w:rPr>
                <w:rFonts w:ascii="Arial" w:cs="Arial" w:eastAsia="Arial" w:hAnsi="Arial"/>
                <w:sz w:val="18"/>
                <w:szCs w:val="18"/>
                <w:color w:val="auto"/>
                <w:w w:val="92"/>
              </w:rPr>
              <w:t>Derivatives not designated as a hedge.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80" w:type="dxa"/>
            <w:vAlign w:val="bottom"/>
            <w:gridSpan w:val="2"/>
          </w:tcPr>
          <w:p>
            <w:pPr>
              <w:jc w:val="right"/>
              <w:spacing w:after="0"/>
              <w:rPr>
                <w:sz w:val="20"/>
                <w:szCs w:val="20"/>
                <w:color w:val="auto"/>
              </w:rPr>
            </w:pPr>
            <w:r>
              <w:rPr>
                <w:rFonts w:ascii="Arial" w:cs="Arial" w:eastAsia="Arial" w:hAnsi="Arial"/>
                <w:sz w:val="13"/>
                <w:szCs w:val="13"/>
                <w:color w:val="auto"/>
                <w:w w:val="87"/>
              </w:rPr>
              <w:t>(2)</w:t>
            </w:r>
          </w:p>
        </w:tc>
        <w:tc>
          <w:tcPr>
            <w:tcW w:w="3380" w:type="dxa"/>
            <w:vAlign w:val="bottom"/>
          </w:tcPr>
          <w:p>
            <w:pPr>
              <w:ind w:left="480"/>
              <w:spacing w:after="0"/>
              <w:rPr>
                <w:sz w:val="20"/>
                <w:szCs w:val="20"/>
                <w:color w:val="auto"/>
              </w:rPr>
            </w:pPr>
            <w:r>
              <w:rPr>
                <w:rFonts w:ascii="Arial" w:cs="Arial" w:eastAsia="Arial" w:hAnsi="Arial"/>
                <w:sz w:val="18"/>
                <w:szCs w:val="18"/>
                <w:color w:val="auto"/>
                <w:w w:val="99"/>
              </w:rPr>
              <w:t>Derivatives in hedging relationships.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77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March 31, 2019 (in millions):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gridSpan w:val="9"/>
          </w:tcPr>
          <w:p>
            <w:pPr>
              <w:jc w:val="right"/>
              <w:ind w:right="1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9"/>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7"/>
              </w:rPr>
              <w:t>Commodity</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Foreign 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 Rate</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0"/>
              </w:rPr>
              <w:t>Reset Option</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1"/>
              </w:rPr>
              <w:t xml:space="preserve">Derivatives </w:t>
            </w:r>
            <w:r>
              <w:rPr>
                <w:rFonts w:ascii="Arial" w:cs="Arial" w:eastAsia="Arial" w:hAnsi="Arial"/>
                <w:sz w:val="21"/>
                <w:szCs w:val="21"/>
                <w:b w:val="1"/>
                <w:bCs w:val="1"/>
                <w:color w:val="auto"/>
                <w:w w:val="91"/>
                <w:vertAlign w:val="superscript"/>
              </w:rPr>
              <w:t>(1)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8"/>
              </w:rPr>
              <w:t>Total Derivatives</w:t>
            </w:r>
          </w:p>
        </w:tc>
      </w:tr>
      <w:tr>
        <w:trPr>
          <w:trHeight w:val="24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450</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2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97"/>
        </w:trPr>
        <w:tc>
          <w:tcPr>
            <w:tcW w:w="26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Derivative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w:t>
            </w: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485</w:t>
            </w:r>
          </w:p>
        </w:tc>
      </w:tr>
      <w:tr>
        <w:trPr>
          <w:trHeight w:val="311"/>
        </w:trPr>
        <w:tc>
          <w:tcPr>
            <w:tcW w:w="25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r>
      <w:tr>
        <w:trPr>
          <w:trHeight w:val="243"/>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620" w:type="dxa"/>
            <w:vAlign w:val="bottom"/>
            <w:gridSpan w:val="2"/>
          </w:tcPr>
          <w:p>
            <w:pPr>
              <w:ind w:left="32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Derivative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023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gridSpan w:val="9"/>
          </w:tcPr>
          <w:p>
            <w:pPr>
              <w:jc w:val="right"/>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Preferred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9"/>
              </w:rPr>
              <w:t>Commodity</w:t>
            </w: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Distribution Rate</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 Rate</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Reset Option</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89"/>
              </w:rPr>
              <w:t xml:space="preserve">Derivatives </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8"/>
              </w:rPr>
              <w:t>Total Derivatives</w:t>
            </w:r>
          </w:p>
        </w:tc>
      </w:tr>
      <w:tr>
        <w:trPr>
          <w:trHeight w:val="244"/>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443</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29"/>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 and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760" w:type="dxa"/>
            <w:vAlign w:val="bottom"/>
            <w:gridSpan w:val="2"/>
          </w:tcPr>
          <w:p>
            <w:pPr>
              <w:ind w:left="320"/>
              <w:spacing w:after="0"/>
              <w:rPr>
                <w:sz w:val="20"/>
                <w:szCs w:val="20"/>
                <w:color w:val="auto"/>
              </w:rPr>
            </w:pPr>
            <w:r>
              <w:rPr>
                <w:rFonts w:ascii="Arial" w:cs="Arial" w:eastAsia="Arial" w:hAnsi="Arial"/>
                <w:sz w:val="18"/>
                <w:szCs w:val="18"/>
                <w:color w:val="auto"/>
              </w:rPr>
              <w:t>deferred credits</w:t>
            </w:r>
          </w:p>
        </w:tc>
        <w:tc>
          <w:tcPr>
            <w:tcW w:w="16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Derivative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76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 and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2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credits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27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Derivative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Derivatives in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023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5"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w:t>
            </w:r>
          </w:p>
        </w:tc>
      </w:tr>
      <w:tr>
        <w:trPr>
          <w:trHeight w:val="297"/>
        </w:trPr>
        <w:tc>
          <w:tcPr>
            <w:tcW w:w="8300" w:type="dxa"/>
            <w:vAlign w:val="bottom"/>
          </w:tcPr>
          <w:p>
            <w:pPr>
              <w:ind w:left="20"/>
              <w:spacing w:after="0"/>
              <w:rPr>
                <w:sz w:val="20"/>
                <w:szCs w:val="20"/>
                <w:color w:val="auto"/>
              </w:rPr>
            </w:pPr>
            <w:r>
              <w:rPr>
                <w:rFonts w:ascii="Arial" w:cs="Arial" w:eastAsia="Arial" w:hAnsi="Arial"/>
                <w:sz w:val="18"/>
                <w:szCs w:val="18"/>
                <w:color w:val="auto"/>
              </w:rPr>
              <w:t>Variation margin returned</w:t>
            </w:r>
          </w:p>
        </w:tc>
        <w:tc>
          <w:tcPr>
            <w:tcW w:w="10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8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8300" w:type="dxa"/>
            <w:vAlign w:val="bottom"/>
          </w:tcPr>
          <w:p>
            <w:pPr>
              <w:ind w:left="20"/>
              <w:spacing w:after="0"/>
              <w:rPr>
                <w:sz w:val="20"/>
                <w:szCs w:val="20"/>
                <w:color w:val="auto"/>
              </w:rPr>
            </w:pPr>
            <w:r>
              <w:rPr>
                <w:rFonts w:ascii="Arial" w:cs="Arial" w:eastAsia="Arial" w:hAnsi="Arial"/>
                <w:sz w:val="18"/>
                <w:szCs w:val="18"/>
                <w:color w:val="auto"/>
              </w:rPr>
              <w:t>Net broker payable</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8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54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2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Asset Positions</w:t>
            </w:r>
          </w:p>
        </w:tc>
        <w:tc>
          <w:tcPr>
            <w:tcW w:w="160" w:type="dxa"/>
            <w:vAlign w:val="bottom"/>
          </w:tcPr>
          <w:p>
            <w:pPr>
              <w:spacing w:after="0"/>
              <w:rPr>
                <w:sz w:val="16"/>
                <w:szCs w:val="16"/>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Liability Positions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received</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50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As of March 31, 2019, there was a net loss of $198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March 31, 2019, we expect to reclassify a net loss of $8 million to earnings in the next twelve months. We estimate that substantially all of the remaining deferred loss will be reclassified to earnings through 2050 as the underlying hedged transactions impact earnings. A portion of these amounts is based on market prices as of March 31, 2019; thus, actual amounts to be reclassified will differ and could vary materially as a result of changes in market conditions.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163"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13335</wp:posOffset>
            </wp:positionV>
            <wp:extent cx="16554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p>
      <w:pPr>
        <w:ind w:left="9280"/>
        <w:spacing w:after="0"/>
        <w:tabs>
          <w:tab w:leader="none" w:pos="106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800" w:val="left"/>
          <w:tab w:leader="none" w:pos="9680" w:val="left"/>
          <w:tab w:leader="none" w:pos="10160" w:val="left"/>
          <w:tab w:leader="none" w:pos="1108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w:t>
        <w:tab/>
        <w:t>$</w:t>
      </w:r>
      <w:r>
        <w:rPr>
          <w:sz w:val="20"/>
          <w:szCs w:val="20"/>
          <w:color w:val="auto"/>
        </w:rPr>
        <w:tab/>
      </w:r>
      <w:r>
        <w:rPr>
          <w:rFonts w:ascii="Arial" w:cs="Arial" w:eastAsia="Arial" w:hAnsi="Arial"/>
          <w:sz w:val="16"/>
          <w:szCs w:val="16"/>
          <w:color w:val="auto"/>
        </w:rPr>
        <w:t>31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80" w:firstLine="594"/>
        <w:spacing w:after="0" w:line="264" w:lineRule="auto"/>
        <w:rPr>
          <w:sz w:val="20"/>
          <w:szCs w:val="20"/>
          <w:color w:val="auto"/>
        </w:rPr>
      </w:pPr>
      <w:r>
        <w:rPr>
          <w:rFonts w:ascii="Arial" w:cs="Arial" w:eastAsia="Arial" w:hAnsi="Arial"/>
          <w:sz w:val="18"/>
          <w:szCs w:val="18"/>
          <w:color w:val="auto"/>
        </w:rPr>
        <w:t>At March 31, 2019 and December 31, 2018,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w w:val="95"/>
              </w:rPr>
              <w:t>Fair Value as of March 31, 2019</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2"/>
              </w:rPr>
              <w:t>Fair Value as of December 31, 2018</w:t>
            </w:r>
          </w:p>
        </w:tc>
        <w:tc>
          <w:tcPr>
            <w:tcW w:w="62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Level 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5"/>
          <w:szCs w:val="25"/>
          <w:color w:val="auto"/>
          <w:vertAlign w:val="superscript"/>
        </w:rPr>
      </w:pPr>
    </w:p>
    <w:p>
      <w:pPr>
        <w:jc w:val="both"/>
        <w:ind w:left="660" w:right="400"/>
        <w:spacing w:after="0" w:line="264" w:lineRule="auto"/>
        <w:rPr>
          <w:rFonts w:ascii="Arial" w:cs="Arial" w:eastAsia="Arial" w:hAnsi="Arial"/>
          <w:sz w:val="25"/>
          <w:szCs w:val="25"/>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swaps and options. The fair value of exchange-traded commodity derivatives and over-the-counter commodity contracts is based on unadjusted quoted prices in active markets.</w:t>
      </w:r>
    </w:p>
    <w:p>
      <w:pPr>
        <w:spacing w:after="0" w:line="18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5"/>
          <w:szCs w:val="25"/>
          <w:color w:val="auto"/>
          <w:vertAlign w:val="superscript"/>
        </w:rPr>
      </w:pPr>
    </w:p>
    <w:p>
      <w:pPr>
        <w:ind w:left="660" w:right="240"/>
        <w:spacing w:after="0" w:line="312" w:lineRule="auto"/>
        <w:rPr>
          <w:rFonts w:ascii="Arial" w:cs="Arial" w:eastAsia="Arial" w:hAnsi="Arial"/>
          <w:sz w:val="25"/>
          <w:szCs w:val="25"/>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6"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5"/>
          <w:szCs w:val="25"/>
          <w:color w:val="auto"/>
          <w:vertAlign w:val="superscript"/>
        </w:rPr>
      </w:pPr>
    </w:p>
    <w:p>
      <w:pPr>
        <w:ind w:left="660" w:right="10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Level 3 of the fair value hierarchy includes certain physical commodity contracts and the Preferred Distribution Rate Reset Option contained in our partnership agreement which is classified as an embedded derivative.</w:t>
      </w:r>
    </w:p>
    <w:p>
      <w:pPr>
        <w:spacing w:after="0" w:line="170" w:lineRule="exact"/>
        <w:rPr>
          <w:rFonts w:ascii="Arial" w:cs="Arial" w:eastAsia="Arial" w:hAnsi="Arial"/>
          <w:sz w:val="25"/>
          <w:szCs w:val="25"/>
          <w:color w:val="auto"/>
          <w:vertAlign w:val="superscript"/>
        </w:rPr>
      </w:pPr>
    </w:p>
    <w:p>
      <w:pPr>
        <w:ind w:left="660"/>
        <w:spacing w:after="0" w:line="302" w:lineRule="auto"/>
        <w:rPr>
          <w:rFonts w:ascii="Arial" w:cs="Arial" w:eastAsia="Arial" w:hAnsi="Arial"/>
          <w:sz w:val="25"/>
          <w:szCs w:val="25"/>
          <w:color w:val="auto"/>
          <w:vertAlign w:val="superscript"/>
        </w:rPr>
      </w:pPr>
      <w:r>
        <w:rPr>
          <w:rFonts w:ascii="Arial" w:cs="Arial" w:eastAsia="Arial" w:hAnsi="Arial"/>
          <w:sz w:val="16"/>
          <w:szCs w:val="16"/>
          <w:color w:val="auto"/>
        </w:rPr>
        <w:t>The fair values of our Level 3 physical commodity contracts are based on valuation models utilizing significant timing estimates, which involve management judgment, and pricing inputs from observable markets with less volume and transaction frequency than active markets. Significant deviations from these estimates and inputs could result in a material change in fair value. We report unrealized gains and losses associated with these physical commodity contracts in our Condensed Consolidated Statements of Operations as Supply and Logistics segment revenues.</w:t>
      </w:r>
    </w:p>
    <w:p>
      <w:pPr>
        <w:spacing w:after="0" w:line="154" w:lineRule="exact"/>
        <w:rPr>
          <w:rFonts w:ascii="Arial" w:cs="Arial" w:eastAsia="Arial" w:hAnsi="Arial"/>
          <w:sz w:val="25"/>
          <w:szCs w:val="25"/>
          <w:color w:val="auto"/>
          <w:vertAlign w:val="superscript"/>
        </w:rPr>
      </w:pPr>
    </w:p>
    <w:p>
      <w:pPr>
        <w:ind w:left="660" w:right="100"/>
        <w:spacing w:after="0" w:line="297" w:lineRule="auto"/>
        <w:rPr>
          <w:rFonts w:ascii="Arial" w:cs="Arial" w:eastAsia="Arial" w:hAnsi="Arial"/>
          <w:sz w:val="25"/>
          <w:szCs w:val="25"/>
          <w:color w:val="auto"/>
          <w:vertAlign w:val="superscript"/>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 We report unrealized gains and losses associated with this embedded derivative in our Condensed Consolidated Statements of Operations in “Other income/(expense), net.”</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08"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13335</wp:posOffset>
            </wp:positionV>
            <wp:extent cx="1655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Change in unrealized gains/(losses) included in earnings relating to Level 3 derivatives still held at the end of the period</w:t>
            </w:r>
          </w:p>
        </w:tc>
        <w:tc>
          <w:tcPr>
            <w:tcW w:w="84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7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evaluate all agreements entered into or modified after the date of adoption of Topic 842 that convey to us the use of property or equipment to determine whether the agreement is or contains a lease. We lease certain property and equipment under noncancelable and cancelable operating and finance leases. Our operating leases primarily relate to railcars, office space, land, vehicles, and storage tanks, and our finance leases primarily relate to tractor trailers, vehicles and land. For leases with an initial term of greater than 12 months, we recognize a right-of-use asset and lease liability on the balance sheet. Leases with an initial term of 12 months or less are not recorded on the balance sheet. Our lease agreements have remaining lease terms ranging from one year to 62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40 years that are not recognized as part of our right-of-use assets or lease liabilities as we have determined we are not reasonably certain to exercise the option to renew.</w:t>
      </w:r>
    </w:p>
    <w:p>
      <w:pPr>
        <w:spacing w:after="0" w:line="18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presents components of lease cost, including both amounts recognized in income and amounts capitalized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Lease Cost</w:t>
            </w:r>
          </w:p>
        </w:tc>
        <w:tc>
          <w:tcPr>
            <w:tcW w:w="120" w:type="dxa"/>
            <w:vAlign w:val="bottom"/>
            <w:gridSpan w:val="3"/>
            <w:vMerge w:val="restart"/>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94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March 31, 2019</w:t>
            </w: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440" w:type="dxa"/>
            <w:vAlign w:val="bottom"/>
            <w:gridSpan w:val="5"/>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9440" w:type="dxa"/>
            <w:vAlign w:val="bottom"/>
            <w:gridSpan w:val="5"/>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9440" w:type="dxa"/>
            <w:vAlign w:val="bottom"/>
            <w:gridSpan w:val="5"/>
          </w:tcPr>
          <w:p>
            <w:pPr>
              <w:ind w:left="1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c>
          <w:tcPr>
            <w:tcW w:w="5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9440" w:type="dxa"/>
            <w:vAlign w:val="bottom"/>
            <w:gridSpan w:val="5"/>
            <w:vMerge w:val="restart"/>
          </w:tcPr>
          <w:p>
            <w:pPr>
              <w:ind w:left="500"/>
              <w:spacing w:after="0"/>
              <w:rPr>
                <w:sz w:val="20"/>
                <w:szCs w:val="20"/>
                <w:color w:val="auto"/>
              </w:rPr>
            </w:pPr>
            <w:r>
              <w:rPr>
                <w:rFonts w:ascii="Arial" w:cs="Arial" w:eastAsia="Arial" w:hAnsi="Arial"/>
                <w:sz w:val="18"/>
                <w:szCs w:val="18"/>
                <w:color w:val="auto"/>
              </w:rPr>
              <w:t>Includes immaterial finance lease costs, variable lease costs and sublease income.</w:t>
            </w: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160" w:type="dxa"/>
            <w:vAlign w:val="bottom"/>
          </w:tcPr>
          <w:p>
            <w:pPr>
              <w:spacing w:after="0"/>
              <w:rPr>
                <w:sz w:val="7"/>
                <w:szCs w:val="7"/>
                <w:color w:val="auto"/>
              </w:rPr>
            </w:pPr>
          </w:p>
        </w:tc>
        <w:tc>
          <w:tcPr>
            <w:tcW w:w="944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0"/>
        </w:trPr>
        <w:tc>
          <w:tcPr>
            <w:tcW w:w="160" w:type="dxa"/>
            <w:vAlign w:val="bottom"/>
          </w:tcPr>
          <w:p>
            <w:pPr>
              <w:spacing w:after="0"/>
              <w:rPr>
                <w:sz w:val="24"/>
                <w:szCs w:val="24"/>
                <w:color w:val="auto"/>
              </w:rPr>
            </w:pPr>
          </w:p>
        </w:tc>
        <w:tc>
          <w:tcPr>
            <w:tcW w:w="9440" w:type="dxa"/>
            <w:vAlign w:val="bottom"/>
            <w:gridSpan w:val="5"/>
          </w:tcPr>
          <w:p>
            <w:pPr>
              <w:ind w:left="500"/>
              <w:spacing w:after="0"/>
              <w:rPr>
                <w:sz w:val="20"/>
                <w:szCs w:val="20"/>
                <w:color w:val="auto"/>
              </w:rPr>
            </w:pPr>
            <w:r>
              <w:rPr>
                <w:rFonts w:ascii="Arial" w:cs="Arial" w:eastAsia="Arial" w:hAnsi="Arial"/>
                <w:sz w:val="18"/>
                <w:szCs w:val="18"/>
                <w:color w:val="auto"/>
              </w:rPr>
              <w:t>The following table presents information related to cash flows arising from lease transactions (in millions):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16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5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440" w:type="dxa"/>
            <w:vAlign w:val="bottom"/>
            <w:gridSpan w:val="5"/>
          </w:tcPr>
          <w:p>
            <w:pPr>
              <w:ind w:left="120"/>
              <w:spacing w:after="0"/>
              <w:rPr>
                <w:sz w:val="20"/>
                <w:szCs w:val="20"/>
                <w:color w:val="auto"/>
              </w:rPr>
            </w:pPr>
            <w:r>
              <w:rPr>
                <w:rFonts w:ascii="Arial" w:cs="Arial" w:eastAsia="Arial" w:hAnsi="Arial"/>
                <w:sz w:val="18"/>
                <w:szCs w:val="18"/>
                <w:color w:val="auto"/>
              </w:rPr>
              <w:t>Operating cash flows for operating leases</w:t>
            </w: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94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8"/>
                <w:szCs w:val="18"/>
                <w:color w:val="auto"/>
              </w:rPr>
              <w:t>Financing cash flows for finance leases</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9440" w:type="dxa"/>
            <w:vAlign w:val="bottom"/>
            <w:gridSpan w:val="5"/>
          </w:tcPr>
          <w:p>
            <w:pPr>
              <w:ind w:left="500"/>
              <w:spacing w:after="0"/>
              <w:rPr>
                <w:sz w:val="20"/>
                <w:szCs w:val="20"/>
                <w:color w:val="auto"/>
              </w:rPr>
            </w:pPr>
            <w:r>
              <w:rPr>
                <w:rFonts w:ascii="Arial" w:cs="Arial" w:eastAsia="Arial" w:hAnsi="Arial"/>
                <w:sz w:val="18"/>
                <w:szCs w:val="18"/>
                <w:color w:val="auto"/>
                <w:w w:val="97"/>
              </w:rPr>
              <w:t>Information related to the weighted-average remaining lease term and discount rate is presented in the table below:</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0" w:type="dxa"/>
            <w:vAlign w:val="bottom"/>
            <w:tcBorders>
              <w:bottom w:val="single" w:sz="8" w:color="CCEEFF"/>
            </w:tcBorders>
          </w:tcPr>
          <w:p>
            <w:pPr>
              <w:spacing w:after="0"/>
              <w:rPr>
                <w:sz w:val="24"/>
                <w:szCs w:val="24"/>
                <w:color w:val="auto"/>
              </w:rPr>
            </w:pPr>
          </w:p>
        </w:tc>
        <w:tc>
          <w:tcPr>
            <w:tcW w:w="3780" w:type="dxa"/>
            <w:vAlign w:val="bottom"/>
            <w:tcBorders>
              <w:bottom w:val="single" w:sz="8" w:color="CCEEFF"/>
            </w:tcBorders>
          </w:tcPr>
          <w:p>
            <w:pPr>
              <w:spacing w:after="0"/>
              <w:rPr>
                <w:sz w:val="24"/>
                <w:szCs w:val="24"/>
                <w:color w:val="auto"/>
              </w:rPr>
            </w:pPr>
          </w:p>
        </w:tc>
        <w:tc>
          <w:tcPr>
            <w:tcW w:w="55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440" w:type="dxa"/>
            <w:vAlign w:val="bottom"/>
            <w:gridSpan w:val="5"/>
          </w:tcPr>
          <w:p>
            <w:pPr>
              <w:ind w:left="2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620" w:type="dxa"/>
            <w:vAlign w:val="bottom"/>
          </w:tcPr>
          <w:p>
            <w:pPr>
              <w:jc w:val="center"/>
              <w:ind w:right="116"/>
              <w:spacing w:after="0"/>
              <w:rPr>
                <w:sz w:val="20"/>
                <w:szCs w:val="20"/>
                <w:color w:val="auto"/>
              </w:rPr>
            </w:pPr>
            <w:r>
              <w:rPr>
                <w:rFonts w:ascii="Arial" w:cs="Arial" w:eastAsia="Arial" w:hAnsi="Arial"/>
                <w:sz w:val="18"/>
                <w:szCs w:val="18"/>
                <w:color w:val="auto"/>
                <w:w w:val="87"/>
              </w:rPr>
              <w:t>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94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7"/>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95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440" w:type="dxa"/>
            <w:vAlign w:val="bottom"/>
            <w:gridSpan w:val="5"/>
          </w:tcPr>
          <w:p>
            <w:pPr>
              <w:ind w:left="2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620" w:type="dxa"/>
            <w:vAlign w:val="bottom"/>
          </w:tcPr>
          <w:p>
            <w:pPr>
              <w:jc w:val="center"/>
              <w:ind w:right="116"/>
              <w:spacing w:after="0"/>
              <w:rPr>
                <w:sz w:val="20"/>
                <w:szCs w:val="20"/>
                <w:color w:val="auto"/>
              </w:rPr>
            </w:pPr>
            <w:r>
              <w:rPr>
                <w:rFonts w:ascii="Arial" w:cs="Arial" w:eastAsia="Arial" w:hAnsi="Arial"/>
                <w:sz w:val="18"/>
                <w:szCs w:val="18"/>
                <w:color w:val="auto"/>
                <w:w w:val="92"/>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94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92"/>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9"/>
        </w:trPr>
        <w:tc>
          <w:tcPr>
            <w:tcW w:w="160" w:type="dxa"/>
            <w:vAlign w:val="bottom"/>
          </w:tcPr>
          <w:p>
            <w:pPr>
              <w:spacing w:after="0"/>
              <w:rPr>
                <w:sz w:val="24"/>
                <w:szCs w:val="24"/>
                <w:color w:val="auto"/>
              </w:rPr>
            </w:pPr>
          </w:p>
        </w:tc>
        <w:tc>
          <w:tcPr>
            <w:tcW w:w="9320" w:type="dxa"/>
            <w:vAlign w:val="bottom"/>
            <w:gridSpan w:val="2"/>
          </w:tcPr>
          <w:p>
            <w:pPr>
              <w:ind w:left="54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presents the amount and location of our operating and finance lease right-of-use assets and liabilities on our Condensed Consolidated Balance Sheet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Operating lease right-of-use assets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Long-term operating lease right-of-use assets,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477</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Finance lease right-of-use assets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Property and equipment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Property and equipment,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spacing w:after="0"/>
              <w:rPr>
                <w:sz w:val="24"/>
                <w:szCs w:val="24"/>
                <w:color w:val="auto"/>
              </w:rPr>
            </w:pPr>
          </w:p>
        </w:tc>
      </w:tr>
      <w:tr>
        <w:trPr>
          <w:trHeight w:val="297"/>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lease right-of-use assets</w:t>
            </w:r>
          </w:p>
        </w:tc>
        <w:tc>
          <w:tcPr>
            <w:tcW w:w="4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569</w:t>
            </w:r>
          </w:p>
        </w:tc>
      </w:tr>
      <w:tr>
        <w:trPr>
          <w:trHeight w:val="311"/>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lease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280"/>
              <w:spacing w:after="0"/>
              <w:rPr>
                <w:sz w:val="20"/>
                <w:szCs w:val="20"/>
                <w:color w:val="auto"/>
              </w:rPr>
            </w:pPr>
            <w:r>
              <w:rPr>
                <w:rFonts w:ascii="Arial" w:cs="Arial" w:eastAsia="Arial" w:hAnsi="Arial"/>
                <w:sz w:val="18"/>
                <w:szCs w:val="18"/>
                <w:color w:val="auto"/>
              </w:rPr>
              <w:t>Current</w:t>
            </w:r>
          </w:p>
        </w:tc>
        <w:tc>
          <w:tcPr>
            <w:tcW w:w="47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w:t>
            </w: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Long-term operating lease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r>
      <w:tr>
        <w:trPr>
          <w:trHeight w:val="237"/>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Total operating lease liabilities</w:t>
            </w: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w:t>
            </w: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160"/>
              <w:spacing w:after="0"/>
              <w:rPr>
                <w:sz w:val="20"/>
                <w:szCs w:val="20"/>
                <w:color w:val="auto"/>
              </w:rPr>
            </w:pPr>
            <w:r>
              <w:rPr>
                <w:rFonts w:ascii="Arial" w:cs="Arial" w:eastAsia="Arial" w:hAnsi="Arial"/>
                <w:sz w:val="18"/>
                <w:szCs w:val="18"/>
                <w:color w:val="auto"/>
              </w:rPr>
              <w:t>Finance lease liabilities</w:t>
            </w:r>
          </w:p>
        </w:tc>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4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Short-term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4800" w:type="dxa"/>
            <w:vAlign w:val="bottom"/>
            <w:gridSpan w:val="2"/>
          </w:tcPr>
          <w:p>
            <w:pPr>
              <w:ind w:left="280"/>
              <w:spacing w:after="0"/>
              <w:rPr>
                <w:sz w:val="20"/>
                <w:szCs w:val="20"/>
                <w:color w:val="auto"/>
              </w:rPr>
            </w:pPr>
            <w:r>
              <w:rPr>
                <w:rFonts w:ascii="Arial" w:cs="Arial" w:eastAsia="Arial" w:hAnsi="Arial"/>
                <w:sz w:val="18"/>
                <w:szCs w:val="18"/>
                <w:color w:val="auto"/>
              </w:rPr>
              <w:t>Noncurrent</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long-term debt,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finance lease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324"/>
        </w:trPr>
        <w:tc>
          <w:tcPr>
            <w:tcW w:w="4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57"/>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4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r>
      <w:tr>
        <w:trPr>
          <w:trHeight w:val="20"/>
        </w:trPr>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presents the maturity of undiscounted cash flows for future minimum lease payments under noncancelable leases as of March 31, 2019 reconciled to our lease liabilities on our Condensed Consolidated Balance Sheet (amounts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Finance</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Future minimum lease payments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Remainder of 2019</w:t>
            </w:r>
          </w:p>
        </w:tc>
        <w:tc>
          <w:tcPr>
            <w:tcW w:w="1320" w:type="dxa"/>
            <w:vAlign w:val="bottom"/>
          </w:tcPr>
          <w:p>
            <w:pPr>
              <w:jc w:val="right"/>
              <w:ind w:right="11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2021</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2023</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Present value discount</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132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5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Excludes future minimum payments for short-term and other immaterial leases not included on our Condensed Consolidated Balance Sheet.</w:t>
      </w:r>
    </w:p>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have entered into leases that had not yet commenced as of March 31, 2019 with future minimum lease payments totaling $42 million. These leases are primarily for office space, have lease terms of five years and will commence in May 2019.</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and Subleases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evaluate all agreements entered into or modified after the date of adoption of Topic 842 that convey to others the use of property or equipment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As of March 31, 2019, we did not have any material subleases.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Facilities segment enters into agreements to conduct fee-based activities associated with providing storage services primarily for crude oil, NGL and natural gas. Certain of these agreements convey counterparties the right to direct the operation of physically distinct assets. Such agreements include fixed consideration, which is measured based on an available capacity during the period multiplied by the rate in the agreement. These agreements often include options to extend or terminate the term, with advance notice. These agreements are operating leases under Topic 842. For the three months ended March 31, 2019, our lease revenue was not material.</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table below presents the maturity of lease payments for operating lease agreements in effect as of March 31, 2019. This presentation includes minimum fixed lease payments and does not include an estimate of variable lease consideration. These agreements have remaining lease terms ranging from two years to 23 years. The following table presents the undiscounted cash flows expected to be received related to these agreements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Remainder</w:t>
            </w:r>
          </w:p>
        </w:tc>
        <w:tc>
          <w:tcPr>
            <w:tcW w:w="340" w:type="dxa"/>
            <w:vAlign w:val="bottom"/>
          </w:tcPr>
          <w:p>
            <w:pPr>
              <w:spacing w:after="0"/>
              <w:rPr>
                <w:sz w:val="14"/>
                <w:szCs w:val="14"/>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of 2019</w:t>
            </w: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Facilities segment lease 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16 to our Consolidated Financial Statements included in Part IV of our 2018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March 31, 2019 and December 31, 2018, we owned 517,256,766 and 516,938,280, respectively, Class C shares of PAGP. The Class C shares represent a non-economic limited partner interest in PAGP that provides us, as the sole holder, a “pass-through” voting right through which our common unitholders and Series A preferred unitholders have the effective right to vote, pro rata with the holders of Class A and Class B shares of PAGP, for the election of eligible PAGP GP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other related parties include (i) principal owners and their affiliated entities and (ii) entities in which we hold investments and account for under the equity method of accounting (see Note 7 for additional information regarding such entities). We recognize as our principal owners entities that have a designated representative on the board of directors of PAGP GP and/or own greater than 10% of the limited partner interests in AAP. Such limited partner interests in AAP translates into a significantly smaller indirect ownership interest in PAA. Principal owners include Oxy, The Energy &amp; Minerals Group and Kayne Anderson Capital Advisors, L.P. We also consider subsidiaries or funds identified as affiliated with such entities to be related parties.</w:t>
      </w:r>
    </w:p>
    <w:p>
      <w:pPr>
        <w:spacing w:after="0" w:line="15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During the three months ended March 31, 2019 and 2018, we recognized sales and transportation revenues, purchased petroleum products and utilized transportation services from our principal owners and our equity method investees.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these transactions is included below (in millions):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5"/>
                <w:szCs w:val="25"/>
                <w:color w:val="auto"/>
                <w:vertAlign w:val="superscript"/>
              </w:rPr>
              <w:t>(1) (2)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281</w:t>
            </w:r>
          </w:p>
        </w:tc>
      </w:tr>
      <w:tr>
        <w:trPr>
          <w:trHeight w:val="297"/>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5"/>
                <w:szCs w:val="25"/>
                <w:color w:val="auto"/>
                <w:vertAlign w:val="superscript"/>
              </w:rPr>
              <w:t>(2)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6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A majority of these revenues are included in “Supply and Logistics segment revenues” on our Condensed Consolidated Statements of Operations.</w:t>
      </w:r>
    </w:p>
    <w:p>
      <w:pPr>
        <w:spacing w:after="0" w:line="55" w:lineRule="exact"/>
        <w:rPr>
          <w:rFonts w:ascii="Arial" w:cs="Arial" w:eastAsia="Arial" w:hAnsi="Arial"/>
          <w:sz w:val="22"/>
          <w:szCs w:val="22"/>
          <w:color w:val="auto"/>
          <w:vertAlign w:val="superscript"/>
        </w:rPr>
      </w:pPr>
    </w:p>
    <w:p>
      <w:pPr>
        <w:ind w:left="660" w:right="220" w:hanging="652"/>
        <w:spacing w:after="0" w:line="208"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5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5"/>
                <w:szCs w:val="25"/>
                <w:color w:val="auto"/>
                <w:vertAlign w:val="superscript"/>
              </w:rPr>
              <w:t>(1) (2)</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144</w:t>
            </w:r>
          </w:p>
        </w:tc>
      </w:tr>
      <w:tr>
        <w:trPr>
          <w:trHeight w:val="297"/>
        </w:trPr>
        <w:tc>
          <w:tcPr>
            <w:tcW w:w="8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5"/>
                <w:szCs w:val="25"/>
                <w:color w:val="auto"/>
                <w:vertAlign w:val="superscript"/>
              </w:rPr>
              <w:t>(1) (2) (3)</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We have a netting arrangement with certain related parties. Receivables and payables are presented net of such amounts.</w:t>
      </w:r>
    </w:p>
    <w:p>
      <w:pPr>
        <w:spacing w:after="0" w:line="55" w:lineRule="exact"/>
        <w:rPr>
          <w:rFonts w:ascii="Arial" w:cs="Arial" w:eastAsia="Arial" w:hAnsi="Arial"/>
          <w:sz w:val="25"/>
          <w:szCs w:val="25"/>
          <w:color w:val="auto"/>
          <w:vertAlign w:val="superscript"/>
        </w:rPr>
      </w:pPr>
    </w:p>
    <w:p>
      <w:pPr>
        <w:ind w:left="660" w:right="320" w:hanging="652"/>
        <w:spacing w:after="0" w:line="208"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41" w:lineRule="exact"/>
        <w:rPr>
          <w:rFonts w:ascii="Arial" w:cs="Arial" w:eastAsia="Arial" w:hAnsi="Arial"/>
          <w:sz w:val="25"/>
          <w:szCs w:val="25"/>
          <w:color w:val="auto"/>
          <w:vertAlign w:val="superscript"/>
        </w:rPr>
      </w:pPr>
    </w:p>
    <w:p>
      <w:pPr>
        <w:ind w:left="660" w:hanging="652"/>
        <w:spacing w:after="0" w:line="252" w:lineRule="auto"/>
        <w:tabs>
          <w:tab w:leader="none" w:pos="6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At March 31, 2019, our estimated undiscounted reserve for environmental liabilities (including liabilities related to the Line 901 incident, as discussed further below) totaled $134 million, of which $41 million was classified as short-term and $93 million was classified as long-term. At December 31, 2018, our estimated undiscounted reserve for environmental liabilities (including liabilities related to the Line 901 incident) totaled $135 million, of which $43 million was classified as short-term and $92 million was classified as long-term. Such short- and long-term environmental liabilities are reflected in “Other current liabilities” and “Other long-term liabilities and deferred credits,” respectively, on our Condensed Consolidated Balance Sheets. At March 31, 2019, we had recorded receivables totaling $62 million for amounts probable of recovery under insurance and from third parties under indemnification agreements, of which $29 million was classified as short-term and $33 million was classified as long-term. At December 31, 2018, we had recorded $61 million of such receivables, of which $28 million was classified as short-term and $33 million was classified as long-term. Such short- and long-term receivables are reflected in “Trade accounts receivable and other receivables, net” and “Other long-term assets, net,” respectively, on our Condensed Consolidated Balance Sheets.</w:t>
      </w:r>
    </w:p>
    <w:p>
      <w:pPr>
        <w:spacing w:after="0" w:line="19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200"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we may have civil or criminal charges brought against us, in the future.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 25, 2019, PAA was sentenced to pay fines and penalties in the aggregate amount of just under $3.35 million for the convictions covered by the September 2018 jury verdict (the “2019 Sentence”). The Superior Court also indicated that it would conduct further hearings on the issue of whether there were any “direct victims” of the spill that are entitled to restitution under applicable law. We do not anticipate that the victim restitution, if any, imposed as a result of these proceedings will have a material adverse impact on the financial position or operations of the Partnership.</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w:t>
      </w:r>
    </w:p>
    <w:p>
      <w:pPr>
        <w:spacing w:after="0" w:line="3" w:lineRule="exact"/>
        <w:rPr>
          <w:sz w:val="20"/>
          <w:szCs w:val="20"/>
          <w:color w:val="auto"/>
        </w:rPr>
      </w:pPr>
    </w:p>
    <w:p>
      <w:pPr>
        <w:ind w:right="80" w:firstLine="8"/>
        <w:spacing w:after="0" w:line="290" w:lineRule="auto"/>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provided various responsive materials to date and we will continue to do so in the future in cooperation with the EPA. Except in connection with the May 2016 Indictment and the 2019 Sentence, to date no civil enforcement actions or criminal charges with respect to the Line 901 release have been brought against PAA or any of its affiliates, officers or employees by PHMSA, the DOJ, the EPA, the California Attorney General or the California Department of Fish and Wildlife, and no fines or penalties have been imposed by such governmental agencies; however, the investigations being conducted by such agencies are still open and we may have fines or penalties imposed upon us, our officers or our employees in the future, or civil actions or criminal charges brought against us, our officers or our employees in the future, whether by those or other governmental agencies.</w:t>
      </w:r>
    </w:p>
    <w:p>
      <w:pPr>
        <w:spacing w:after="0" w:line="16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The sub-classes that have been certified include (i) commercial fishermen who landed fish in certain specified fishing blocks in the waters adjacent to Santa Barbara County or persons or businesses who resold commercial seafood landed in such areas; (ii) individuals or businesses who were employed by or had contracts with certain designated oil platforms and related onshore processing facilities in the vicinity of the release as of the date of the release and (iii) beachfront property and easement owners whose properties were oiled. The Ninth Circuit Court of Appeals has granted our petition for leave to appeal the oil industry class certification.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denied the allegations in, and moved to dismiss these lawsuits. On March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29, 2017, the Court ruled in our favor dismissing all claims against all defendants. Plaintiffs refiled their complaint. On April 2, 2018, the Court dismissed all of the refiled claims against all defendants with prejudice. Plaintiffs have appealed the dismissal. Consistent with and subject to the terms of our governing organizational documents (and to the extent applicable, insurance policies), we have indemnified and funded the defense costs of our officers and directors in connection with this lawsuit; we have also indemnified and funded the defense costs of our underwriters pursuant to the terms of the underwriting agreements we previously entered into with such underwriters.</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four unitholder derivative lawsuits have been filed by certain purported investors in the Partnership against the Partnership, certain of its affiliates and certain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and subsequently dismissed without prejudice.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7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Taking the foregoing into account, as of March 31, 2019, we estimate that the aggregate total costs we have incurred or will incur with respect to the Line 901 incident will be approximately $355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6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As of March 31, 2019, we had a remaining undiscounted gross liability of $75 million related to this event, of which approximately $32 million is presented in “Other current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estimates for these costs that exceed the amounts currently identified. Through March 31, 2019, we had collected, subject to customary reservations, $187 million out of the approximate $240 million of release costs that we believe are probable of recovery from insurance carriers, net of deductibles. Therefore, as of March 31, 2019, we have recognized a receivable of approximately $53 million for the portion of the release costs that we believe is probable of recovery from insurance, net of deductibles and amounts already collected. Of this amount, approximately $23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14—Operating Segments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2018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and losses on significant asset sales by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2019</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Intersegment</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3"/>
                <w:szCs w:val="23"/>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8,022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5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36</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Intersegment</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8,111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8,112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5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100" w:hanging="652"/>
        <w:spacing w:after="0" w:line="253" w:lineRule="auto"/>
        <w:tabs>
          <w:tab w:leader="none" w:pos="66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to our Consolidated Financial Statements included in Part IV of our 2018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83" w:lineRule="exact"/>
        <w:rPr>
          <w:rFonts w:ascii="Arial" w:cs="Arial" w:eastAsia="Arial" w:hAnsi="Arial"/>
          <w:sz w:val="24"/>
          <w:szCs w:val="24"/>
          <w:color w:val="auto"/>
          <w:vertAlign w:val="superscript"/>
        </w:rPr>
      </w:pPr>
    </w:p>
    <w:p>
      <w:pPr>
        <w:ind w:left="660" w:right="140" w:hanging="652"/>
        <w:spacing w:after="0" w:line="262" w:lineRule="auto"/>
        <w:tabs>
          <w:tab w:leader="none" w:pos="6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(in millions):</w:t>
      </w:r>
    </w:p>
    <w:p>
      <w:pPr>
        <w:spacing w:after="0" w:line="163"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13335</wp:posOffset>
            </wp:positionV>
            <wp:extent cx="1372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r>
      <w:tr>
        <w:trPr>
          <w:trHeight w:val="270"/>
        </w:trPr>
        <w:tc>
          <w:tcPr>
            <w:tcW w:w="9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2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92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Gains from derivative activities net of inventory valuation adjustments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w:t>
            </w:r>
          </w:p>
        </w:tc>
      </w:tr>
      <w:tr>
        <w:trPr>
          <w:trHeight w:val="270"/>
        </w:trPr>
        <w:tc>
          <w:tcPr>
            <w:tcW w:w="92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r>
      <w:tr>
        <w:trPr>
          <w:trHeight w:val="270"/>
        </w:trPr>
        <w:tc>
          <w:tcPr>
            <w:tcW w:w="92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92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92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loss on foreign currency revaluation </w:t>
            </w:r>
            <w:r>
              <w:rPr>
                <w:rFonts w:ascii="Arial" w:cs="Arial" w:eastAsia="Arial" w:hAnsi="Arial"/>
                <w:sz w:val="25"/>
                <w:szCs w:val="25"/>
                <w:color w:val="auto"/>
                <w:vertAlign w:val="superscript"/>
              </w:rPr>
              <w:t>(7)</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9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investment in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9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9240" w:type="dxa"/>
            <w:vAlign w:val="bottom"/>
          </w:tcPr>
          <w:p>
            <w:pPr>
              <w:ind w:left="40"/>
              <w:spacing w:after="0"/>
              <w:rPr>
                <w:sz w:val="20"/>
                <w:szCs w:val="20"/>
                <w:color w:val="auto"/>
              </w:rPr>
            </w:pPr>
            <w:r>
              <w:rPr>
                <w:rFonts w:ascii="Arial" w:cs="Arial" w:eastAsia="Arial" w:hAnsi="Arial"/>
                <w:sz w:val="18"/>
                <w:szCs w:val="18"/>
                <w:color w:val="auto"/>
              </w:rPr>
              <w:t>Income before tax</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349</w:t>
            </w:r>
          </w:p>
        </w:tc>
      </w:tr>
      <w:tr>
        <w:trPr>
          <w:trHeight w:val="27"/>
        </w:trPr>
        <w:tc>
          <w:tcPr>
            <w:tcW w:w="9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57"/>
        </w:trPr>
        <w:tc>
          <w:tcPr>
            <w:tcW w:w="9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288</w:t>
            </w:r>
          </w:p>
        </w:tc>
      </w:tr>
      <w:tr>
        <w:trPr>
          <w:trHeight w:val="20"/>
        </w:trPr>
        <w:tc>
          <w:tcPr>
            <w:tcW w:w="9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and losses on significant asset sales of equity method investments.</w:t>
      </w:r>
    </w:p>
    <w:p>
      <w:pPr>
        <w:sectPr>
          <w:pgSz w:w="11900" w:h="16838" w:orient="portrait"/>
          <w:cols w:equalWidth="0" w:num="1">
            <w:col w:w="11400"/>
          </w:cols>
          <w:pgMar w:left="240" w:top="125" w:right="25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25" w:right="2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hanging="652"/>
        <w:spacing w:after="0" w:line="239"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7" w:lineRule="exact"/>
        <w:rPr>
          <w:rFonts w:ascii="Arial" w:cs="Arial" w:eastAsia="Arial" w:hAnsi="Arial"/>
          <w:sz w:val="25"/>
          <w:szCs w:val="25"/>
          <w:color w:val="auto"/>
          <w:vertAlign w:val="superscript"/>
        </w:rPr>
      </w:pPr>
    </w:p>
    <w:p>
      <w:pPr>
        <w:ind w:left="660" w:right="180" w:hanging="652"/>
        <w:spacing w:after="0" w:line="271" w:lineRule="auto"/>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units.</w:t>
      </w:r>
    </w:p>
    <w:p>
      <w:pPr>
        <w:spacing w:after="0" w:line="201" w:lineRule="exact"/>
        <w:rPr>
          <w:rFonts w:ascii="Arial" w:cs="Arial" w:eastAsia="Arial" w:hAnsi="Arial"/>
          <w:sz w:val="25"/>
          <w:szCs w:val="25"/>
          <w:color w:val="auto"/>
          <w:vertAlign w:val="superscript"/>
        </w:rPr>
      </w:pPr>
    </w:p>
    <w:p>
      <w:pPr>
        <w:ind w:left="660" w:right="440" w:hanging="652"/>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2018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first three months of 2019, we recognized net income of $970 million as compared to net income of $288 million recognized during the first three months of 2018. The increase in net income over the comparative periods was driven by:</w:t>
      </w:r>
    </w:p>
    <w:p>
      <w:pPr>
        <w:spacing w:after="0" w:line="170" w:lineRule="exact"/>
        <w:rPr>
          <w:sz w:val="20"/>
          <w:szCs w:val="20"/>
          <w:color w:val="auto"/>
        </w:rPr>
      </w:pPr>
    </w:p>
    <w:p>
      <w:pPr>
        <w:ind w:left="1300" w:hanging="320"/>
        <w:spacing w:after="0" w:line="342"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Favorable results from our Supply and Logistics segment due to favorable crude oil grade differentials, primarily in the Permian Basin, and higher NGL margins, as well as more favorable impacts in the 2019 period from the mark-to-market of certain derivative instruments;</w:t>
      </w:r>
    </w:p>
    <w:p>
      <w:pPr>
        <w:spacing w:after="0" w:line="123" w:lineRule="exact"/>
        <w:rPr>
          <w:rFonts w:ascii="Arial" w:cs="Arial" w:eastAsia="Arial" w:hAnsi="Arial"/>
          <w:sz w:val="16"/>
          <w:szCs w:val="16"/>
          <w:color w:val="auto"/>
        </w:rPr>
      </w:pPr>
    </w:p>
    <w:p>
      <w:pPr>
        <w:ind w:left="1300" w:right="26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Favorable results from our Transportation segment, primarily from our pipelines in the Permian Basin region, driven by higher volumes from increased production and our recently completed capital expansion projects;</w:t>
      </w:r>
    </w:p>
    <w:p>
      <w:pPr>
        <w:spacing w:after="0" w:line="170" w:lineRule="exact"/>
        <w:rPr>
          <w:rFonts w:ascii="Arial" w:cs="Arial" w:eastAsia="Arial" w:hAnsi="Arial"/>
          <w:sz w:val="18"/>
          <w:szCs w:val="18"/>
          <w:color w:val="auto"/>
        </w:rPr>
      </w:pPr>
    </w:p>
    <w:p>
      <w:pPr>
        <w:ind w:left="1300" w:right="240" w:hanging="320"/>
        <w:spacing w:after="0" w:line="342"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non-cash gain of $267 million recognized in the current period related to a fair value adjustment resulting from the accounting for the contribution of our undivided joint interest in the Capline pipeline system for an equity interest in Capline Pipeline Company LLC;</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125"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4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mark-to-market of our Preferred Distribution Rate Reset Option, resulting in a gain in the current period compared to a loss in the prior period; and</w:t>
      </w:r>
    </w:p>
    <w:p>
      <w:pPr>
        <w:spacing w:after="0" w:line="170" w:lineRule="exact"/>
        <w:rPr>
          <w:rFonts w:ascii="Arial" w:cs="Arial" w:eastAsia="Arial" w:hAnsi="Arial"/>
          <w:sz w:val="18"/>
          <w:szCs w:val="18"/>
          <w:color w:val="auto"/>
        </w:rPr>
      </w:pPr>
    </w:p>
    <w:p>
      <w:pPr>
        <w:ind w:left="1300" w:right="700" w:hanging="320"/>
        <w:spacing w:after="0" w:line="308"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Lower income tax expense primarily due to lower year-over-year income as impacted by fluctuations in derivative mark-to market valuations in our Canadian operations, partially offset by higher taxable earnings in our Canadian operations.</w:t>
      </w:r>
    </w:p>
    <w:p>
      <w:pPr>
        <w:spacing w:after="0" w:line="14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invested $351 million in midstream infrastructure projects during the three months ended March 31, 2019, and we expect expansion capital for the full year of 2019 to be approximately $1.35 billion, which will be primarily focused in the Permian Basin. See the “—Capital Projects” section below for additional information.</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paid approximately $218 million of cash distributions to our common unitholders during the three months ended March 31, 2019. We also paid cash distributions of approximately $37 million to our Series A preferred unitholders. In April 2019, we declared (i) quarterly cash distributions of $0.36 per common unit (a total distribution of $262 million), as discussed further below, and $0.525 per Series A preferred unit (a total distribution of $37 million) to be paid on May 15, 2019 and (ii) the semi-annual cash distribution of $30.625 per Series B preferred unit (a total distribution of $24.5 million) to be paid on May 15,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Leverage Reduction Plan Completion and Financial Policy Update</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August 2017, we announced that we were implementing an action plan to strengthen our balance sheet, reduce leverage, enhance our distribution coverage, minimize new issuances of common equity and position the Partnership for future distribution growth. The action plan (“Leverage Reduction Plan”), which was endorsed by the PAGP GP Board, included our intent to achieve certain objectives. During 2017 and 2018, we made meaningful progress in executing our Leverage Reduction Plan and in April 2019, we announced our achievement of the remaining objectives. Concurrent with the completion of the Leverage Reduction Plan, we completed a review of our financial policies and approach to capital allocation, targeted financial leverage and distribution management. As part of the April 2019 announcement, we provided several updates regarding our financial policy, including the following actions:</w:t>
      </w:r>
    </w:p>
    <w:p>
      <w:pPr>
        <w:spacing w:after="0" w:line="16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Lowering our targeted long-term debt to Adjusted EBITDA leverage ratio by 0.5x to a range of 3.0x to 3.5x;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 long-term sustainable minimum annual distribution coverage level underpinned by predominantly fee-based cash flows;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our annualized distribution by $0.24 per common unit to $1.44 per common unit, beginning with the distribution payable May 15, 2019 to holders of record on May 1, 2019, which equates to a 20% increase from the distribution paid in February 2019; and</w:t>
      </w:r>
    </w:p>
    <w:p>
      <w:pPr>
        <w:spacing w:after="0" w:line="170" w:lineRule="exact"/>
        <w:rPr>
          <w:rFonts w:ascii="Arial" w:cs="Arial" w:eastAsia="Arial" w:hAnsi="Arial"/>
          <w:sz w:val="18"/>
          <w:szCs w:val="18"/>
          <w:color w:val="auto"/>
        </w:rPr>
      </w:pPr>
    </w:p>
    <w:p>
      <w:pPr>
        <w:ind w:left="660" w:right="44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adoption of an annual cycle for setting the common unit distribution level and intention to increase common unit distributions in the future contingent on achieving and maintaining targeted leverage and coverage ratios and subject to an annual review process.</w:t>
      </w:r>
    </w:p>
    <w:p>
      <w:pPr>
        <w:spacing w:after="0" w:line="147"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These actions reflect our dedication to optimizing sustainable unitholder value while also preserving and enhancing our financial flexibility, further reducing leverage and improving our credit profile, with an objective of achieving mid-BBB equivalent credit ratings over time. Consistent with those objectives, we announced that we intend to continue to focus on activities to enhance investment returns and reinforce capital discipline through asset optimization, joint ventures, potential divestitures and similar arrangements.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expansion capital and maintenance capital (in millions):</w:t>
      </w:r>
    </w:p>
    <w:p>
      <w:pPr>
        <w:spacing w:after="0" w:line="163"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(2)</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r>
      <w:tr>
        <w:trPr>
          <w:trHeight w:val="270"/>
        </w:trPr>
        <w:tc>
          <w:tcPr>
            <w:tcW w:w="83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(2)</w:t>
            </w:r>
          </w:p>
        </w:tc>
        <w:tc>
          <w:tcPr>
            <w:tcW w:w="10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w:t>
            </w:r>
          </w:p>
        </w:tc>
      </w:tr>
      <w:tr>
        <w:trPr>
          <w:trHeight w:val="269"/>
        </w:trPr>
        <w:tc>
          <w:tcPr>
            <w:tcW w:w="8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380" w:hanging="652"/>
        <w:spacing w:after="0" w:line="216"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440" w:hanging="652"/>
        <w:spacing w:after="0" w:line="226"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2019 and the estimated cost for the year ending December 31, 2019 (in millions):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Takeaway Pipeline Projects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w:t>
            </w:r>
          </w:p>
        </w:tc>
      </w:tr>
      <w:tr>
        <w:trPr>
          <w:trHeight w:val="243"/>
        </w:trPr>
        <w:tc>
          <w:tcPr>
            <w:tcW w:w="9920" w:type="dxa"/>
            <w:vAlign w:val="bottom"/>
            <w:gridSpan w:val="2"/>
          </w:tcPr>
          <w:p>
            <w:pPr>
              <w:ind w:left="20"/>
              <w:spacing w:after="0"/>
              <w:rPr>
                <w:sz w:val="20"/>
                <w:szCs w:val="20"/>
                <w:color w:val="auto"/>
              </w:rPr>
            </w:pPr>
            <w:r>
              <w:rPr>
                <w:rFonts w:ascii="Arial" w:cs="Arial" w:eastAsia="Arial" w:hAnsi="Arial"/>
                <w:sz w:val="18"/>
                <w:szCs w:val="18"/>
                <w:color w:val="auto"/>
              </w:rPr>
              <w:t>Complementary Permian Basin Projects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405</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Selected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r>
      <w:tr>
        <w:trPr>
          <w:trHeight w:val="243"/>
        </w:trPr>
        <w:tc>
          <w:tcPr>
            <w:tcW w:w="9920" w:type="dxa"/>
            <w:vAlign w:val="bottom"/>
            <w:gridSpan w:val="2"/>
          </w:tcPr>
          <w:p>
            <w:pPr>
              <w:ind w:left="20"/>
              <w:spacing w:after="0"/>
              <w:rPr>
                <w:sz w:val="20"/>
                <w:szCs w:val="20"/>
                <w:color w:val="auto"/>
              </w:rPr>
            </w:pPr>
            <w:r>
              <w:rPr>
                <w:rFonts w:ascii="Arial" w:cs="Arial" w:eastAsia="Arial" w:hAnsi="Arial"/>
                <w:sz w:val="18"/>
                <w:szCs w:val="18"/>
                <w:color w:val="auto"/>
              </w:rPr>
              <w:t>Other Projects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200</w:t>
            </w:r>
          </w:p>
        </w:tc>
      </w:tr>
      <w:tr>
        <w:trPr>
          <w:trHeight w:val="27"/>
        </w:trPr>
        <w:tc>
          <w:tcPr>
            <w:tcW w:w="9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9920" w:type="dxa"/>
            <w:vAlign w:val="bottom"/>
            <w:tcBorders>
              <w:bottom w:val="single" w:sz="8" w:color="CCEEFF"/>
            </w:tcBorders>
            <w:gridSpan w:val="2"/>
            <w:shd w:val="clear" w:color="auto" w:fill="CCEEFF"/>
          </w:tcPr>
          <w:p>
            <w:pPr>
              <w:ind w:left="160"/>
              <w:spacing w:after="0" w:line="264" w:lineRule="exact"/>
              <w:rPr>
                <w:sz w:val="20"/>
                <w:szCs w:val="20"/>
                <w:color w:val="auto"/>
              </w:rPr>
            </w:pPr>
            <w:r>
              <w:rPr>
                <w:rFonts w:ascii="Arial" w:cs="Arial" w:eastAsia="Arial" w:hAnsi="Arial"/>
                <w:sz w:val="18"/>
                <w:szCs w:val="18"/>
                <w:color w:val="auto"/>
              </w:rPr>
              <w:t xml:space="preserve">Total Projected 2019 Expansion Capital Expenditures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1,350</w:t>
            </w: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680" w:hanging="652"/>
        <w:spacing w:after="0" w:line="216"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Amounts reflect our expectation that certain projects will be owned in a joint venture structure with a proportionate share of the project cost dispersed among the partners.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an overview of our consolidated financial results calculated in accordance with GAAP (in millions, except per unit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14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5"/>
                <w:szCs w:val="25"/>
                <w:color w:val="auto"/>
                <w:vertAlign w:val="superscript"/>
              </w:rPr>
              <w:t>(1)</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59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5"/>
                <w:szCs w:val="25"/>
                <w:color w:val="auto"/>
                <w:vertAlign w:val="superscript"/>
              </w:rPr>
              <w:t>(1)</w:t>
            </w:r>
          </w:p>
        </w:tc>
        <w:tc>
          <w:tcPr>
            <w:tcW w:w="78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5"/>
                <w:szCs w:val="25"/>
                <w:color w:val="auto"/>
                <w:vertAlign w:val="superscript"/>
              </w:rPr>
              <w:t>(1)</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unconsolidated entities</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Segment Adjusted EBITDA</w:t>
            </w:r>
          </w:p>
        </w:tc>
        <w:tc>
          <w:tcPr>
            <w:tcW w:w="7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Gains/(losses) on asset sales and asset impairments, net</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investment in unconsolidated entities</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(101)</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unit</w:t>
            </w: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Diluted net income per common unit</w:t>
            </w: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w w:val="96"/>
              </w:rPr>
              <w:t>1.20</w:t>
            </w:r>
          </w:p>
        </w:tc>
        <w:tc>
          <w:tcPr>
            <w:tcW w:w="120" w:type="dxa"/>
            <w:vAlign w:val="bottom"/>
          </w:tcPr>
          <w:p>
            <w:pPr>
              <w:spacing w:after="0"/>
              <w:rPr>
                <w:sz w:val="21"/>
                <w:szCs w:val="21"/>
                <w:color w:val="auto"/>
              </w:rPr>
            </w:pP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0.33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7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4955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6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140" w:hanging="652"/>
        <w:spacing w:after="0" w:line="257" w:lineRule="auto"/>
        <w:tabs>
          <w:tab w:leader="none" w:pos="66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14 to our Condensed Consolidated Financial Statements for additional discussion of such adjustments.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by unconsolidated entities), gains and losses on asset sales and asset impairments and gains on investments in unconsolidated entities, adjusted for certain selected items impacting comparability (“Adjusted EBITDA”) and implied distributable cash flow (“DCF”).</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these non-GAAP financial performance measures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14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7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(Gains)/losses on asset sales and asset impairments, net</w:t>
            </w:r>
          </w:p>
        </w:tc>
        <w:tc>
          <w:tcPr>
            <w:tcW w:w="7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on investment in unconsolidated entities</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59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780" w:type="dxa"/>
            <w:vAlign w:val="bottom"/>
          </w:tcPr>
          <w:p>
            <w:pPr>
              <w:spacing w:after="0"/>
              <w:rPr>
                <w:sz w:val="23"/>
                <w:szCs w:val="23"/>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360"/>
              <w:spacing w:after="0" w:line="270" w:lineRule="exact"/>
              <w:rPr>
                <w:sz w:val="20"/>
                <w:szCs w:val="20"/>
                <w:color w:val="auto"/>
              </w:rPr>
            </w:pPr>
            <w:r>
              <w:rPr>
                <w:rFonts w:ascii="Arial" w:cs="Arial" w:eastAsia="Arial" w:hAnsi="Arial"/>
                <w:sz w:val="18"/>
                <w:szCs w:val="18"/>
                <w:color w:val="auto"/>
                <w:w w:val="95"/>
              </w:rPr>
              <w:t xml:space="preserve">Gains from derivative activities, net of inventory valuation adjustments </w:t>
            </w:r>
            <w:r>
              <w:rPr>
                <w:rFonts w:ascii="Arial" w:cs="Arial" w:eastAsia="Arial" w:hAnsi="Arial"/>
                <w:sz w:val="25"/>
                <w:szCs w:val="25"/>
                <w:color w:val="auto"/>
                <w:w w:val="95"/>
                <w:vertAlign w:val="superscript"/>
              </w:rPr>
              <w:t>(2)</w:t>
            </w:r>
          </w:p>
        </w:tc>
        <w:tc>
          <w:tcPr>
            <w:tcW w:w="7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6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7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Net loss on foreign currency revaluation </w:t>
            </w:r>
            <w:r>
              <w:rPr>
                <w:rFonts w:ascii="Arial" w:cs="Arial" w:eastAsia="Arial" w:hAnsi="Arial"/>
                <w:sz w:val="25"/>
                <w:szCs w:val="25"/>
                <w:color w:val="auto"/>
                <w:vertAlign w:val="superscript"/>
              </w:rPr>
              <w:t>(6)</w:t>
            </w:r>
          </w:p>
        </w:tc>
        <w:tc>
          <w:tcPr>
            <w:tcW w:w="7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Segment Adjusted EBITDA</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6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5"/>
                <w:szCs w:val="25"/>
                <w:color w:val="auto"/>
                <w:vertAlign w:val="superscript"/>
              </w:rPr>
              <w:t>(2)</w:t>
            </w:r>
          </w:p>
        </w:tc>
        <w:tc>
          <w:tcPr>
            <w:tcW w:w="7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5"/>
                <w:szCs w:val="25"/>
                <w:color w:val="auto"/>
                <w:vertAlign w:val="superscript"/>
              </w:rPr>
              <w:t>(6)</w:t>
            </w: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6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Adjusted</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(7)</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(118)</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9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(7)</w:t>
            </w:r>
          </w:p>
        </w:tc>
        <w:tc>
          <w:tcPr>
            <w:tcW w:w="78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960" w:type="dxa"/>
            <w:vAlign w:val="bottom"/>
          </w:tcPr>
          <w:p>
            <w:pPr>
              <w:ind w:left="200"/>
              <w:spacing w:after="0" w:line="251"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(8)</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(9)</w:t>
            </w: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Current income tax expense</w:t>
            </w: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w w:val="96"/>
              </w:rPr>
              <w:t xml:space="preserve">Adjusted equity earnings in unconsolidated entities, net of distributions </w:t>
            </w:r>
            <w:r>
              <w:rPr>
                <w:rFonts w:ascii="Arial" w:cs="Arial" w:eastAsia="Arial" w:hAnsi="Arial"/>
                <w:sz w:val="25"/>
                <w:szCs w:val="25"/>
                <w:color w:val="auto"/>
                <w:w w:val="96"/>
                <w:vertAlign w:val="superscript"/>
              </w:rPr>
              <w:t>(10)</w:t>
            </w: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Implied DCF</w:t>
            </w:r>
          </w:p>
        </w:tc>
        <w:tc>
          <w:tcPr>
            <w:tcW w:w="780" w:type="dxa"/>
            <w:vAlign w:val="bottom"/>
          </w:tcPr>
          <w:p>
            <w:pPr>
              <w:jc w:val="right"/>
              <w:ind w:right="575"/>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0"/>
                <w:szCs w:val="20"/>
                <w:color w:val="auto"/>
              </w:rPr>
            </w:pPr>
          </w:p>
        </w:tc>
        <w:tc>
          <w:tcPr>
            <w:tcW w:w="780" w:type="dxa"/>
            <w:vAlign w:val="bottom"/>
          </w:tcPr>
          <w:p>
            <w:pPr>
              <w:jc w:val="right"/>
              <w:ind w:right="57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5"/>
                <w:szCs w:val="25"/>
                <w:color w:val="auto"/>
                <w:vertAlign w:val="superscript"/>
              </w:rPr>
              <w:t>(11)</w:t>
            </w: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5960" w:type="dxa"/>
            <w:vAlign w:val="bottom"/>
          </w:tcPr>
          <w:p>
            <w:pPr>
              <w:ind w:left="40"/>
              <w:spacing w:after="0"/>
              <w:rPr>
                <w:sz w:val="20"/>
                <w:szCs w:val="20"/>
                <w:color w:val="auto"/>
              </w:rPr>
            </w:pPr>
            <w:r>
              <w:rPr>
                <w:rFonts w:ascii="Arial" w:cs="Arial" w:eastAsia="Arial" w:hAnsi="Arial"/>
                <w:sz w:val="18"/>
                <w:szCs w:val="18"/>
                <w:color w:val="auto"/>
              </w:rPr>
              <w:t>Implied DCF Available to Common Unitholders</w:t>
            </w:r>
          </w:p>
        </w:tc>
        <w:tc>
          <w:tcPr>
            <w:tcW w:w="780" w:type="dxa"/>
            <w:vAlign w:val="bottom"/>
          </w:tcPr>
          <w:p>
            <w:pPr>
              <w:jc w:val="right"/>
              <w:ind w:right="575"/>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4"/>
                <w:szCs w:val="24"/>
                <w:color w:val="auto"/>
              </w:rPr>
            </w:pPr>
          </w:p>
        </w:tc>
        <w:tc>
          <w:tcPr>
            <w:tcW w:w="780" w:type="dxa"/>
            <w:vAlign w:val="bottom"/>
          </w:tcPr>
          <w:p>
            <w:pPr>
              <w:jc w:val="right"/>
              <w:ind w:right="57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443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57"/>
        </w:trPr>
        <w:tc>
          <w:tcPr>
            <w:tcW w:w="5960" w:type="dxa"/>
            <w:vAlign w:val="bottom"/>
            <w:tcBorders>
              <w:top w:val="single" w:sz="8" w:color="CCEEFF"/>
            </w:tcBorders>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5"/>
                <w:szCs w:val="25"/>
                <w:color w:val="auto"/>
                <w:vertAlign w:val="superscript"/>
              </w:rPr>
              <w:t>(12)</w:t>
            </w:r>
          </w:p>
        </w:tc>
        <w:tc>
          <w:tcPr>
            <w:tcW w:w="780" w:type="dxa"/>
            <w:vAlign w:val="bottom"/>
            <w:tcBorders>
              <w:top w:val="single" w:sz="8" w:color="auto"/>
              <w:bottom w:val="single" w:sz="8" w:color="auto"/>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(218)</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(218)</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Implied DCF Excess/(Shortage) </w:t>
            </w:r>
            <w:r>
              <w:rPr>
                <w:rFonts w:ascii="Arial" w:cs="Arial" w:eastAsia="Arial" w:hAnsi="Arial"/>
                <w:sz w:val="25"/>
                <w:szCs w:val="25"/>
                <w:color w:val="auto"/>
                <w:vertAlign w:val="superscript"/>
              </w:rPr>
              <w:t>(13)</w:t>
            </w:r>
          </w:p>
        </w:tc>
        <w:tc>
          <w:tcPr>
            <w:tcW w:w="78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40" w:hanging="652"/>
        <w:spacing w:after="0" w:line="223"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strategic pipeline joint ventures, which are accounted for under the equity method of accounting. We exclude our proportionate share of the depreciation and amortization expense and gains and losses on significant asset sales by such unconsolidated entities when reviewing Adjusted EBITDA, similar to our consolidated assets.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20" w:hanging="652"/>
        <w:spacing w:after="0" w:line="257" w:lineRule="auto"/>
        <w:tabs>
          <w:tab w:leader="none" w:pos="66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10 to our Condensed Consolidated Financial Statements for a comprehensive discussion regarding our derivatives and risk management activities and our Preferred Distribution Rate Reset Option.</w:t>
      </w:r>
    </w:p>
    <w:p>
      <w:pPr>
        <w:spacing w:after="0" w:line="82" w:lineRule="exact"/>
        <w:rPr>
          <w:rFonts w:ascii="Arial" w:cs="Arial" w:eastAsia="Arial" w:hAnsi="Arial"/>
          <w:sz w:val="24"/>
          <w:szCs w:val="24"/>
          <w:color w:val="auto"/>
          <w:vertAlign w:val="superscript"/>
        </w:rPr>
      </w:pPr>
    </w:p>
    <w:p>
      <w:pPr>
        <w:ind w:left="660" w:hanging="652"/>
        <w:spacing w:after="0" w:line="273" w:lineRule="auto"/>
        <w:tabs>
          <w:tab w:leader="none" w:pos="66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2018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right="20" w:hanging="652"/>
        <w:spacing w:after="0" w:line="274" w:lineRule="auto"/>
        <w:tabs>
          <w:tab w:leader="none" w:pos="66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17 to our Consolidated Financial Statements included in Part IV of our 2018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360" w:hanging="652"/>
        <w:spacing w:after="0" w:line="238" w:lineRule="auto"/>
        <w:tabs>
          <w:tab w:leader="none" w:pos="66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94" w:lineRule="exact"/>
        <w:rPr>
          <w:rFonts w:ascii="Arial" w:cs="Arial" w:eastAsia="Arial" w:hAnsi="Arial"/>
          <w:sz w:val="24"/>
          <w:szCs w:val="24"/>
          <w:color w:val="auto"/>
          <w:vertAlign w:val="superscript"/>
        </w:rPr>
      </w:pPr>
    </w:p>
    <w:p>
      <w:pPr>
        <w:ind w:left="660" w:right="620" w:hanging="652"/>
        <w:spacing w:after="0" w:line="252" w:lineRule="auto"/>
        <w:tabs>
          <w:tab w:leader="none" w:pos="66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35"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8" w:lineRule="exact"/>
        <w:rPr>
          <w:rFonts w:ascii="Arial" w:cs="Arial" w:eastAsia="Arial" w:hAnsi="Arial"/>
          <w:sz w:val="24"/>
          <w:szCs w:val="24"/>
          <w:color w:val="auto"/>
          <w:vertAlign w:val="superscript"/>
        </w:rPr>
      </w:pPr>
    </w:p>
    <w:p>
      <w:pPr>
        <w:ind w:left="660" w:right="20" w:hanging="652"/>
        <w:spacing w:after="0" w:line="214"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80" w:hanging="652"/>
        <w:spacing w:after="0" w:line="216"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spacing w:after="0" w:line="95" w:lineRule="exact"/>
        <w:rPr>
          <w:rFonts w:ascii="Arial" w:cs="Arial" w:eastAsia="Arial" w:hAnsi="Arial"/>
          <w:sz w:val="25"/>
          <w:szCs w:val="25"/>
          <w:color w:val="auto"/>
          <w:vertAlign w:val="superscript"/>
        </w:rPr>
      </w:pPr>
    </w:p>
    <w:p>
      <w:pPr>
        <w:ind w:left="660" w:right="100" w:hanging="652"/>
        <w:spacing w:after="0" w:line="237"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were paid in cash beginning with the May 2018 quarterly distribution. The current $61.25 per unit annual distribution requirement of our Series B preferred units, which were issued in October 2017, is payable semi-annually in arrears on May 15 and November 15. See Note 12 to our Consolidated Financial Statements included in Part IV of our 2018 Annual Report on Form 10-K for additional information regarding our preferred units.</w:t>
      </w:r>
    </w:p>
    <w:p>
      <w:pPr>
        <w:spacing w:after="0" w:line="41"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Cash distributions paid during the period presented.</w:t>
      </w:r>
    </w:p>
    <w:p>
      <w:pPr>
        <w:spacing w:after="0" w:line="98" w:lineRule="exact"/>
        <w:rPr>
          <w:rFonts w:ascii="Arial" w:cs="Arial" w:eastAsia="Arial" w:hAnsi="Arial"/>
          <w:sz w:val="25"/>
          <w:szCs w:val="25"/>
          <w:color w:val="auto"/>
          <w:vertAlign w:val="superscript"/>
        </w:rPr>
      </w:pPr>
    </w:p>
    <w:p>
      <w:pPr>
        <w:ind w:left="660" w:right="340" w:hanging="652"/>
        <w:spacing w:after="0" w:line="246" w:lineRule="auto"/>
        <w:tabs>
          <w:tab w:leader="none" w:pos="66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Excess DCF is retained to establish reserves for future distributions, capital expenditures and other partnership purposes. DCF shortages may be funded from previously established reserves, cash on hand or from borrowings under our credit facilities or commercial paper program.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and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14 to our Condensed Consolidated Financial Statements for a reconciliation of Segment Adjusted EBITDA to net income.</w:t>
      </w:r>
    </w:p>
    <w:p>
      <w:pPr>
        <w:spacing w:after="0" w:line="7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300" w:type="dxa"/>
            <w:vAlign w:val="bottom"/>
          </w:tcPr>
          <w:p>
            <w:pPr>
              <w:spacing w:after="0"/>
              <w:rPr>
                <w:sz w:val="14"/>
                <w:szCs w:val="14"/>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6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59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84"/>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 of unconsolidated entities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Gains from derivative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 commitments,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67"/>
        </w:trPr>
        <w:tc>
          <w:tcPr>
            <w:tcW w:w="58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Segment Adjusted EBITDA per barrel</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gridSpan w:val="2"/>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300" w:type="dxa"/>
            <w:vAlign w:val="bottom"/>
          </w:tcPr>
          <w:p>
            <w:pPr>
              <w:spacing w:after="0"/>
              <w:rPr>
                <w:sz w:val="23"/>
                <w:szCs w:val="23"/>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23"/>
                <w:szCs w:val="23"/>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96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4,268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0"/>
        </w:trPr>
        <w:tc>
          <w:tcPr>
            <w:tcW w:w="59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3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6,201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6,411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6,504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60" w:hanging="652"/>
        <w:spacing w:after="0" w:line="252" w:lineRule="auto"/>
        <w:tabs>
          <w:tab w:leader="none" w:pos="66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600" w:firstLine="693"/>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20" w:type="dxa"/>
            <w:vAlign w:val="bottom"/>
            <w:gridSpan w:val="7"/>
          </w:tcPr>
          <w:p>
            <w:pPr>
              <w:jc w:val="center"/>
              <w:ind w:right="95"/>
              <w:spacing w:after="0"/>
              <w:rPr>
                <w:sz w:val="20"/>
                <w:szCs w:val="20"/>
                <w:color w:val="auto"/>
              </w:rPr>
            </w:pPr>
            <w:r>
              <w:rPr>
                <w:rFonts w:ascii="Arial" w:cs="Arial" w:eastAsia="Arial" w:hAnsi="Arial"/>
                <w:sz w:val="14"/>
                <w:szCs w:val="14"/>
                <w:b w:val="1"/>
                <w:bCs w:val="1"/>
                <w:color w:val="auto"/>
                <w:w w:val="95"/>
              </w:rPr>
              <w:t>Favorable/(Unfavorable) Variance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20" w:type="dxa"/>
            <w:vAlign w:val="bottom"/>
            <w:gridSpan w:val="6"/>
          </w:tcPr>
          <w:p>
            <w:pPr>
              <w:jc w:val="center"/>
              <w:ind w:left="637"/>
              <w:spacing w:after="0" w:line="149" w:lineRule="exact"/>
              <w:rPr>
                <w:sz w:val="20"/>
                <w:szCs w:val="20"/>
                <w:color w:val="auto"/>
              </w:rPr>
            </w:pPr>
            <w:r>
              <w:rPr>
                <w:rFonts w:ascii="Arial" w:cs="Arial" w:eastAsia="Arial" w:hAnsi="Arial"/>
                <w:sz w:val="14"/>
                <w:szCs w:val="14"/>
                <w:b w:val="1"/>
                <w:bCs w:val="1"/>
                <w:color w:val="auto"/>
                <w:w w:val="94"/>
              </w:rPr>
              <w:t>Three Months Ended March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5"/>
              </w:rPr>
              <w:t>2019-2018</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w w:val="99"/>
              </w:rPr>
              <w:t>Revenues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Purchases and</w:t>
            </w:r>
          </w:p>
        </w:tc>
        <w:tc>
          <w:tcPr>
            <w:tcW w:w="300" w:type="dxa"/>
            <w:vAlign w:val="bottom"/>
          </w:tcPr>
          <w:p>
            <w:pPr>
              <w:spacing w:after="0"/>
              <w:rPr>
                <w:sz w:val="13"/>
                <w:szCs w:val="13"/>
                <w:color w:val="auto"/>
              </w:rPr>
            </w:pPr>
          </w:p>
        </w:tc>
        <w:tc>
          <w:tcPr>
            <w:tcW w:w="90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Related Costs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20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Other regions, trucking and pipeline loss allowance revenue</w:t>
            </w:r>
          </w:p>
        </w:tc>
        <w:tc>
          <w:tcPr>
            <w:tcW w:w="20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variance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180" w:hanging="324"/>
        <w:spacing w:after="0" w:line="25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The increase in revenues, net of purchases and related costs, of approximately $64 million was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from increased production and our recently completed capital expansion projects. These increases included (i) higher volumes on our gathering systems of approximately 301,000 barrels per day, (ii) higher volumes of approximately 510,000 barrels per day on our intra-basin pipelines and (iii) a volume increase of approximately 217,000 on our long-haul pipelines, including our Sunrise II pipeline, which was placed in service in the fourth quarter of 2018.</w:t>
      </w:r>
    </w:p>
    <w:p>
      <w:pPr>
        <w:spacing w:after="0" w:line="188" w:lineRule="exact"/>
        <w:rPr>
          <w:rFonts w:ascii="Arial" w:cs="Arial" w:eastAsia="Arial" w:hAnsi="Arial"/>
          <w:sz w:val="18"/>
          <w:szCs w:val="18"/>
          <w:color w:val="auto"/>
        </w:rPr>
      </w:pPr>
    </w:p>
    <w:p>
      <w:pPr>
        <w:ind w:left="980" w:right="400"/>
        <w:spacing w:after="0" w:line="277" w:lineRule="auto"/>
        <w:rPr>
          <w:rFonts w:ascii="Arial" w:cs="Arial" w:eastAsia="Arial" w:hAnsi="Arial"/>
          <w:sz w:val="18"/>
          <w:szCs w:val="18"/>
          <w:color w:val="auto"/>
        </w:rPr>
      </w:pPr>
      <w:r>
        <w:rPr>
          <w:rFonts w:ascii="Arial" w:cs="Arial" w:eastAsia="Arial" w:hAnsi="Arial"/>
          <w:sz w:val="18"/>
          <w:szCs w:val="18"/>
          <w:color w:val="auto"/>
        </w:rPr>
        <w:t>The decrease in equity earnings was primarily due to the sale of a 30% interest in BridgeTex Pipeline Company, LLC in the third quarter of 2018.</w:t>
      </w:r>
    </w:p>
    <w:p>
      <w:pPr>
        <w:spacing w:after="0" w:line="170" w:lineRule="exact"/>
        <w:rPr>
          <w:rFonts w:ascii="Arial" w:cs="Arial" w:eastAsia="Arial" w:hAnsi="Arial"/>
          <w:sz w:val="18"/>
          <w:szCs w:val="18"/>
          <w:color w:val="auto"/>
        </w:rPr>
      </w:pPr>
    </w:p>
    <w:p>
      <w:pPr>
        <w:ind w:left="980" w:right="160" w:hanging="324"/>
        <w:spacing w:after="0" w:line="308" w:lineRule="auto"/>
        <w:tabs>
          <w:tab w:leader="none" w:pos="980"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South Texas / Eagle Ford region. </w:t>
      </w:r>
      <w:r>
        <w:rPr>
          <w:rFonts w:ascii="Arial" w:cs="Arial" w:eastAsia="Arial" w:hAnsi="Arial"/>
          <w:sz w:val="17"/>
          <w:szCs w:val="17"/>
          <w:color w:val="auto"/>
        </w:rPr>
        <w:t>The increase in equity earnings was from our 50% interest in Eagle Ford Pipeline LLC due to the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of revenue associated with deficiencies under minimum volume commitments and higher volumes from our Cactus pipeline.</w:t>
      </w:r>
    </w:p>
    <w:p>
      <w:pPr>
        <w:spacing w:after="0" w:line="146" w:lineRule="exact"/>
        <w:rPr>
          <w:rFonts w:ascii="Arial" w:cs="Arial" w:eastAsia="Arial" w:hAnsi="Arial"/>
          <w:sz w:val="17"/>
          <w:szCs w:val="17"/>
          <w:i w:val="1"/>
          <w:iCs w:val="1"/>
          <w:color w:val="auto"/>
        </w:rPr>
      </w:pPr>
    </w:p>
    <w:p>
      <w:pPr>
        <w:ind w:left="980" w:right="42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increase in revenues was primarily due to the recognition of previously deferred revenue, as well as higher volumes on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pipelines in the Central region.</w:t>
      </w:r>
    </w:p>
    <w:p>
      <w:pPr>
        <w:spacing w:after="0" w:line="170" w:lineRule="exact"/>
        <w:rPr>
          <w:rFonts w:ascii="Arial" w:cs="Arial" w:eastAsia="Arial" w:hAnsi="Arial"/>
          <w:sz w:val="18"/>
          <w:szCs w:val="18"/>
          <w:color w:val="auto"/>
        </w:rPr>
      </w:pPr>
    </w:p>
    <w:p>
      <w:pPr>
        <w:ind w:left="980" w:right="220"/>
        <w:spacing w:after="0" w:line="277" w:lineRule="auto"/>
        <w:rPr>
          <w:rFonts w:ascii="Arial" w:cs="Arial" w:eastAsia="Arial" w:hAnsi="Arial"/>
          <w:sz w:val="18"/>
          <w:szCs w:val="18"/>
          <w:color w:val="auto"/>
        </w:rPr>
      </w:pPr>
      <w:r>
        <w:rPr>
          <w:rFonts w:ascii="Arial" w:cs="Arial" w:eastAsia="Arial" w:hAnsi="Arial"/>
          <w:sz w:val="18"/>
          <w:szCs w:val="18"/>
          <w:color w:val="auto"/>
        </w:rPr>
        <w:t>The increase in equity earnings was primarily from our 50% interest in Midway Pipeline LLC and our 50% interest in Diamond Pipeline LLC due to higher volumes related to increased refinery demand.</w:t>
      </w:r>
    </w:p>
    <w:p>
      <w:pPr>
        <w:spacing w:after="0" w:line="170" w:lineRule="exact"/>
        <w:rPr>
          <w:rFonts w:ascii="Arial" w:cs="Arial" w:eastAsia="Arial" w:hAnsi="Arial"/>
          <w:sz w:val="18"/>
          <w:szCs w:val="18"/>
          <w:color w:val="auto"/>
        </w:rPr>
      </w:pPr>
    </w:p>
    <w:p>
      <w:pPr>
        <w:ind w:left="980" w:hanging="324"/>
        <w:spacing w:after="0" w:line="297"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Other regions, trucking and pipeline loss allowance revenue. </w:t>
      </w:r>
      <w:r>
        <w:rPr>
          <w:rFonts w:ascii="Arial" w:cs="Arial" w:eastAsia="Arial" w:hAnsi="Arial"/>
          <w:sz w:val="16"/>
          <w:szCs w:val="16"/>
          <w:color w:val="auto"/>
        </w:rPr>
        <w:t>The increase in other net revenues was primarily due to (i) greater loss allowance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driven by higher volumes and prices in the 2019 period and (ii) higher tariffs on certain of our Canadian pipelines, partially offset by the sale of certain of our assets in the Rocky Mountain region in the second quarter of 2018. The decrease in volumes in the Gulf Coast region were associated with (i) a lower tariff pipeline, which did not result in a significant impact on revenue and (ii) the Capline pipeline being taken out of service in the fourth quarter of 2018. We are currently pursuing an opportunity to reverse the flow of the Capline pipeline.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Adjustments: Deficiencies under minimum volume commitments, net</w:t>
      </w:r>
      <w:r>
        <w:rPr>
          <w:rFonts w:ascii="Arial" w:cs="Arial" w:eastAsia="Arial" w:hAnsi="Arial"/>
          <w:sz w:val="18"/>
          <w:szCs w:val="18"/>
          <w:color w:val="auto"/>
        </w:rPr>
        <w:t>. Many industry infrastructure projects developed and completed over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2"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For the three months ended March 31, 2019, the recognition of previously deferred revenue exceeded amounts billed to counterparties associated with deficiencies under minimum volume commitments. For the three months ended March 31, 2018, amounts billed to counterparties exceeded revenue recognized during the period that was previously deferred.</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months ended March 31, 2019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was primarily due to (i) an increase in power related costs, primarily from temporary sources, resulting from higher volumes, (ii) an increase in property taxes related to new assets placed in service and (iii) increases in performance- and equity-based compensation costs. Overall increases in field operating costs also resulted from expansion projects placed in service since March 31, 2018, including our Sunrise II pipeline expansion within the Permian Basin region, which was placed in service in late 2018.</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3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84"/>
        </w:trPr>
        <w:tc>
          <w:tcPr>
            <w:tcW w:w="49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200"/>
              <w:spacing w:after="0"/>
              <w:rPr>
                <w:sz w:val="20"/>
                <w:szCs w:val="20"/>
                <w:color w:val="auto"/>
              </w:rPr>
            </w:pPr>
            <w:r>
              <w:rPr>
                <w:rFonts w:ascii="Arial" w:cs="Arial" w:eastAsia="Arial" w:hAnsi="Arial"/>
                <w:sz w:val="18"/>
                <w:szCs w:val="18"/>
                <w:color w:val="auto"/>
              </w:rPr>
              <w:t>Deficiencies under minimum volume commitments, net</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Adjusted EBITDA</w:t>
            </w:r>
          </w:p>
        </w:tc>
        <w:tc>
          <w:tcPr>
            <w:tcW w:w="1040" w:type="dxa"/>
            <w:vAlign w:val="bottom"/>
            <w:tcBorders>
              <w:bottom w:val="single" w:sz="8" w:color="CCEEFF"/>
            </w:tcBorders>
            <w:gridSpan w:val="2"/>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1"/>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04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8"/>
                <w:szCs w:val="18"/>
                <w:color w:val="auto"/>
              </w:rPr>
              <w:t>Segment Adjusted EBITDA per barrel</w:t>
            </w:r>
          </w:p>
        </w:tc>
        <w:tc>
          <w:tcPr>
            <w:tcW w:w="13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1820" w:type="dxa"/>
            <w:vAlign w:val="bottom"/>
            <w:gridSpan w:val="3"/>
            <w:vMerge w:val="restart"/>
          </w:tcPr>
          <w:p>
            <w:pPr>
              <w:ind w:left="110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98"/>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Liquids storage (average monthly capacity in millions of barrels)</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w w:val="94"/>
              </w:rPr>
              <w:t>Natural gas storage (average monthly working capacity in billions of cubic feet)</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60" w:type="dxa"/>
            <w:vAlign w:val="bottom"/>
            <w:gridSpan w:val="2"/>
            <w:vMerge w:val="continue"/>
          </w:tcPr>
          <w:p>
            <w:pPr>
              <w:spacing w:after="0"/>
              <w:rPr>
                <w:sz w:val="16"/>
                <w:szCs w:val="16"/>
                <w:color w:val="auto"/>
              </w:rPr>
            </w:pPr>
          </w:p>
        </w:tc>
        <w:tc>
          <w:tcPr>
            <w:tcW w:w="1240" w:type="dxa"/>
            <w:vAlign w:val="bottom"/>
            <w:vMerge w:val="restart"/>
          </w:tcPr>
          <w:p>
            <w:pPr>
              <w:jc w:val="right"/>
              <w:ind w:right="18"/>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40"/>
              <w:spacing w:after="0"/>
              <w:rPr>
                <w:sz w:val="20"/>
                <w:szCs w:val="20"/>
                <w:color w:val="auto"/>
              </w:rPr>
            </w:pPr>
            <w:r>
              <w:rPr>
                <w:rFonts w:ascii="Arial" w:cs="Arial" w:eastAsia="Arial" w:hAnsi="Arial"/>
                <w:sz w:val="18"/>
                <w:szCs w:val="18"/>
                <w:color w:val="auto"/>
              </w:rPr>
              <w:t>Facilities segment total volumes (average monthly volumes in millions of</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60" w:type="dxa"/>
            <w:vAlign w:val="bottom"/>
            <w:gridSpan w:val="2"/>
            <w:vMerge w:val="continue"/>
          </w:tcPr>
          <w:p>
            <w:pPr>
              <w:spacing w:after="0"/>
              <w:rPr>
                <w:sz w:val="16"/>
                <w:szCs w:val="16"/>
                <w:color w:val="auto"/>
              </w:rPr>
            </w:pPr>
          </w:p>
        </w:tc>
        <w:tc>
          <w:tcPr>
            <w:tcW w:w="1240" w:type="dxa"/>
            <w:vAlign w:val="bottom"/>
            <w:vMerge w:val="restart"/>
          </w:tcPr>
          <w:p>
            <w:pPr>
              <w:jc w:val="right"/>
              <w:ind w:right="18"/>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6"/>
                <w:szCs w:val="16"/>
                <w:color w:val="auto"/>
              </w:rPr>
            </w:pPr>
          </w:p>
        </w:tc>
        <w:tc>
          <w:tcPr>
            <w:tcW w:w="1820" w:type="dxa"/>
            <w:vAlign w:val="bottom"/>
            <w:gridSpan w:val="3"/>
            <w:vMerge w:val="restart"/>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4"/>
        </w:trPr>
        <w:tc>
          <w:tcPr>
            <w:tcW w:w="5960" w:type="dxa"/>
            <w:vAlign w:val="bottom"/>
            <w:gridSpan w:val="2"/>
          </w:tcPr>
          <w:p>
            <w:pPr>
              <w:ind w:left="200"/>
              <w:spacing w:after="0" w:line="244"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5"/>
                <w:szCs w:val="25"/>
                <w:color w:val="auto"/>
                <w:vertAlign w:val="superscript"/>
              </w:rPr>
              <w:t>(6)</w:t>
            </w:r>
          </w:p>
        </w:tc>
        <w:tc>
          <w:tcPr>
            <w:tcW w:w="12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3"/>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right="260" w:hanging="652"/>
        <w:spacing w:after="0" w:line="214"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was driven by adjustments for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360" w:hanging="652"/>
        <w:spacing w:after="0" w:line="262" w:lineRule="auto"/>
        <w:tabs>
          <w:tab w:leader="none" w:pos="66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The following summarizes the significant drivers of variances in revenues, purchases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costs and average monthly volumes for the comparative periods:</w:t>
      </w:r>
    </w:p>
    <w:p>
      <w:pPr>
        <w:spacing w:after="0" w:line="170" w:lineRule="exact"/>
        <w:rPr>
          <w:sz w:val="20"/>
          <w:szCs w:val="20"/>
          <w:color w:val="auto"/>
        </w:rPr>
      </w:pPr>
    </w:p>
    <w:p>
      <w:pPr>
        <w:ind w:left="980" w:right="24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increased by $7 million for the three months ended March 31, 2019 compared to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due to increased activity at certain of our terminals, primarily our Cushing terminal.</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increased by $6 million for the three months ended March 31, 2019 compared to the same period in 2018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activity at certain of our rail terminals resulting from more favorable market conditions.</w:t>
      </w:r>
    </w:p>
    <w:p>
      <w:pPr>
        <w:spacing w:after="0" w:line="170" w:lineRule="exact"/>
        <w:rPr>
          <w:rFonts w:ascii="Arial" w:cs="Arial" w:eastAsia="Arial" w:hAnsi="Arial"/>
          <w:sz w:val="18"/>
          <w:szCs w:val="18"/>
          <w:color w:val="auto"/>
        </w:rPr>
      </w:pPr>
    </w:p>
    <w:p>
      <w:pPr>
        <w:ind w:left="980" w:right="40" w:hanging="324"/>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Natural Gas Storage. </w:t>
      </w:r>
      <w:r>
        <w:rPr>
          <w:rFonts w:ascii="Arial" w:cs="Arial" w:eastAsia="Arial" w:hAnsi="Arial"/>
          <w:sz w:val="16"/>
          <w:szCs w:val="16"/>
          <w:color w:val="auto"/>
        </w:rPr>
        <w:t>Revenues, net of purchases and related costs, increased by $4 million for the three months ended March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March 31, 2018 due to expiring contracts replaced by contracts with higher rates at our Pine Prairie facility.</w:t>
      </w:r>
    </w:p>
    <w:p>
      <w:pPr>
        <w:spacing w:after="0" w:line="123" w:lineRule="exact"/>
        <w:rPr>
          <w:rFonts w:ascii="Arial" w:cs="Arial" w:eastAsia="Arial" w:hAnsi="Arial"/>
          <w:sz w:val="16"/>
          <w:szCs w:val="16"/>
          <w:color w:val="auto"/>
        </w:rPr>
      </w:pPr>
    </w:p>
    <w:p>
      <w:pPr>
        <w:ind w:left="98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decreased by $11 million for the three months ended March 31, 2019 compared to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primarily due to a net unfavorable foreign exchange impact of approximately $6 million and the sale of a natural gas processing facility in the second quarter of 2018.</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months ended March 31, 2019 compared to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was primarily related to increased rail activity and insurance costs.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and/or refurbishment of partially or fully depreciated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order to maintain the operating and/or earnings capacity of our existing assets. For the three months ended March 31, 2019 as compared to the three months ended March 31, 2018, maintenance capital spending increased primarily due to the impact of higher expenditures related to cavern maintenance at certain of our gas storage facilities.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and the allocation of our assets among our various risk management strategies and (iii) the effects of competition on our lease gathering and NGL margins. In addition, the execution of our risk management strategies in conjunction with our assets can provide upside in certain markets.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300" w:type="dxa"/>
            <w:vAlign w:val="bottom"/>
          </w:tcPr>
          <w:p>
            <w:pPr>
              <w:spacing w:after="0"/>
              <w:rPr>
                <w:sz w:val="14"/>
                <w:szCs w:val="14"/>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6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59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84"/>
        </w:trPr>
        <w:tc>
          <w:tcPr>
            <w:tcW w:w="5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 net of inventory valuation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 adjustments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Net loss on foreign currency revaluation</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Maintenance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1"/>
        </w:trPr>
        <w:tc>
          <w:tcPr>
            <w:tcW w:w="59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8"/>
                <w:szCs w:val="8"/>
                <w:b w:val="1"/>
                <w:bCs w:val="1"/>
                <w:color w:val="auto"/>
              </w:rPr>
              <w:t>(4)</w:t>
            </w:r>
          </w:p>
        </w:tc>
        <w:tc>
          <w:tcPr>
            <w:tcW w:w="300" w:type="dxa"/>
            <w:vAlign w:val="bottom"/>
          </w:tcPr>
          <w:p>
            <w:pPr>
              <w:spacing w:after="0"/>
              <w:rPr>
                <w:sz w:val="23"/>
                <w:szCs w:val="23"/>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23"/>
                <w:szCs w:val="23"/>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Variance</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96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 volumes</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240" w:hanging="652"/>
        <w:spacing w:after="0" w:line="246" w:lineRule="auto"/>
        <w:tabs>
          <w:tab w:leader="none" w:pos="66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640" w:hanging="652"/>
        <w:spacing w:after="0" w:line="216"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95" w:lineRule="exact"/>
        <w:rPr>
          <w:rFonts w:ascii="Arial" w:cs="Arial" w:eastAsia="Arial" w:hAnsi="Arial"/>
          <w:sz w:val="25"/>
          <w:szCs w:val="25"/>
          <w:color w:val="auto"/>
          <w:vertAlign w:val="superscript"/>
        </w:rPr>
      </w:pPr>
    </w:p>
    <w:p>
      <w:pPr>
        <w:ind w:left="660" w:right="2320" w:hanging="652"/>
        <w:spacing w:after="0" w:line="440" w:lineRule="auto"/>
        <w:tabs>
          <w:tab w:leader="none" w:pos="646"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spacing w:after="0" w:line="1"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High</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2019</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Three months ended March 31, 2018</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66</w:t>
            </w:r>
          </w:p>
        </w:tc>
      </w:tr>
    </w:tbl>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both our revenues and purchases decreased for the three months ended March 31, 2019 compared to the same period in 2018 primarily due to lower prices during the 2019 period. Additionally, net revenues were impacted by net gains and losses from certain derivative activities during the periods.</w:t>
      </w:r>
    </w:p>
    <w:p>
      <w:pPr>
        <w:spacing w:after="0" w:line="188"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for the comparative periods:</w:t>
      </w:r>
    </w:p>
    <w:p>
      <w:pPr>
        <w:spacing w:after="0" w:line="170" w:lineRule="exact"/>
        <w:rPr>
          <w:sz w:val="20"/>
          <w:szCs w:val="20"/>
          <w:color w:val="auto"/>
        </w:rPr>
      </w:pPr>
    </w:p>
    <w:p>
      <w:pPr>
        <w:ind w:left="980" w:right="300" w:hanging="324"/>
        <w:spacing w:after="0" w:line="308"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Crude Oil Operations. </w:t>
      </w:r>
      <w:r>
        <w:rPr>
          <w:rFonts w:ascii="Arial" w:cs="Arial" w:eastAsia="Arial" w:hAnsi="Arial"/>
          <w:sz w:val="17"/>
          <w:szCs w:val="17"/>
          <w:color w:val="auto"/>
        </w:rPr>
        <w:t>Net revenues from our crude oil supply and logistics operations increased for the three months ended March 31, 2019</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March 31, 2018 largely due to favorable grade differentials, primarily in the Permian Basin.</w:t>
      </w:r>
    </w:p>
    <w:p>
      <w:pPr>
        <w:spacing w:after="0" w:line="146" w:lineRule="exact"/>
        <w:rPr>
          <w:rFonts w:ascii="Arial" w:cs="Arial" w:eastAsia="Arial" w:hAnsi="Arial"/>
          <w:sz w:val="17"/>
          <w:szCs w:val="17"/>
          <w:color w:val="auto"/>
        </w:rPr>
      </w:pPr>
    </w:p>
    <w:p>
      <w:pPr>
        <w:jc w:val="both"/>
        <w:ind w:left="980" w:right="120" w:hanging="324"/>
        <w:spacing w:after="0" w:line="26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increased for the three months ended March 31, 2019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primarily due to the streamlining of our NGL activities by focusing on our equity supply from our gathering and processing facilities, and by reducing the volume of third party purchases.</w:t>
      </w:r>
    </w:p>
    <w:p>
      <w:pPr>
        <w:spacing w:after="0" w:line="181" w:lineRule="exact"/>
        <w:rPr>
          <w:rFonts w:ascii="Arial" w:cs="Arial" w:eastAsia="Arial" w:hAnsi="Arial"/>
          <w:sz w:val="18"/>
          <w:szCs w:val="18"/>
          <w:color w:val="auto"/>
        </w:rPr>
      </w:pPr>
    </w:p>
    <w:p>
      <w:pPr>
        <w:ind w:left="980" w:right="120" w:hanging="324"/>
        <w:spacing w:after="0" w:line="293" w:lineRule="auto"/>
        <w:tabs>
          <w:tab w:leader="none" w:pos="98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Impact from Certain Derivative Activities Net of Inventory Valuation Adjustments. </w:t>
      </w:r>
      <w:r>
        <w:rPr>
          <w:rFonts w:ascii="Arial" w:cs="Arial" w:eastAsia="Arial" w:hAnsi="Arial"/>
          <w:sz w:val="16"/>
          <w:szCs w:val="16"/>
          <w:color w:val="auto"/>
        </w:rPr>
        <w:t>The impact from certain derivative activities on our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64" w:lineRule="exact"/>
        <w:rPr>
          <w:rFonts w:ascii="Arial" w:cs="Arial" w:eastAsia="Arial" w:hAnsi="Arial"/>
          <w:sz w:val="16"/>
          <w:szCs w:val="16"/>
          <w:i w:val="1"/>
          <w:iCs w:val="1"/>
          <w:color w:val="auto"/>
        </w:rPr>
      </w:pPr>
    </w:p>
    <w:p>
      <w:pPr>
        <w:ind w:left="980" w:hanging="324"/>
        <w:spacing w:after="0" w:line="255"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right="40" w:hanging="324"/>
        <w:spacing w:after="0" w:line="26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Impacts. </w:t>
      </w:r>
      <w:r>
        <w:rPr>
          <w:rFonts w:ascii="Arial" w:cs="Arial" w:eastAsia="Arial" w:hAnsi="Arial"/>
          <w:sz w:val="18"/>
          <w:szCs w:val="18"/>
          <w:color w:val="auto"/>
        </w:rPr>
        <w:t>Our net revenues are impacted by fluctuations in the value of CAD to USD, resulting in foreign exchange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rFonts w:ascii="Arial" w:cs="Arial" w:eastAsia="Arial" w:hAnsi="Arial"/>
          <w:sz w:val="18"/>
          <w:szCs w:val="18"/>
          <w:color w:val="auto"/>
        </w:rPr>
      </w:pPr>
    </w:p>
    <w:p>
      <w:pPr>
        <w:ind w:left="980" w:right="300" w:hanging="324"/>
        <w:spacing w:after="0" w:line="264" w:lineRule="auto"/>
        <w:tabs>
          <w:tab w:leader="none" w:pos="98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months ended March 31, 2019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was primarily driven by an increase in trucking costs resulting from higher third-party hauled volumes, partially offset by a decrease in vehicle expense related to the adoption of the new lease accounting standard.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Depreciation and amortization expense increased for the three months ended March 31, 2019 compared to the three months ended March 31, 2018 largely driven by additional depreciation expense associated with the completion of various capital expansion projects.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Investment in Unconsolidated Entities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three months ended March 31, 2019, we recognized a non-cash gain of $267 million related to a fair value adjustment resulting from the accounting for the contribution of our undivided joint interest in the Capline pipeline system for an equity interest in Capline Pipeline Company LLC. See Note 7 to our Condensed Consolidated Financial Statements for additional information.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decrease in interest expense for the three months ended March 31, 2019 compared to the three months ended March 31, 2018 was primarily due to (i) a lower weighted average debt balance during the 2019 period from lower commercial paper and credit facility borrowings and (ii) higher capitalized interest in the 2019 period due to additional projects under construction.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70"/>
        </w:trPr>
        <w:tc>
          <w:tcPr>
            <w:tcW w:w="8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Gain/(loss) related to mark-to-market adjustment of our Preferred Distribution Rate Reset Option </w:t>
            </w:r>
            <w:r>
              <w:rPr>
                <w:rFonts w:ascii="Arial" w:cs="Arial" w:eastAsia="Arial" w:hAnsi="Arial"/>
                <w:sz w:val="25"/>
                <w:szCs w:val="25"/>
                <w:color w:val="auto"/>
                <w:vertAlign w:val="superscript"/>
              </w:rPr>
              <w:t>(1)</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
        </w:trPr>
        <w:tc>
          <w:tcPr>
            <w:tcW w:w="87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See Note 10 to our Condensed Consolidated Financial Statements for additional information.</w:t>
      </w:r>
    </w:p>
    <w:p>
      <w:pPr>
        <w:spacing w:after="0" w:line="30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Income tax expense decreased for the three months ended March 31, 2019 compared to the three months ended March 31, 2018 primarily due to lower year-over-year income as impacted by fluctuations in derivative mark-to market valuations in our Canadian operations, partially offset by higher taxable earnings in our Canadian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divestiture program, as further discussed below in the section entitled “—Capital Expenditures.” Our primary cash requirements include, but are not limited to,</w:t>
      </w:r>
    </w:p>
    <w:p>
      <w:pPr>
        <w:ind w:right="20" w:firstLine="8"/>
        <w:spacing w:after="0" w:line="252" w:lineRule="auto"/>
        <w:tabs>
          <w:tab w:leader="none" w:pos="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our long-term debt and (v) 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19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of March 31, 2019, we had a working capital surplus of $65 million and approximately $3.3 billion of liquidity available to meet our ongoing operating, investing and financing needs, subject to continued covenant compliance, as noted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635"/>
              <w:spacing w:after="0"/>
              <w:rPr>
                <w:sz w:val="20"/>
                <w:szCs w:val="20"/>
                <w:color w:val="auto"/>
              </w:rPr>
            </w:pPr>
            <w:r>
              <w:rPr>
                <w:rFonts w:ascii="Arial" w:cs="Arial" w:eastAsia="Arial" w:hAnsi="Arial"/>
                <w:sz w:val="14"/>
                <w:szCs w:val="14"/>
                <w:b w:val="1"/>
                <w:bCs w:val="1"/>
                <w:color w:val="auto"/>
              </w:rPr>
              <w:t>As of</w:t>
            </w:r>
          </w:p>
        </w:tc>
      </w:tr>
      <w:tr>
        <w:trPr>
          <w:trHeight w:val="192"/>
        </w:trPr>
        <w:tc>
          <w:tcPr>
            <w:tcW w:w="9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2019</w:t>
            </w:r>
          </w:p>
        </w:tc>
      </w:tr>
      <w:tr>
        <w:trPr>
          <w:trHeight w:val="270"/>
        </w:trPr>
        <w:tc>
          <w:tcPr>
            <w:tcW w:w="9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5"/>
                <w:szCs w:val="25"/>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1,462</w:t>
            </w:r>
          </w:p>
        </w:tc>
      </w:tr>
      <w:tr>
        <w:trPr>
          <w:trHeight w:val="270"/>
        </w:trPr>
        <w:tc>
          <w:tcPr>
            <w:tcW w:w="9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5"/>
                <w:szCs w:val="25"/>
                <w:color w:val="auto"/>
                <w:vertAlign w:val="superscript"/>
              </w:rPr>
              <w:t>(1) (2)</w:t>
            </w: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1,383</w:t>
            </w:r>
          </w:p>
        </w:tc>
      </w:tr>
      <w:tr>
        <w:trPr>
          <w:trHeight w:val="244"/>
        </w:trPr>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2,845</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436</w:t>
            </w:r>
          </w:p>
        </w:tc>
      </w:tr>
      <w:tr>
        <w:trPr>
          <w:trHeight w:val="27"/>
        </w:trPr>
        <w:tc>
          <w:tcPr>
            <w:tcW w:w="9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3,281</w:t>
            </w:r>
          </w:p>
        </w:tc>
      </w:tr>
      <w:tr>
        <w:trPr>
          <w:trHeight w:val="20"/>
        </w:trPr>
        <w:tc>
          <w:tcPr>
            <w:tcW w:w="9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320" w:hanging="652"/>
        <w:spacing w:after="0" w:line="216"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Amounts outstanding under our commercial paper program reduce available capacity under the facilities. There were no outstanding commercial paper borrowings at March 31, 2019.</w:t>
      </w:r>
    </w:p>
    <w:p>
      <w:pPr>
        <w:spacing w:after="0" w:line="95" w:lineRule="exact"/>
        <w:rPr>
          <w:rFonts w:ascii="Arial" w:cs="Arial" w:eastAsia="Arial" w:hAnsi="Arial"/>
          <w:sz w:val="25"/>
          <w:szCs w:val="25"/>
          <w:color w:val="auto"/>
          <w:vertAlign w:val="superscript"/>
        </w:rPr>
      </w:pPr>
    </w:p>
    <w:p>
      <w:pPr>
        <w:ind w:left="660" w:right="400" w:hanging="652"/>
        <w:spacing w:after="0" w:line="216" w:lineRule="auto"/>
        <w:tabs>
          <w:tab w:leader="none" w:pos="66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$138 million and $17 million, respectively.</w:t>
      </w:r>
    </w:p>
    <w:p>
      <w:pPr>
        <w:spacing w:after="0" w:line="203"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our credit facilities, which provide the financial backstop for our commercial paper program, is subject to ongoing compliance with covenants. As of March 31, 2019, we were in compliance with all such covenants. Also, see Item 1A. “Risk Factors” included in our 2018 Annual Report on Form 10-K for further discussion regarding such risks that may impact our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2018 Annual Report on Form 10-K.</w:t>
      </w:r>
    </w:p>
    <w:p>
      <w:pPr>
        <w:spacing w:after="0" w:line="181"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Net cash provided by operating activities for the first three months of 2019 and 2018 was $1.033 billion and $521 million,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three months ended March 31, 2019, our cash provided by operating activities was positively impacted by decreases in the volume of inventory that we held, primarily due to the sale of NGL and crude oil inventory. The favorable effects from liquidation of such inventory were partially offset by timing of revenue recognized during the period for which cash was received in prior periods.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three months ended March 31, 2018, we decreased the overall volume of inventory that we held, primarily due to the seasonal sale of NGL inventory. However, the favorable effects from liquidation of such inventory were offset by increased volumes and higher prices for crude oil inventory that was purchased and stored at the end of the first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addition to our operating needs discussed above, we also use cash for our acquisition activities and expansion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Capital Projects. </w:t>
      </w:r>
      <w:r>
        <w:rPr>
          <w:rFonts w:ascii="Arial" w:cs="Arial" w:eastAsia="Arial" w:hAnsi="Arial"/>
          <w:sz w:val="18"/>
          <w:szCs w:val="18"/>
          <w:color w:val="auto"/>
        </w:rPr>
        <w:t>We invested approximately $351 million in midstream infrastructure during the three months ended March 31, 2019, and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approximately $1.35 billion during the full year ended December 31, 2019. See “—Capital Projects” for detail of our projected capital expenditures for the year ending December 31, 2019. We expect to fund our 2019 capital program with retained cash flow, proceeds from assets sold as part of our divestiture program or debt.</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 xml:space="preserve">Ongoing Acquisition, Divestiture and Investment Activities. </w:t>
      </w:r>
      <w:r>
        <w:rPr>
          <w:rFonts w:ascii="Arial" w:cs="Arial" w:eastAsia="Arial" w:hAnsi="Arial"/>
          <w:sz w:val="17"/>
          <w:szCs w:val="17"/>
          <w:color w:val="auto"/>
        </w:rPr>
        <w:t>We intend to continue to focus on activities to enhance investment returns and reinforce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discipline through asset optimization, joint ventures, potential divestitures and similar arrangements. 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Also, see Item 1A. “Risk Factors—Risks Related to Our Business” of our 2018 Annual Report on Form 10-K for further discussion regarding risks related to our acquisitions and divestitures.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financing activities primarily relate to funding expansion capital projects, acquisitions and refinancing of our debt maturities, as well as short-term working capital (including borrowings for NYMEX and ICE margin deposits) and hedged inventory borrowings related to our NGL business and contango market activities. Our financing activities have primarily consisted of equity offerings, senior notes offerings and borrowings and repayments under our credit facilities or commercial paper program and other debt agreements, as well as payment of distributions to our unitholders.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Registration Statements</w:t>
      </w:r>
      <w:r>
        <w:rPr>
          <w:rFonts w:ascii="Arial" w:cs="Arial" w:eastAsia="Arial" w:hAnsi="Arial"/>
          <w:sz w:val="18"/>
          <w:szCs w:val="18"/>
          <w:color w:val="auto"/>
        </w:rPr>
        <w:t>. We periodically access the capital markets for both equity and debt financing. We have filed with the SEC a universal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that, subject to effectiveness at the time of use, allows us to issue up to an aggregate of $1.1 billion of debt or equity securities (“Traditional Shelf”). At March 31, 2019,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three months ended March 31, 2019.</w:t>
      </w:r>
    </w:p>
    <w:p>
      <w:pPr>
        <w:spacing w:after="0" w:line="193" w:lineRule="exact"/>
        <w:rPr>
          <w:sz w:val="20"/>
          <w:szCs w:val="20"/>
          <w:color w:val="auto"/>
        </w:rPr>
      </w:pPr>
    </w:p>
    <w:p>
      <w:pPr>
        <w:ind w:right="100" w:firstLine="675"/>
        <w:spacing w:after="0" w:line="255"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The credit agreements for our revolving credit facilities (which impact our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access our commercial paper program because they provide the financial backstop that supports our short-term credit ratings) and our GO Zone term loans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As of March 31, 2019, we were in compliance with the covenants contained in our credit agreements and indentures.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As of March 31, 2019 and December 31, 2018, we had no outstanding borrowings under our credit agreements or commercial paper program. However, during the three months ended March 31, 2019, we borrowed and repaid $0.5 billion under our commercial paper program. The repayments resulted primarily from cash flow from operating activities.</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three months ended March 31, 2018, we had net repayments on our credit facilities and commercial paper program of $156 million. The net repayments resulted primarily from cash flow from operating activities.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Unitholders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Distributions to our Series A preferred unitholders. </w:t>
      </w:r>
      <w:r>
        <w:rPr>
          <w:rFonts w:ascii="Arial" w:cs="Arial" w:eastAsia="Arial" w:hAnsi="Arial"/>
          <w:sz w:val="16"/>
          <w:szCs w:val="16"/>
          <w:color w:val="auto"/>
        </w:rPr>
        <w:t>On May 15, 2019 we will pay a cash distribution of $37 million ($0.525 per unit) on our Series A</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units outstanding as of May 1, 2019, the record date for such distribution for the period from January 1, 2019 through March 31, 2019. See Note 9 to our Condensed Consolidated Financial Statements for details of distributions made during or pertaining to the first three months of 2019.</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Distributions to Series B preferred unitholders. </w:t>
      </w:r>
      <w:r>
        <w:rPr>
          <w:rFonts w:ascii="Arial" w:cs="Arial" w:eastAsia="Arial" w:hAnsi="Arial"/>
          <w:sz w:val="18"/>
          <w:szCs w:val="18"/>
          <w:color w:val="auto"/>
        </w:rPr>
        <w:t>Distributions on our Series B preferred units are payable semi-annually in arrears on the 15th day of</w:t>
      </w:r>
      <w:r>
        <w:rPr>
          <w:rFonts w:ascii="Arial" w:cs="Arial" w:eastAsia="Arial" w:hAnsi="Arial"/>
          <w:sz w:val="18"/>
          <w:szCs w:val="18"/>
          <w:i w:val="1"/>
          <w:iCs w:val="1"/>
          <w:color w:val="auto"/>
        </w:rPr>
        <w:t xml:space="preserve"> </w:t>
      </w:r>
      <w:r>
        <w:rPr>
          <w:rFonts w:ascii="Arial" w:cs="Arial" w:eastAsia="Arial" w:hAnsi="Arial"/>
          <w:sz w:val="18"/>
          <w:szCs w:val="18"/>
          <w:color w:val="auto"/>
        </w:rPr>
        <w:t>May and November. On May 15, 2019, we will pay the semi-annual cash distribution of $24.5 million on our Series B preferred units to holders of record at the close of business on May 1, 2019 for the period from November 15, 2018 to May 14, 2019. See Note 9 to our Condensed Consolidated Financial Statements for additional information.</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Distributions to our common unitholders. </w:t>
      </w:r>
      <w:r>
        <w:rPr>
          <w:rFonts w:ascii="Arial" w:cs="Arial" w:eastAsia="Arial" w:hAnsi="Arial"/>
          <w:sz w:val="17"/>
          <w:szCs w:val="17"/>
          <w:color w:val="auto"/>
        </w:rPr>
        <w:t>In accordance with our partnership agreement, after making distributions to holders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Our available cash also includes cash on hand resulting from borrowings made after the end of the quarter. On May 15, 2019, we will pay a quarterly distribution of $0.36 per common unit ($1.44 per common unit on an annualized basis) on our common units outstanding as of May 1, 2019, the record date for such distribution for the period from January 1, 2019 through March 31, 2019. This equates to a 20% increase from the distribution paid in February 2019. See Note 9 to our Condensed Consolidated Financial Statements for details of distributions paid during or pertaining to the first three months of 2019. Also, see Item 5. “Market for Registrant’s Common Units, Related Unitholder Matters and Issuer Purchases of Equity Securities—Cash Distribution Policy” included in our 2018 Annual Report on Form 10-K for additional discussion regarding distributions.</w:t>
      </w:r>
    </w:p>
    <w:p>
      <w:pPr>
        <w:spacing w:after="0" w:line="1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13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March 31, 2019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2024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5"/>
                <w:szCs w:val="25"/>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814</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878</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949</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1,079</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1,599</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8,593</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13,912</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17,953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7,643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7,488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6,997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6,607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6,096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48,401</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9,363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9,056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8,329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8,025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23,591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660" w:right="340" w:hanging="652"/>
        <w:spacing w:after="0" w:line="237" w:lineRule="auto"/>
        <w:tabs>
          <w:tab w:leader="none" w:pos="66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agreements or commercial paper program) in the amounts above. For additional information regarding our debt obligations, see Note 8 to our Condensed Consolidated Financial Statements.</w:t>
      </w:r>
    </w:p>
    <w:p>
      <w:pPr>
        <w:spacing w:after="0" w:line="98" w:lineRule="exact"/>
        <w:rPr>
          <w:rFonts w:ascii="Arial" w:cs="Arial" w:eastAsia="Arial" w:hAnsi="Arial"/>
          <w:sz w:val="25"/>
          <w:szCs w:val="25"/>
          <w:color w:val="auto"/>
          <w:vertAlign w:val="superscript"/>
        </w:rPr>
      </w:pPr>
    </w:p>
    <w:p>
      <w:pPr>
        <w:ind w:left="660" w:right="440" w:hanging="652"/>
        <w:spacing w:after="0" w:line="252" w:lineRule="auto"/>
        <w:tabs>
          <w:tab w:leader="none" w:pos="660" w:val="left"/>
        </w:tabs>
        <w:numPr>
          <w:ilvl w:val="0"/>
          <w:numId w:val="53"/>
        </w:numPr>
        <w:rPr>
          <w:rFonts w:ascii="Arial" w:cs="Arial" w:eastAsia="Arial" w:hAnsi="Arial"/>
          <w:sz w:val="22"/>
          <w:szCs w:val="22"/>
          <w:color w:val="auto"/>
          <w:vertAlign w:val="superscript"/>
        </w:rPr>
      </w:pPr>
      <w:r>
        <w:rPr>
          <w:rFonts w:ascii="Arial" w:cs="Arial" w:eastAsia="Arial" w:hAnsi="Arial"/>
          <w:sz w:val="16"/>
          <w:szCs w:val="16"/>
          <w:color w:val="auto"/>
        </w:rPr>
        <w:t>Includes both operating and finance leases as defined by FASB guidance. Leases are primarily for (i) railcars, (ii) office space, (iii), land, (iv) vehicles, (v) storage tanks and (vi) tractor trailers. See Note 11 to our Condensed Consolidated Financial Statements for additional information.</w:t>
      </w:r>
    </w:p>
    <w:p>
      <w:pPr>
        <w:spacing w:after="0" w:line="81" w:lineRule="exact"/>
        <w:rPr>
          <w:rFonts w:ascii="Arial" w:cs="Arial" w:eastAsia="Arial" w:hAnsi="Arial"/>
          <w:sz w:val="22"/>
          <w:szCs w:val="22"/>
          <w:color w:val="auto"/>
          <w:vertAlign w:val="superscript"/>
        </w:rPr>
      </w:pPr>
    </w:p>
    <w:p>
      <w:pPr>
        <w:ind w:left="660" w:right="20" w:hanging="652"/>
        <w:spacing w:after="0" w:line="245" w:lineRule="auto"/>
        <w:tabs>
          <w:tab w:leader="none" w:pos="660" w:val="left"/>
        </w:tabs>
        <w:numPr>
          <w:ilvl w:val="0"/>
          <w:numId w:val="53"/>
        </w:numPr>
        <w:rPr>
          <w:rFonts w:ascii="Arial" w:cs="Arial" w:eastAsia="Arial" w:hAnsi="Arial"/>
          <w:sz w:val="22"/>
          <w:szCs w:val="22"/>
          <w:color w:val="auto"/>
          <w:vertAlign w:val="superscript"/>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660" w:right="60"/>
        <w:spacing w:after="0" w:line="254" w:lineRule="auto"/>
        <w:rPr>
          <w:rFonts w:ascii="Arial" w:cs="Arial" w:eastAsia="Arial" w:hAnsi="Arial"/>
          <w:sz w:val="22"/>
          <w:szCs w:val="22"/>
          <w:color w:val="auto"/>
          <w:vertAlign w:val="superscript"/>
        </w:rPr>
      </w:pPr>
      <w:r>
        <w:rPr>
          <w:rFonts w:ascii="Arial" w:cs="Arial" w:eastAsia="Arial" w:hAnsi="Arial"/>
          <w:sz w:val="18"/>
          <w:szCs w:val="18"/>
          <w:color w:val="auto"/>
        </w:rPr>
        <w:t>(iv) noncancelable commitments related to our capital expansion projects, including projected contributions for our share of the capital spending of our equity method investments. The transportation agreements include approximately $1.7 billion associated with agreements to transport crude oil at posted tariff rates on pipelines that are owned by equity method investees. Our commitment to transport is supported by crude oil buy/sell or other agreements with third parties (including Oxy) with commensurate quantities.</w:t>
      </w:r>
    </w:p>
    <w:p>
      <w:pPr>
        <w:spacing w:after="0" w:line="81" w:lineRule="exact"/>
        <w:rPr>
          <w:rFonts w:ascii="Arial" w:cs="Arial" w:eastAsia="Arial" w:hAnsi="Arial"/>
          <w:sz w:val="22"/>
          <w:szCs w:val="22"/>
          <w:color w:val="auto"/>
          <w:vertAlign w:val="superscript"/>
        </w:rPr>
      </w:pPr>
    </w:p>
    <w:p>
      <w:pPr>
        <w:ind w:left="660" w:right="220" w:hanging="652"/>
        <w:spacing w:after="0" w:line="238" w:lineRule="auto"/>
        <w:tabs>
          <w:tab w:leader="none" w:pos="66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March 2019.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March 31, 2019 and December 31, 2018, we had outstanding letters of credit of approximately $155 million and $184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2018 Annual Report on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line="259"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2018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52" w:lineRule="exact"/>
        <w:rPr>
          <w:sz w:val="20"/>
          <w:szCs w:val="20"/>
          <w:color w:val="auto"/>
        </w:rPr>
      </w:pPr>
    </w:p>
    <w:p>
      <w:pPr>
        <w:ind w:left="1360" w:hanging="704"/>
        <w:spacing w:after="0"/>
        <w:tabs>
          <w:tab w:leader="none" w:pos="13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39" w:lineRule="exact"/>
        <w:rPr>
          <w:sz w:val="20"/>
          <w:szCs w:val="20"/>
          <w:color w:val="auto"/>
        </w:rPr>
      </w:pPr>
    </w:p>
    <w:p>
      <w:pPr>
        <w:ind w:left="1300" w:right="240"/>
        <w:spacing w:after="0" w:line="286" w:lineRule="auto"/>
        <w:rPr>
          <w:sz w:val="20"/>
          <w:szCs w:val="20"/>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futures, forwards, swaps and options.</w:t>
      </w:r>
    </w:p>
    <w:p>
      <w:pPr>
        <w:spacing w:after="0" w:line="193" w:lineRule="exact"/>
        <w:rPr>
          <w:sz w:val="20"/>
          <w:szCs w:val="20"/>
          <w:color w:val="auto"/>
        </w:rPr>
      </w:pPr>
    </w:p>
    <w:p>
      <w:pPr>
        <w:ind w:left="1360" w:hanging="704"/>
        <w:spacing w:after="0"/>
        <w:tabs>
          <w:tab w:leader="none" w:pos="13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39" w:lineRule="exact"/>
        <w:rPr>
          <w:sz w:val="20"/>
          <w:szCs w:val="20"/>
          <w:color w:val="auto"/>
        </w:rPr>
      </w:pPr>
    </w:p>
    <w:p>
      <w:pPr>
        <w:ind w:left="1300" w:right="12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208" w:lineRule="exact"/>
        <w:rPr>
          <w:sz w:val="20"/>
          <w:szCs w:val="20"/>
          <w:color w:val="auto"/>
        </w:rPr>
      </w:pPr>
    </w:p>
    <w:p>
      <w:pPr>
        <w:ind w:left="1360" w:hanging="704"/>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39"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2019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5"/>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336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March 31, 2019, approximately $200 million, was subject to interest rate re-sets that range from one day to approximately one month. The average interest rate on variable rate debt that was outstanding during the three months ended March 31, 2019 was 3.3%, based upon rates in effect during such period. The fair value of our interest rate derivatives was a liability of $30 million as of March 31, 2019. A 10% increase in the forward LIBOR curve as of March 31, 2019 would have resulted in an increase of $21 million to the fair value of our interest rate derivatives. A 10% decrease in the forward LIBOR curve as of March 31, 2019 would have resulted in a decrease of $21 million to the fair value of our interest rate derivatives. See Note 10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$1 million as of March 31, 2019. A 10% increase in the exchange rate (USD-to-CAD) would have resulted in a decrease of $14 million to the fair value of our foreign currency derivatives. A 10% decrease in the exchange rate (USD-to-CAD) would have resulted in an increase of $14 million to the fair value of our foreign currency derivatives. See Note 10 to our Condensed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default probabilities and timing estimates to ultimately calculate the fair value of our Series A preferred units with and without the Preferred Distribution Rate Reset Option. The fair value of this embedded derivative was a liability of $13 million as of March 31, 2019. A 10% increase or decrease in the fair value would have an impact of $1 million. See Note 10 to our Condensed Consolidated Financial Statements for a discussion of embedded derivatives.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2019,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 xml:space="preserve">In addition to the information concerning our DCP, we are required to disclose certain changes in internal control over financial reporting. We implemented new processes and internal controls in connection with our adoption on January 1, 2019 of FASB accounting standard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Further, we plan to implement a new lease accounting system during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discussed above, there have been no other changes in our internal control over financial reporting during the first quarter of 2019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13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2018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The Omnibus Agreement, entered into as part of the Simplification Transactions, which closed on November 15, 2016, provides for the mechanics by which (i) the total number of PAGP’s outstanding Class A shares will equal the number of AAP units held by PAGP, and (ii) the total number of our common units held by AAP will equal the sum of the number of outstanding Class A units of AAP (“AAP units”) and the number of AAP units that are issuable to the holders of vested and earned Class B units of AAP (“AAP Management Units”). As such, we are obligated to issue common units to AAP upon any AAP Management Units becoming earned that were not earned as of the date of the closing of the Simplification Transactions. During the three months ended March 31, 2019, we issued 197,075 common units to AAP associated with AAP Management Units that became earned effective December 31, 2018. This issuance was exempt from the registration requirements of the Securities Act of 1933, as amended, pursuant to Section 4(a)(2) thereof.</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2" w:lineRule="exact"/>
        <w:rPr>
          <w:sz w:val="20"/>
          <w:szCs w:val="20"/>
          <w:color w:val="auto"/>
        </w:rPr>
      </w:pPr>
    </w:p>
    <w:p>
      <w:pPr>
        <w:ind w:left="240"/>
        <w:spacing w:after="0"/>
        <w:tabs>
          <w:tab w:leader="none" w:pos="62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1" w:lineRule="exact"/>
        <w:rPr>
          <w:sz w:val="20"/>
          <w:szCs w:val="20"/>
          <w:color w:val="auto"/>
        </w:rPr>
      </w:pPr>
    </w:p>
    <w:p>
      <w:pPr>
        <w:ind w:left="520"/>
        <w:spacing w:after="0"/>
        <w:tabs>
          <w:tab w:leader="none" w:pos="1440" w:val="left"/>
          <w:tab w:leader="none" w:pos="18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hyperlink r:id="rId54">
        <w:r>
          <w:rPr>
            <w:rFonts w:ascii="Arial" w:cs="Arial" w:eastAsia="Arial" w:hAnsi="Arial"/>
            <w:sz w:val="16"/>
            <w:szCs w:val="16"/>
            <w:u w:val="single" w:color="auto"/>
            <w:color w:val="0000FF"/>
          </w:rPr>
          <w:t>Seventh Amended and Restated Agreement of Limited Partnership of Plains All American Pipeline, L.P., dated as of October 10,</w:t>
        </w:r>
      </w:hyperlink>
    </w:p>
    <w:p>
      <w:pPr>
        <w:spacing w:after="0" w:line="23" w:lineRule="exact"/>
        <w:rPr>
          <w:sz w:val="20"/>
          <w:szCs w:val="20"/>
          <w:color w:val="auto"/>
        </w:rPr>
      </w:pPr>
    </w:p>
    <w:p>
      <w:pPr>
        <w:ind w:left="1860"/>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2017 (incorporated by reference to Exhibit 3.1 to our Current Report on Form 8-K filed October 12, 2017).</w:t>
        </w:r>
      </w:hyperlink>
    </w:p>
    <w:p>
      <w:pPr>
        <w:spacing w:after="0" w:line="319" w:lineRule="exact"/>
        <w:rPr>
          <w:sz w:val="20"/>
          <w:szCs w:val="20"/>
          <w:color w:val="auto"/>
        </w:rPr>
      </w:pPr>
    </w:p>
    <w:p>
      <w:pPr>
        <w:ind w:left="1460" w:right="140" w:hanging="1334"/>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FF"/>
          </w:rPr>
          <w:t>Third Amended and Restated Agreement of Limited Partnership of Plains Marketing, L.P. dated as of April 1, 2004 (incorporated</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FF"/>
          </w:rPr>
          <w:t>by reference to Exhibit 3.2 to our Quarterly Report on Form 10-Q for the quarter ended March 31, 2004).</w:t>
        </w:r>
      </w:hyperlink>
    </w:p>
    <w:p>
      <w:pPr>
        <w:spacing w:after="0" w:line="279" w:lineRule="exact"/>
        <w:rPr>
          <w:sz w:val="20"/>
          <w:szCs w:val="20"/>
          <w:color w:val="auto"/>
        </w:rPr>
      </w:pPr>
    </w:p>
    <w:p>
      <w:pPr>
        <w:ind w:left="1460" w:right="300" w:hanging="1334"/>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FF"/>
          </w:rPr>
          <w:t>Amendment No. 1 dated December 31, 2010 to the Third Amended and Restated Agreement of Limited Partnership of Plains</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FF"/>
          </w:rPr>
          <w:t>Marketing, L.P. (incorporated by reference to Exhibit 3.9 to our Annual Report on Form 10-K for the year ended December 31,</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2010).</w:t>
        </w:r>
      </w:hyperlink>
    </w:p>
    <w:p>
      <w:pPr>
        <w:spacing w:after="0" w:line="289" w:lineRule="exact"/>
        <w:rPr>
          <w:rFonts w:ascii="Arial" w:cs="Arial" w:eastAsia="Arial" w:hAnsi="Arial"/>
          <w:sz w:val="18"/>
          <w:szCs w:val="18"/>
          <w:color w:val="auto"/>
        </w:rPr>
      </w:pPr>
    </w:p>
    <w:p>
      <w:pPr>
        <w:ind w:left="1460" w:right="200" w:hanging="1334"/>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FF"/>
          </w:rPr>
          <w:t>Amendment No. 2 dated January 1, 2011 to the Third Amended and Restated Agreement of Limited Partnership of Plains</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FF"/>
          </w:rPr>
          <w:t>Marketing,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2010).</w:t>
        </w:r>
      </w:hyperlink>
    </w:p>
    <w:p>
      <w:pPr>
        <w:spacing w:after="0" w:line="289" w:lineRule="exact"/>
        <w:rPr>
          <w:rFonts w:ascii="Arial" w:cs="Arial" w:eastAsia="Arial" w:hAnsi="Arial"/>
          <w:sz w:val="18"/>
          <w:szCs w:val="18"/>
          <w:color w:val="auto"/>
        </w:rPr>
      </w:pPr>
    </w:p>
    <w:p>
      <w:pPr>
        <w:ind w:left="1460" w:right="300" w:hanging="1334"/>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FF"/>
          </w:rPr>
          <w:t>Amendment No. 3 dated June 30, 2011 to the Third Amended and Restated Agreement of Limited Partnership of Plains</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2013).</w:t>
        </w:r>
      </w:hyperlink>
    </w:p>
    <w:p>
      <w:pPr>
        <w:spacing w:after="0" w:line="289" w:lineRule="exact"/>
        <w:rPr>
          <w:rFonts w:ascii="Arial" w:cs="Arial" w:eastAsia="Arial" w:hAnsi="Arial"/>
          <w:sz w:val="18"/>
          <w:szCs w:val="18"/>
          <w:color w:val="auto"/>
        </w:rPr>
      </w:pPr>
    </w:p>
    <w:p>
      <w:pPr>
        <w:ind w:left="1460" w:right="320" w:hanging="1334"/>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FF"/>
          </w:rPr>
          <w:t>Amendment No. 4 dated January 1, 2013 to the Third Amended and Restated Agreement of Limited Partnership of Plains</w:t>
        </w:r>
      </w:hyperlink>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FF"/>
          </w:rPr>
          <w:t>Marketing, L.P (incorporated by reference to Exhibit 3.8 to our Annual Report on Form 10-K for the year ended December 31,</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2013).</w:t>
        </w:r>
      </w:hyperlink>
    </w:p>
    <w:p>
      <w:pPr>
        <w:spacing w:after="0" w:line="289" w:lineRule="exact"/>
        <w:rPr>
          <w:rFonts w:ascii="Arial" w:cs="Arial" w:eastAsia="Arial" w:hAnsi="Arial"/>
          <w:sz w:val="18"/>
          <w:szCs w:val="18"/>
          <w:color w:val="auto"/>
        </w:rPr>
      </w:pPr>
    </w:p>
    <w:p>
      <w:pPr>
        <w:ind w:left="1460" w:right="60" w:hanging="1334"/>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FF"/>
          </w:rPr>
          <w:t>Third Amended and Restated Agreement of Limited Partnership of Plains Pipeline, L.P. dated as of April 1, 2004 (incorporated by</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FF"/>
          </w:rPr>
          <w:t>reference to Exhibit 3.3 to our Quarterly Report on Form 10-Q for the quarter ended March 31, 2004).</w:t>
        </w:r>
      </w:hyperlink>
    </w:p>
    <w:p>
      <w:pPr>
        <w:spacing w:after="0" w:line="279" w:lineRule="exact"/>
        <w:rPr>
          <w:sz w:val="20"/>
          <w:szCs w:val="20"/>
          <w:color w:val="auto"/>
        </w:rPr>
      </w:pPr>
    </w:p>
    <w:p>
      <w:pPr>
        <w:ind w:left="1460" w:right="20" w:hanging="1334"/>
        <w:spacing w:after="0" w:line="342" w:lineRule="auto"/>
        <w:tabs>
          <w:tab w:leader="none" w:pos="1440" w:val="left"/>
        </w:tabs>
        <w:rPr>
          <w:rFonts w:ascii="Arial" w:cs="Arial" w:eastAsia="Arial" w:hAnsi="Arial"/>
          <w:sz w:val="16"/>
          <w:szCs w:val="16"/>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 xml:space="preserve">— </w:t>
      </w:r>
      <w:hyperlink r:id="rId61">
        <w:r>
          <w:rPr>
            <w:rFonts w:ascii="Arial" w:cs="Arial" w:eastAsia="Arial" w:hAnsi="Arial"/>
            <w:sz w:val="16"/>
            <w:szCs w:val="16"/>
            <w:u w:val="single" w:color="auto"/>
            <w:color w:val="0000FF"/>
          </w:rPr>
          <w:t>Amendment No. 1 dated January 1, 2013 to the Third Amended and Restated Agreement of Limited Partnership of Plains Pipeline,</w:t>
        </w:r>
      </w:hyperlink>
      <w:r>
        <w:rPr>
          <w:rFonts w:ascii="Arial" w:cs="Arial" w:eastAsia="Arial" w:hAnsi="Arial"/>
          <w:sz w:val="16"/>
          <w:szCs w:val="16"/>
          <w:color w:val="auto"/>
        </w:rPr>
        <w:t xml:space="preserve"> </w:t>
      </w:r>
      <w:hyperlink r:id="rId61">
        <w:r>
          <w:rPr>
            <w:rFonts w:ascii="Arial" w:cs="Arial" w:eastAsia="Arial" w:hAnsi="Arial"/>
            <w:sz w:val="16"/>
            <w:szCs w:val="16"/>
            <w:u w:val="single" w:color="auto"/>
            <w:color w:val="0000FF"/>
          </w:rPr>
          <w:t>L.P. (incorporated by reference to Exhibit 3.10 to our Annual Report on Form 10-K for the year ended December 31, 2013).</w:t>
        </w:r>
      </w:hyperlink>
    </w:p>
    <w:p>
      <w:pPr>
        <w:spacing w:after="0" w:line="232" w:lineRule="exact"/>
        <w:rPr>
          <w:sz w:val="20"/>
          <w:szCs w:val="20"/>
          <w:color w:val="auto"/>
        </w:rPr>
      </w:pPr>
    </w:p>
    <w:p>
      <w:pPr>
        <w:ind w:left="1460" w:right="20" w:hanging="1334"/>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FF"/>
          </w:rPr>
          <w:t>Seventh Amended and Restated Limited Liability Company Agreement of Plains All American GP LLC dated November 15, 2016</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FF"/>
          </w:rPr>
          <w:t>(incorporated by reference to Exhibit 3.3 to our Current Report on Form 8-K filed November 21, 2016).</w:t>
        </w:r>
      </w:hyperlink>
    </w:p>
    <w:p>
      <w:pPr>
        <w:spacing w:after="0" w:line="279" w:lineRule="exact"/>
        <w:rPr>
          <w:sz w:val="20"/>
          <w:szCs w:val="20"/>
          <w:color w:val="auto"/>
        </w:rPr>
      </w:pPr>
    </w:p>
    <w:p>
      <w:pPr>
        <w:ind w:left="1460" w:right="360" w:hanging="1379"/>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FF"/>
          </w:rPr>
          <w:t>reference to Exhibit 3.4 to our Current Report on Form 8-K filed November 21, 2016).</w:t>
        </w:r>
      </w:hyperlink>
    </w:p>
    <w:p>
      <w:pPr>
        <w:spacing w:after="0" w:line="279" w:lineRule="exact"/>
        <w:rPr>
          <w:sz w:val="20"/>
          <w:szCs w:val="20"/>
          <w:color w:val="auto"/>
        </w:rPr>
      </w:pPr>
    </w:p>
    <w:p>
      <w:pPr>
        <w:ind w:left="1460" w:right="80" w:hanging="1375"/>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FF"/>
          </w:rPr>
          <w:t>Amendment No. 1 dated September 26, 2018 to the Eighth Amended and Restated Limited Partnership Agreement of Plains AAP,</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FF"/>
          </w:rPr>
          <w:t>L.P. (incorporated by reference to Exhibit 3.1 to our Current Report on Form 8-K filed October 2, 2018).</w:t>
        </w:r>
      </w:hyperlink>
    </w:p>
    <w:p>
      <w:pPr>
        <w:spacing w:after="0" w:line="130" w:lineRule="exact"/>
        <w:rPr>
          <w:sz w:val="20"/>
          <w:szCs w:val="20"/>
          <w:color w:val="auto"/>
        </w:rPr>
      </w:pPr>
    </w:p>
    <w:p>
      <w:pPr>
        <w:ind w:left="1460" w:hanging="1379"/>
        <w:spacing w:after="0" w:line="342" w:lineRule="auto"/>
        <w:tabs>
          <w:tab w:leader="none" w:pos="144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xml:space="preserve">— </w:t>
      </w:r>
      <w:hyperlink r:id="rId65">
        <w:r>
          <w:rPr>
            <w:rFonts w:ascii="Arial" w:cs="Arial" w:eastAsia="Arial" w:hAnsi="Arial"/>
            <w:sz w:val="16"/>
            <w:szCs w:val="16"/>
            <w:u w:val="single" w:color="auto"/>
            <w:color w:val="0000FF"/>
          </w:rPr>
          <w:t>Certificate of Incorporation of PAA Finance Corp. (f/k/a Pacific Energy Finance Corporation, successor-by-merger to PAA Finance</w:t>
        </w:r>
      </w:hyperlink>
      <w:r>
        <w:rPr>
          <w:rFonts w:ascii="Arial" w:cs="Arial" w:eastAsia="Arial" w:hAnsi="Arial"/>
          <w:sz w:val="16"/>
          <w:szCs w:val="16"/>
          <w:color w:val="auto"/>
        </w:rPr>
        <w:t xml:space="preserve"> </w:t>
      </w:r>
      <w:hyperlink r:id="rId65">
        <w:r>
          <w:rPr>
            <w:rFonts w:ascii="Arial" w:cs="Arial" w:eastAsia="Arial" w:hAnsi="Arial"/>
            <w:sz w:val="16"/>
            <w:szCs w:val="16"/>
            <w:u w:val="single" w:color="auto"/>
            <w:color w:val="0000FF"/>
          </w:rPr>
          <w:t>Corp.) (incorporated by reference to Exhibit 3.10 to our Annual Report on Form 10-K for the year ended December 31, 2006).</w:t>
        </w:r>
      </w:hyperlink>
    </w:p>
    <w:p>
      <w:pPr>
        <w:spacing w:after="0" w:line="232" w:lineRule="exact"/>
        <w:rPr>
          <w:sz w:val="20"/>
          <w:szCs w:val="20"/>
          <w:color w:val="auto"/>
        </w:rPr>
      </w:pPr>
    </w:p>
    <w:p>
      <w:pPr>
        <w:jc w:val="right"/>
        <w:ind w:left="480" w:right="880"/>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3.13       —   </w:t>
      </w:r>
      <w:hyperlink r:id="rId66">
        <w:r>
          <w:rPr>
            <w:rFonts w:ascii="Arial" w:cs="Arial" w:eastAsia="Arial" w:hAnsi="Arial"/>
            <w:sz w:val="17"/>
            <w:szCs w:val="17"/>
            <w:u w:val="single" w:color="auto"/>
            <w:color w:val="0000FF"/>
          </w:rPr>
          <w:t>Bylaws of PAA Finance Corp. (f/k/a Pacific Energy Finance Corporation, successor-by-merger to PAA Finance Corp.)</w:t>
        </w:r>
      </w:hyperlink>
      <w:r>
        <w:rPr>
          <w:rFonts w:ascii="Arial" w:cs="Arial" w:eastAsia="Arial" w:hAnsi="Arial"/>
          <w:sz w:val="17"/>
          <w:szCs w:val="17"/>
          <w:color w:val="auto"/>
        </w:rPr>
        <w:t xml:space="preserve"> </w:t>
      </w:r>
      <w:hyperlink r:id="rId66">
        <w:r>
          <w:rPr>
            <w:rFonts w:ascii="Arial" w:cs="Arial" w:eastAsia="Arial" w:hAnsi="Arial"/>
            <w:sz w:val="17"/>
            <w:szCs w:val="17"/>
            <w:u w:val="single" w:color="auto"/>
            <w:color w:val="0000FF"/>
          </w:rPr>
          <w:t>(incorporated by reference to Exhibit 3.11 to our Annual Report on Form 10-K for the year ended December 31, 2006).</w:t>
        </w:r>
      </w:hyperlink>
    </w:p>
    <w:p>
      <w:pPr>
        <w:spacing w:after="0" w:line="238"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3.14</w:t>
            </w:r>
          </w:p>
        </w:tc>
        <w:tc>
          <w:tcPr>
            <w:tcW w:w="10140" w:type="dxa"/>
            <w:vAlign w:val="bottom"/>
            <w:gridSpan w:val="3"/>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67">
              <w:r>
                <w:rPr>
                  <w:rFonts w:ascii="Arial" w:cs="Arial" w:eastAsia="Arial" w:hAnsi="Arial"/>
                  <w:sz w:val="18"/>
                  <w:szCs w:val="18"/>
                  <w:color w:val="0000FF"/>
                  <w:w w:val="93"/>
                </w:rPr>
                <w:t>Limited Liability Company Agreement of PAA GP LLC dated December 28, 2007 (incorporated by reference to Exhibit 3.3 to our</w:t>
              </w:r>
            </w:hyperlink>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Current Report on Form 8-K filed January 4, 2008).</w:t>
              </w:r>
            </w:hyperlink>
          </w:p>
        </w:tc>
        <w:tc>
          <w:tcPr>
            <w:tcW w:w="5660" w:type="dxa"/>
            <w:vAlign w:val="bottom"/>
            <w:tcBorders>
              <w:top w:val="single" w:sz="8" w:color="0000FF"/>
            </w:tcBorders>
          </w:tcPr>
          <w:p>
            <w:pPr>
              <w:spacing w:after="0"/>
              <w:rPr>
                <w:sz w:val="17"/>
                <w:szCs w:val="17"/>
                <w:color w:val="auto"/>
              </w:rPr>
            </w:pPr>
          </w:p>
        </w:tc>
      </w:tr>
    </w:tbl>
    <w:p>
      <w:pPr>
        <w:spacing w:after="0" w:line="337" w:lineRule="exact"/>
        <w:rPr>
          <w:sz w:val="20"/>
          <w:szCs w:val="20"/>
          <w:color w:val="auto"/>
        </w:rPr>
      </w:pPr>
    </w:p>
    <w:p>
      <w:pPr>
        <w:ind w:left="1460" w:right="300" w:hanging="1379"/>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FF"/>
          </w:rPr>
          <w:t>Certificate of Limited Partnership of Plains GP Holdings, L.P. (incorporated by reference to Exhibit 3.1 to PAGP’s Registration</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FF"/>
          </w:rPr>
          <w:t>Statement on Form S-1 (333-190227) filed July 29, 2013).</w:t>
        </w:r>
      </w:hyperlink>
    </w:p>
    <w:p>
      <w:pPr>
        <w:spacing w:after="0" w:line="130" w:lineRule="exact"/>
        <w:rPr>
          <w:sz w:val="20"/>
          <w:szCs w:val="20"/>
          <w:color w:val="auto"/>
        </w:rPr>
      </w:pPr>
    </w:p>
    <w:p>
      <w:pPr>
        <w:ind w:left="1460" w:right="760" w:hanging="1379"/>
        <w:spacing w:after="0" w:line="308" w:lineRule="auto"/>
        <w:tabs>
          <w:tab w:leader="none" w:pos="1440" w:val="left"/>
        </w:tabs>
        <w:rPr>
          <w:rFonts w:ascii="Arial" w:cs="Arial" w:eastAsia="Arial" w:hAnsi="Arial"/>
          <w:sz w:val="17"/>
          <w:szCs w:val="17"/>
          <w:u w:val="single" w:color="auto"/>
          <w:color w:val="0000FF"/>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 xml:space="preserve">— </w:t>
      </w:r>
      <w:hyperlink r:id="rId69">
        <w:r>
          <w:rPr>
            <w:rFonts w:ascii="Arial" w:cs="Arial" w:eastAsia="Arial" w:hAnsi="Arial"/>
            <w:sz w:val="17"/>
            <w:szCs w:val="17"/>
            <w:u w:val="single" w:color="auto"/>
            <w:color w:val="0000FF"/>
          </w:rPr>
          <w:t>Second Amended and Restated Agreement of Limited Partnership of Plains GP Holdings, L.P. dated November 15, 2016</w:t>
        </w:r>
      </w:hyperlink>
      <w:r>
        <w:rPr>
          <w:rFonts w:ascii="Arial" w:cs="Arial" w:eastAsia="Arial" w:hAnsi="Arial"/>
          <w:sz w:val="17"/>
          <w:szCs w:val="17"/>
          <w:color w:val="auto"/>
        </w:rPr>
        <w:t xml:space="preserve"> </w:t>
      </w:r>
      <w:hyperlink r:id="rId69">
        <w:r>
          <w:rPr>
            <w:rFonts w:ascii="Arial" w:cs="Arial" w:eastAsia="Arial" w:hAnsi="Arial"/>
            <w:sz w:val="17"/>
            <w:szCs w:val="17"/>
            <w:u w:val="single" w:color="auto"/>
            <w:color w:val="0000FF"/>
          </w:rPr>
          <w:t>(incorporated by reference to Exhibit 3.2 to PAGP’s Current Report on Form 8-K filed November 21, 2016).</w:t>
        </w:r>
      </w:hyperlink>
    </w:p>
    <w:p>
      <w:pPr>
        <w:spacing w:after="0" w:line="106" w:lineRule="exact"/>
        <w:rPr>
          <w:sz w:val="20"/>
          <w:szCs w:val="20"/>
          <w:color w:val="auto"/>
        </w:rPr>
      </w:pPr>
    </w:p>
    <w:p>
      <w:pPr>
        <w:ind w:left="1460" w:right="80" w:hanging="1379"/>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FF"/>
          </w:rPr>
          <w:t>Certificate of Formation of PAA GP Holdings LLC (incorporated by reference to Exhibit 3.3 to PAGP’s Registration Statement on</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FF"/>
          </w:rPr>
          <w:t>Form S-1 (333-190227) filed July 29, 2013).</w:t>
        </w:r>
      </w:hyperlink>
    </w:p>
    <w:p>
      <w:pPr>
        <w:sectPr>
          <w:pgSz w:w="11900" w:h="16838" w:orient="portrait"/>
          <w:cols w:equalWidth="0" w:num="1">
            <w:col w:w="11320"/>
          </w:cols>
          <w:pgMar w:left="240" w:top="125" w:right="339" w:bottom="1163" w:gutter="0" w:footer="0" w:header="0"/>
        </w:sect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20"/>
          </w:cols>
          <w:pgMar w:left="240" w:top="125" w:right="339" w:bottom="1163"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1"/>
              </w:rPr>
              <w:t>3.18</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1">
              <w:r>
                <w:rPr>
                  <w:rFonts w:ascii="Arial" w:cs="Arial" w:eastAsia="Arial" w:hAnsi="Arial"/>
                  <w:sz w:val="18"/>
                  <w:szCs w:val="18"/>
                  <w:color w:val="0000FF"/>
                  <w:w w:val="96"/>
                </w:rPr>
                <w:t>Third Amended and Restated Limited Liability Company Agreement of PAA GP Holdings LLC dated as of February 16, 2017</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3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(incorporated by reference to Exhibit 3.1 to our Current Report on Form 8-K filed February 21, 2017).</w:t>
              </w:r>
            </w:hyperlink>
          </w:p>
        </w:tc>
        <w:tc>
          <w:tcPr>
            <w:tcW w:w="1740" w:type="dxa"/>
            <w:vAlign w:val="bottom"/>
            <w:tcBorders>
              <w:top w:val="single" w:sz="8" w:color="0000FF"/>
            </w:tcBorders>
            <w:gridSpan w:val="12"/>
          </w:tcPr>
          <w:p>
            <w:pPr>
              <w:spacing w:after="0"/>
              <w:rPr>
                <w:sz w:val="17"/>
                <w:szCs w:val="17"/>
                <w:color w:val="auto"/>
              </w:rPr>
            </w:pPr>
          </w:p>
        </w:tc>
        <w:tc>
          <w:tcPr>
            <w:tcW w:w="360" w:type="dxa"/>
            <w:vAlign w:val="bottom"/>
            <w:gridSpan w:val="11"/>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3.19</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2">
              <w:r>
                <w:rPr>
                  <w:rFonts w:ascii="Arial" w:cs="Arial" w:eastAsia="Arial" w:hAnsi="Arial"/>
                  <w:sz w:val="18"/>
                  <w:szCs w:val="18"/>
                  <w:color w:val="0000FF"/>
                  <w:w w:val="94"/>
                </w:rPr>
                <w:t>Amendment No. 1 dated October 1, 2018 to the Third Amended and Restated Limited Liability Company Agreement of PAA GP</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Holdings LLC (incorporated by reference to Exhibit 3.1 to our Current Report on Form 8-K filed August 20, 2018).</w:t>
              </w:r>
            </w:hyperlink>
          </w:p>
        </w:tc>
        <w:tc>
          <w:tcPr>
            <w:tcW w:w="980" w:type="dxa"/>
            <w:vAlign w:val="bottom"/>
            <w:tcBorders>
              <w:top w:val="single" w:sz="8" w:color="0000FF"/>
            </w:tcBorders>
            <w:gridSpan w:val="15"/>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3.20</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3">
              <w:r>
                <w:rPr>
                  <w:rFonts w:ascii="Arial" w:cs="Arial" w:eastAsia="Arial" w:hAnsi="Arial"/>
                  <w:sz w:val="18"/>
                  <w:szCs w:val="18"/>
                  <w:color w:val="0000FF"/>
                  <w:w w:val="94"/>
                </w:rPr>
                <w:t>Amendment No. 2 dated December 10, 2018 to the Third Amended and Restated Limited Liability Company Agreement of PAA</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GP Holdings LLC (incorporated by reference to Exhibit 3.1 to our Current Report on Form 8-K filed December 11, 2018).</w:t>
              </w:r>
            </w:hyperlink>
          </w:p>
        </w:tc>
        <w:tc>
          <w:tcPr>
            <w:tcW w:w="460" w:type="dxa"/>
            <w:vAlign w:val="bottom"/>
            <w:tcBorders>
              <w:top w:val="single" w:sz="8" w:color="0000FF"/>
            </w:tcBorders>
            <w:gridSpan w:val="11"/>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4">
              <w:r>
                <w:rPr>
                  <w:rFonts w:ascii="Arial" w:cs="Arial" w:eastAsia="Arial" w:hAnsi="Arial"/>
                  <w:sz w:val="18"/>
                  <w:szCs w:val="18"/>
                  <w:color w:val="0000FF"/>
                  <w:w w:val="92"/>
                </w:rPr>
                <w:t>Indenture dated September 25, 2002 among Plains All American Pipeline, L.P., PAA Finance Corp. and Wachovia Bank, National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60" w:type="dxa"/>
            <w:vAlign w:val="bottom"/>
            <w:tcBorders>
              <w:top w:val="single" w:sz="8" w:color="0000FF"/>
            </w:tcBorders>
            <w:gridSpan w:val="27"/>
          </w:tcPr>
          <w:p>
            <w:pPr>
              <w:spacing w:after="0" w:line="196" w:lineRule="exact"/>
              <w:rPr>
                <w:rFonts w:ascii="Arial" w:cs="Arial" w:eastAsia="Arial" w:hAnsi="Arial"/>
                <w:sz w:val="18"/>
                <w:szCs w:val="18"/>
                <w:color w:val="0000FF"/>
                <w:w w:val="94"/>
              </w:rPr>
            </w:pPr>
            <w:hyperlink r:id="rId74">
              <w:r>
                <w:rPr>
                  <w:rFonts w:ascii="Arial" w:cs="Arial" w:eastAsia="Arial" w:hAnsi="Arial"/>
                  <w:sz w:val="18"/>
                  <w:szCs w:val="18"/>
                  <w:color w:val="0000FF"/>
                  <w:w w:val="94"/>
                </w:rPr>
                <w:t>Association, as trustee (incorporated by reference to Exhibit 4.1 to our Quarterly Report on Form 10-Q for the quarter ended</w:t>
              </w:r>
            </w:hyperlink>
          </w:p>
        </w:tc>
        <w:tc>
          <w:tcPr>
            <w:tcW w:w="12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September 30, 2002).</w:t>
              </w:r>
            </w:hyperlink>
          </w:p>
        </w:tc>
        <w:tc>
          <w:tcPr>
            <w:tcW w:w="520" w:type="dxa"/>
            <w:vAlign w:val="bottom"/>
            <w:gridSpan w:val="1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5">
              <w:r>
                <w:rPr>
                  <w:rFonts w:ascii="Arial" w:cs="Arial" w:eastAsia="Arial" w:hAnsi="Arial"/>
                  <w:sz w:val="18"/>
                  <w:szCs w:val="18"/>
                  <w:color w:val="0000FF"/>
                  <w:w w:val="97"/>
                </w:rPr>
                <w:t>Sixth Supplemental Indenture (Series A and Series B 6.70% Senior Notes due 2036) dated May 12, 2006 among Plains All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American Pipeline, L.P., PAA Finance Corp., the Subsidiary Guarantors named therein and Wachovia Bank, National Association,</w:t>
              </w:r>
            </w:hyperlink>
          </w:p>
        </w:tc>
        <w:tc>
          <w:tcPr>
            <w:tcW w:w="8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78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as trustee (incorporated by reference to Exhibit 4.1 to our Current Report on Form 8-K filed May 12, 2006).</w:t>
              </w:r>
            </w:hyperlink>
          </w:p>
        </w:tc>
        <w:tc>
          <w:tcPr>
            <w:tcW w:w="1700" w:type="dxa"/>
            <w:vAlign w:val="bottom"/>
            <w:gridSpan w:val="21"/>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76">
              <w:r>
                <w:rPr>
                  <w:rFonts w:ascii="Arial" w:cs="Arial" w:eastAsia="Arial" w:hAnsi="Arial"/>
                  <w:sz w:val="18"/>
                  <w:szCs w:val="18"/>
                  <w:color w:val="0000FF"/>
                  <w:w w:val="93"/>
                </w:rPr>
                <w:t>Tenth Supplemental Indenture (Series A and Series B 6.650% Senior Notes due 2037) dated October 30, 2006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20" w:type="dxa"/>
            <w:vAlign w:val="bottom"/>
            <w:tcBorders>
              <w:top w:val="single" w:sz="8" w:color="0000FF"/>
            </w:tcBorders>
            <w:gridSpan w:val="23"/>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American Pipeline, L.P., PAA Finance Corp., the Subsidiary Guarantors named therein and U.S. Bank National Association, as</w:t>
              </w:r>
            </w:hyperlink>
          </w:p>
        </w:tc>
        <w:tc>
          <w:tcPr>
            <w:tcW w:w="2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trustee (incorporated by reference to Exhibit 4.2 to our Current Report on Form 8-K filed October 30, 2006).</w:t>
              </w:r>
            </w:hyperlink>
          </w:p>
        </w:tc>
        <w:tc>
          <w:tcPr>
            <w:tcW w:w="340" w:type="dxa"/>
            <w:vAlign w:val="bottom"/>
            <w:gridSpan w:val="10"/>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7">
              <w:r>
                <w:rPr>
                  <w:rFonts w:ascii="Arial" w:cs="Arial" w:eastAsia="Arial" w:hAnsi="Arial"/>
                  <w:sz w:val="18"/>
                  <w:szCs w:val="18"/>
                  <w:color w:val="0000FF"/>
                  <w:w w:val="97"/>
                </w:rPr>
                <w:t>Seventeenth Supplemental Indenture (5.75% Senior Notes due 2020) dated September 4, 2009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Pipeline, L.P., PAA Finance Corp., the Subsidiary Guarantors named therein and U.S. Bank National Association, as trustee</w:t>
              </w:r>
            </w:hyperlink>
          </w:p>
        </w:tc>
        <w:tc>
          <w:tcPr>
            <w:tcW w:w="56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30"/>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(incorporated by reference to Exhibit 4.1 to our Current Report on Form 8-K filed September 4, 2009).</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8">
              <w:r>
                <w:rPr>
                  <w:rFonts w:ascii="Arial" w:cs="Arial" w:eastAsia="Arial" w:hAnsi="Arial"/>
                  <w:sz w:val="18"/>
                  <w:szCs w:val="18"/>
                  <w:color w:val="0000FF"/>
                  <w:w w:val="92"/>
                </w:rPr>
                <w:t>Nineteenth Supplemental Indenture (5.00% Senior Notes due 2021) dated January 14, 2011 among Plains All American Pipeline,</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L.P., PAA Finance Corp., the Subsidiary Guarantors named therein and U.S. Bank National Association, as trustee (incorporated by</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30"/>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reference to Exhibit 4.1 to our Current Report on Form 8-K filed January 11, 2011).</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9">
              <w:r>
                <w:rPr>
                  <w:rFonts w:ascii="Arial" w:cs="Arial" w:eastAsia="Arial" w:hAnsi="Arial"/>
                  <w:sz w:val="18"/>
                  <w:szCs w:val="18"/>
                  <w:color w:val="0000FF"/>
                  <w:w w:val="94"/>
                </w:rPr>
                <w:t>Twentieth Supplemental Indenture (3.65% Senior Notes due 2022) dated March 22, 2012 among Plains All American Pipeline,</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44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30"/>
          </w:tcPr>
          <w:p>
            <w:pPr>
              <w:spacing w:after="0" w:line="196"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L.P., PAA Finance Corp. and U.S. Bank National Association, as trustee (incorporated by reference to Exhibit 4.1 to our Current</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4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Report on Form 8-K filed March 26, 2012).</w:t>
              </w:r>
            </w:hyperlink>
          </w:p>
        </w:tc>
        <w:tc>
          <w:tcPr>
            <w:tcW w:w="24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0">
              <w:r>
                <w:rPr>
                  <w:rFonts w:ascii="Arial" w:cs="Arial" w:eastAsia="Arial" w:hAnsi="Arial"/>
                  <w:sz w:val="18"/>
                  <w:szCs w:val="18"/>
                  <w:color w:val="0000FF"/>
                  <w:w w:val="93"/>
                </w:rPr>
                <w:t>Twenty-First Supplemental Indenture (5.15% Senior Notes due 2042) dated March 22, 2012 among Plains All American Pipeline,</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60" w:type="dxa"/>
            <w:vAlign w:val="bottom"/>
            <w:tcBorders>
              <w:top w:val="single" w:sz="8" w:color="0000FF"/>
            </w:tcBorders>
            <w:gridSpan w:val="27"/>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L.P., PAA Finance Corp. and U.S. Bank National Association, as trustee (incorporated by reference to Exhibit 4.3 to our Current</w:t>
              </w:r>
            </w:hyperlink>
          </w:p>
        </w:tc>
        <w:tc>
          <w:tcPr>
            <w:tcW w:w="12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4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Report on Form 8-K filed March 26, 2012).</w:t>
              </w:r>
            </w:hyperlink>
          </w:p>
        </w:tc>
        <w:tc>
          <w:tcPr>
            <w:tcW w:w="24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81">
              <w:r>
                <w:rPr>
                  <w:rFonts w:ascii="Arial" w:cs="Arial" w:eastAsia="Arial" w:hAnsi="Arial"/>
                  <w:sz w:val="18"/>
                  <w:szCs w:val="18"/>
                  <w:color w:val="0000FF"/>
                  <w:w w:val="95"/>
                </w:rPr>
                <w:t>Twenty-Second Supplemental Indenture (2.85% Senior Notes due 2023) dated December 10, 2012,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American Pipeline, L.P., PAA Finance Corp. and U.S. Bank National Association, as trustee (incorporated by reference to</w:t>
              </w:r>
            </w:hyperlink>
          </w:p>
        </w:tc>
        <w:tc>
          <w:tcPr>
            <w:tcW w:w="200" w:type="dxa"/>
            <w:vAlign w:val="bottom"/>
            <w:tcBorders>
              <w:top w:val="single" w:sz="8" w:color="0000FF"/>
            </w:tcBorders>
            <w:gridSpan w:val="5"/>
          </w:tcPr>
          <w:p>
            <w:pPr>
              <w:spacing w:after="0"/>
              <w:rPr>
                <w:sz w:val="17"/>
                <w:szCs w:val="17"/>
                <w:color w:val="auto"/>
              </w:rPr>
            </w:pPr>
          </w:p>
        </w:tc>
        <w:tc>
          <w:tcPr>
            <w:tcW w:w="50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30"/>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Exhibit 4.1 to our Current Report on Form 8-K filed December 12, 2012).</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82">
              <w:r>
                <w:rPr>
                  <w:rFonts w:ascii="Arial" w:cs="Arial" w:eastAsia="Arial" w:hAnsi="Arial"/>
                  <w:sz w:val="18"/>
                  <w:szCs w:val="18"/>
                  <w:color w:val="0000FF"/>
                  <w:w w:val="97"/>
                </w:rPr>
                <w:t>Twenty-Third Supplemental Indenture (4.30% Senior Notes due 2043) dated December 10, 2012,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American Pipeline, L.P., PAA Finance Corp. and U.S. Bank National Association, as trustee (incorporated by reference to</w:t>
              </w:r>
            </w:hyperlink>
          </w:p>
        </w:tc>
        <w:tc>
          <w:tcPr>
            <w:tcW w:w="80" w:type="dxa"/>
            <w:vAlign w:val="bottom"/>
            <w:tcBorders>
              <w:top w:val="single" w:sz="8" w:color="0000FF"/>
            </w:tcBorders>
            <w:gridSpan w:val="2"/>
          </w:tcPr>
          <w:p>
            <w:pPr>
              <w:spacing w:after="0"/>
              <w:rPr>
                <w:sz w:val="17"/>
                <w:szCs w:val="17"/>
                <w:color w:val="auto"/>
              </w:rPr>
            </w:pPr>
          </w:p>
        </w:tc>
        <w:tc>
          <w:tcPr>
            <w:tcW w:w="62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30"/>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Exhibit 4.3 to our Current Report on Form 8-K filed December 12, 2012).</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83">
              <w:r>
                <w:rPr>
                  <w:rFonts w:ascii="Arial" w:cs="Arial" w:eastAsia="Arial" w:hAnsi="Arial"/>
                  <w:sz w:val="18"/>
                  <w:szCs w:val="18"/>
                  <w:color w:val="0000FF"/>
                  <w:w w:val="91"/>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60" w:type="dxa"/>
            <w:vAlign w:val="bottom"/>
            <w:tcBorders>
              <w:top w:val="single" w:sz="8" w:color="0000FF"/>
            </w:tcBorders>
            <w:gridSpan w:val="29"/>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Pipeline, L.P., PAA Finance Corp. and U.S. Bank National Association, as trustee (incorporated by reference to Exhibit 4.1 to our</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Current Report on Form 8-K filed August 15, 2013).</w:t>
              </w:r>
            </w:hyperlink>
          </w:p>
        </w:tc>
        <w:tc>
          <w:tcPr>
            <w:tcW w:w="16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84">
              <w:r>
                <w:rPr>
                  <w:rFonts w:ascii="Arial" w:cs="Arial" w:eastAsia="Arial" w:hAnsi="Arial"/>
                  <w:sz w:val="18"/>
                  <w:szCs w:val="18"/>
                  <w:color w:val="0000FF"/>
                  <w:w w:val="95"/>
                </w:rPr>
                <w:t>Twenty-Fifth Supplemental Indenture (4.70% Senior Notes due 2044) dated April 23, 2014, by and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440" w:type="dxa"/>
            <w:vAlign w:val="bottom"/>
            <w:tcBorders>
              <w:left w:val="single" w:sz="8" w:color="0000FF"/>
            </w:tcBorders>
            <w:gridSpan w:val="7"/>
            <w:shd w:val="clear" w:color="auto" w:fill="0000FF"/>
          </w:tcPr>
          <w:p>
            <w:pPr>
              <w:spacing w:after="0" w:line="20" w:lineRule="exact"/>
              <w:rPr>
                <w:sz w:val="1"/>
                <w:szCs w:val="1"/>
                <w:color w:val="auto"/>
              </w:rPr>
            </w:pPr>
          </w:p>
        </w:tc>
        <w:tc>
          <w:tcPr>
            <w:tcW w:w="440" w:type="dxa"/>
            <w:vAlign w:val="bottom"/>
            <w:gridSpan w:val="10"/>
            <w:shd w:val="clear" w:color="auto" w:fill="0000FF"/>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30"/>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Current Report on Form 8-K filed April 29, 2014)</w:t>
              </w:r>
              <w:r>
                <w:rPr>
                  <w:rFonts w:ascii="Arial" w:cs="Arial" w:eastAsia="Arial" w:hAnsi="Arial"/>
                  <w:sz w:val="18"/>
                  <w:szCs w:val="18"/>
                  <w:color w:val="000000"/>
                </w:rPr>
                <w:t>.</w:t>
              </w:r>
            </w:hyperlink>
          </w:p>
        </w:tc>
        <w:tc>
          <w:tcPr>
            <w:tcW w:w="16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720" w:type="dxa"/>
            <w:vAlign w:val="bottom"/>
            <w:gridSpan w:val="18"/>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 w:type="dxa"/>
            <w:vAlign w:val="bottom"/>
          </w:tcPr>
          <w:p>
            <w:pPr>
              <w:spacing w:after="0"/>
              <w:rPr>
                <w:sz w:val="24"/>
                <w:szCs w:val="24"/>
                <w:color w:val="auto"/>
              </w:rPr>
            </w:pPr>
          </w:p>
        </w:tc>
        <w:tc>
          <w:tcPr>
            <w:tcW w:w="9960" w:type="dxa"/>
            <w:vAlign w:val="bottom"/>
            <w:gridSpan w:val="31"/>
          </w:tcPr>
          <w:p>
            <w:pPr>
              <w:ind w:left="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85">
              <w:r>
                <w:rPr>
                  <w:rFonts w:ascii="Arial" w:cs="Arial" w:eastAsia="Arial" w:hAnsi="Arial"/>
                  <w:sz w:val="18"/>
                  <w:szCs w:val="18"/>
                  <w:color w:val="0000FF"/>
                  <w:w w:val="98"/>
                </w:rPr>
                <w:t>Twenty-Sixth Supplemental Indenture (3.60% Senior Notes due 2024) dated September 9, 2014, by and among Plains All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20" w:type="dxa"/>
            <w:vAlign w:val="bottom"/>
            <w:gridSpan w:val="5"/>
            <w:shd w:val="clear" w:color="auto" w:fill="0000FF"/>
          </w:tcPr>
          <w:p>
            <w:pPr>
              <w:spacing w:after="0" w:line="20" w:lineRule="exact"/>
              <w:rPr>
                <w:sz w:val="1"/>
                <w:szCs w:val="1"/>
                <w:color w:val="auto"/>
              </w:rPr>
            </w:pPr>
          </w:p>
        </w:tc>
        <w:tc>
          <w:tcPr>
            <w:tcW w:w="3440" w:type="dxa"/>
            <w:vAlign w:val="bottom"/>
            <w:tcBorders>
              <w:left w:val="single" w:sz="8" w:color="0000FF"/>
            </w:tcBorders>
            <w:gridSpan w:val="7"/>
            <w:shd w:val="clear" w:color="auto" w:fill="0000FF"/>
          </w:tcPr>
          <w:p>
            <w:pPr>
              <w:spacing w:after="0" w:line="20" w:lineRule="exact"/>
              <w:rPr>
                <w:sz w:val="1"/>
                <w:szCs w:val="1"/>
                <w:color w:val="auto"/>
              </w:rPr>
            </w:pPr>
          </w:p>
        </w:tc>
        <w:tc>
          <w:tcPr>
            <w:tcW w:w="720" w:type="dxa"/>
            <w:vAlign w:val="bottom"/>
            <w:gridSpan w:val="18"/>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American Pipeline, L.P., PAA Finance Corp. and U.S. Bank National Association, as trustee (incorporated by reference to</w:t>
              </w:r>
            </w:hyperlink>
          </w:p>
        </w:tc>
        <w:tc>
          <w:tcPr>
            <w:tcW w:w="700" w:type="dxa"/>
            <w:vAlign w:val="bottom"/>
            <w:gridSpan w:val="1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30"/>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Exhibit 4.1 to our Current Report on Form 8-K filed September 11, 2014).</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340"/>
          </w:cols>
          <w:pgMar w:left="240" w:top="108" w:right="31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jc w:val="center"/>
              <w:ind w:right="100"/>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1"/>
              </w:rPr>
              <w:t>4.13</w:t>
            </w:r>
          </w:p>
        </w:tc>
        <w:tc>
          <w:tcPr>
            <w:tcW w:w="100" w:type="dxa"/>
            <w:vAlign w:val="bottom"/>
          </w:tcPr>
          <w:p>
            <w:pPr>
              <w:spacing w:after="0"/>
              <w:rPr>
                <w:sz w:val="24"/>
                <w:szCs w:val="24"/>
                <w:color w:val="auto"/>
              </w:rPr>
            </w:pPr>
          </w:p>
        </w:tc>
        <w:tc>
          <w:tcPr>
            <w:tcW w:w="9900" w:type="dxa"/>
            <w:vAlign w:val="bottom"/>
            <w:gridSpan w:val="18"/>
          </w:tcPr>
          <w:p>
            <w:pPr>
              <w:ind w:left="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86">
              <w:r>
                <w:rPr>
                  <w:rFonts w:ascii="Arial" w:cs="Arial" w:eastAsia="Arial" w:hAnsi="Arial"/>
                  <w:sz w:val="18"/>
                  <w:szCs w:val="18"/>
                  <w:color w:val="0000FF"/>
                  <w:w w:val="95"/>
                </w:rPr>
                <w:t>Twenty-Seventh Supplemental Indenture (2.60% Senior Notes due 2019) dated December 9, 2014,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40" w:type="dxa"/>
            <w:vAlign w:val="bottom"/>
            <w:tcBorders>
              <w:top w:val="single" w:sz="8" w:color="0000FF"/>
            </w:tcBorders>
            <w:gridSpan w:val="11"/>
          </w:tcPr>
          <w:p>
            <w:pPr>
              <w:spacing w:after="0" w:line="196"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American Pipeline, L.P., PAA Finance Corp. and U.S. Bank National Association, as trustee (incorporated by reference to</w:t>
              </w:r>
            </w:hyperlink>
          </w:p>
        </w:tc>
        <w:tc>
          <w:tcPr>
            <w:tcW w:w="4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Exhibit 4.1 to our Current Report on Form 8-K filed December 11, 2014).</w:t>
              </w:r>
            </w:hyperlink>
          </w:p>
        </w:tc>
        <w:tc>
          <w:tcPr>
            <w:tcW w:w="3440" w:type="dxa"/>
            <w:vAlign w:val="bottom"/>
            <w:tcBorders>
              <w:top w:val="single" w:sz="8" w:color="0000FF"/>
            </w:tcBorders>
            <w:gridSpan w:val="5"/>
          </w:tcPr>
          <w:p>
            <w:pPr>
              <w:spacing w:after="0"/>
              <w:rPr>
                <w:sz w:val="17"/>
                <w:szCs w:val="17"/>
                <w:color w:val="auto"/>
              </w:rPr>
            </w:pPr>
          </w:p>
        </w:tc>
        <w:tc>
          <w:tcPr>
            <w:tcW w:w="660" w:type="dxa"/>
            <w:vAlign w:val="bottom"/>
            <w:gridSpan w:val="8"/>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tcPr>
          <w:p>
            <w:pPr>
              <w:spacing w:after="0"/>
              <w:rPr>
                <w:sz w:val="24"/>
                <w:szCs w:val="24"/>
                <w:color w:val="auto"/>
              </w:rPr>
            </w:pPr>
          </w:p>
        </w:tc>
        <w:tc>
          <w:tcPr>
            <w:tcW w:w="9900" w:type="dxa"/>
            <w:vAlign w:val="bottom"/>
            <w:gridSpan w:val="18"/>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87">
              <w:r>
                <w:rPr>
                  <w:rFonts w:ascii="Arial" w:cs="Arial" w:eastAsia="Arial" w:hAnsi="Arial"/>
                  <w:sz w:val="18"/>
                  <w:szCs w:val="18"/>
                  <w:color w:val="0000FF"/>
                  <w:w w:val="97"/>
                </w:rPr>
                <w:t>Twenty-Eighth Supplemental Indenture (4.90% Senior Notes due 2045) dated December 9, 2014,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40" w:type="dxa"/>
            <w:vAlign w:val="bottom"/>
            <w:tcBorders>
              <w:top w:val="single" w:sz="8" w:color="0000FF"/>
            </w:tcBorders>
            <w:gridSpan w:val="10"/>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American Pipeline, L.P., PAA Finance Corp. and U.S. Bank National Association, as trustee (incorporated by reference to</w:t>
              </w:r>
            </w:hyperlink>
          </w:p>
        </w:tc>
        <w:tc>
          <w:tcPr>
            <w:tcW w:w="58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Exhibit 4.3 to our Current Report on Form 8-K filed December 11, 2014).</w:t>
              </w:r>
            </w:hyperlink>
          </w:p>
        </w:tc>
        <w:tc>
          <w:tcPr>
            <w:tcW w:w="3440" w:type="dxa"/>
            <w:vAlign w:val="bottom"/>
            <w:tcBorders>
              <w:top w:val="single" w:sz="8" w:color="0000FF"/>
            </w:tcBorders>
            <w:gridSpan w:val="5"/>
          </w:tcPr>
          <w:p>
            <w:pPr>
              <w:spacing w:after="0"/>
              <w:rPr>
                <w:sz w:val="17"/>
                <w:szCs w:val="17"/>
                <w:color w:val="auto"/>
              </w:rPr>
            </w:pPr>
          </w:p>
        </w:tc>
        <w:tc>
          <w:tcPr>
            <w:tcW w:w="660" w:type="dxa"/>
            <w:vAlign w:val="bottom"/>
            <w:gridSpan w:val="8"/>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00" w:type="dxa"/>
            <w:vAlign w:val="bottom"/>
          </w:tcPr>
          <w:p>
            <w:pPr>
              <w:spacing w:after="0"/>
              <w:rPr>
                <w:sz w:val="24"/>
                <w:szCs w:val="24"/>
                <w:color w:val="auto"/>
              </w:rPr>
            </w:pPr>
          </w:p>
        </w:tc>
        <w:tc>
          <w:tcPr>
            <w:tcW w:w="9900" w:type="dxa"/>
            <w:vAlign w:val="bottom"/>
            <w:gridSpan w:val="18"/>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88">
              <w:r>
                <w:rPr>
                  <w:rFonts w:ascii="Arial" w:cs="Arial" w:eastAsia="Arial" w:hAnsi="Arial"/>
                  <w:sz w:val="18"/>
                  <w:szCs w:val="18"/>
                  <w:color w:val="0000FF"/>
                  <w:w w:val="92"/>
                </w:rPr>
                <w:t>Twenty-Ninth Supplemental Indenture (4.65% Senior Notes due 2025) dated August 24, 2015, by and among Plains All American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Pipeline, L.P., PAA Finance Corp. and U.S. Bank National Association, as trustee (incorporated by reference to Exhibit 4.1 to our</w:t>
              </w:r>
            </w:hyperlink>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20" w:type="dxa"/>
            <w:vAlign w:val="bottom"/>
            <w:gridSpan w:val="17"/>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Current Report on Form 8-K filed August 26, 2015).</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00" w:type="dxa"/>
            <w:vAlign w:val="bottom"/>
          </w:tcPr>
          <w:p>
            <w:pPr>
              <w:spacing w:after="0"/>
              <w:rPr>
                <w:sz w:val="24"/>
                <w:szCs w:val="24"/>
                <w:color w:val="auto"/>
              </w:rPr>
            </w:pPr>
          </w:p>
        </w:tc>
        <w:tc>
          <w:tcPr>
            <w:tcW w:w="9900" w:type="dxa"/>
            <w:vAlign w:val="bottom"/>
            <w:gridSpan w:val="18"/>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9">
              <w:r>
                <w:rPr>
                  <w:rFonts w:ascii="Arial" w:cs="Arial" w:eastAsia="Arial" w:hAnsi="Arial"/>
                  <w:sz w:val="18"/>
                  <w:szCs w:val="18"/>
                  <w:color w:val="0000FF"/>
                  <w:w w:val="93"/>
                </w:rPr>
                <w:t>Thirtieth Supplemental Indenture (4.50% Senior Notes due 2026) dated November 22, 2016, by and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Pipeline, L.P., PAA Finance Corp. and U.S. Bank National Association, as trustee (incorporated by reference to Exhibit 4.1 to our</w:t>
              </w:r>
            </w:hyperlink>
          </w:p>
        </w:tc>
        <w:tc>
          <w:tcPr>
            <w:tcW w:w="8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20" w:type="dxa"/>
            <w:vAlign w:val="bottom"/>
            <w:gridSpan w:val="17"/>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Current Report on Form 8-K filed November 29, 2016)</w:t>
              </w:r>
              <w:r>
                <w:rPr>
                  <w:rFonts w:ascii="Arial" w:cs="Arial" w:eastAsia="Arial" w:hAnsi="Arial"/>
                  <w:sz w:val="18"/>
                  <w:szCs w:val="18"/>
                  <w:color w:val="000000"/>
                </w:rPr>
                <w:t>.</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00" w:type="dxa"/>
            <w:vAlign w:val="bottom"/>
          </w:tcPr>
          <w:p>
            <w:pPr>
              <w:spacing w:after="0"/>
              <w:rPr>
                <w:sz w:val="24"/>
                <w:szCs w:val="24"/>
                <w:color w:val="auto"/>
              </w:rPr>
            </w:pPr>
          </w:p>
        </w:tc>
        <w:tc>
          <w:tcPr>
            <w:tcW w:w="9900" w:type="dxa"/>
            <w:vAlign w:val="bottom"/>
            <w:gridSpan w:val="18"/>
          </w:tcPr>
          <w:p>
            <w:pPr>
              <w:ind w:left="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90">
              <w:r>
                <w:rPr>
                  <w:rFonts w:ascii="Arial" w:cs="Arial" w:eastAsia="Arial" w:hAnsi="Arial"/>
                  <w:sz w:val="18"/>
                  <w:szCs w:val="18"/>
                  <w:color w:val="0000FF"/>
                  <w:w w:val="95"/>
                </w:rPr>
                <w:t>Registration Rights Agreement dated September 3, 2009 by and between Plains All American Pipeline, L.P. and Vulcan Gas</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7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Storage LLC (incorporated by reference to Exhibit 4.1 to our Registration Statement on Form S-3, File No. 333-162477).</w:t>
              </w:r>
            </w:hyperlink>
          </w:p>
        </w:tc>
        <w:tc>
          <w:tcPr>
            <w:tcW w:w="220" w:type="dxa"/>
            <w:vAlign w:val="bottom"/>
            <w:tcBorders>
              <w:top w:val="single" w:sz="8" w:color="0000FF"/>
            </w:tcBorders>
            <w:gridSpan w:val="4"/>
          </w:tcPr>
          <w:p>
            <w:pPr>
              <w:spacing w:after="0"/>
              <w:rPr>
                <w:sz w:val="17"/>
                <w:szCs w:val="17"/>
                <w:color w:val="auto"/>
              </w:rPr>
            </w:pPr>
          </w:p>
        </w:tc>
        <w:tc>
          <w:tcPr>
            <w:tcW w:w="460" w:type="dxa"/>
            <w:vAlign w:val="bottom"/>
            <w:gridSpan w:val="5"/>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100" w:type="dxa"/>
            <w:vAlign w:val="bottom"/>
          </w:tcPr>
          <w:p>
            <w:pPr>
              <w:spacing w:after="0"/>
              <w:rPr>
                <w:sz w:val="24"/>
                <w:szCs w:val="24"/>
                <w:color w:val="auto"/>
              </w:rPr>
            </w:pPr>
          </w:p>
        </w:tc>
        <w:tc>
          <w:tcPr>
            <w:tcW w:w="9900" w:type="dxa"/>
            <w:vAlign w:val="bottom"/>
            <w:gridSpan w:val="18"/>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91">
              <w:r>
                <w:rPr>
                  <w:rFonts w:ascii="Arial" w:cs="Arial" w:eastAsia="Arial" w:hAnsi="Arial"/>
                  <w:sz w:val="18"/>
                  <w:szCs w:val="18"/>
                  <w:color w:val="0000FF"/>
                  <w:w w:val="91"/>
                </w:rPr>
                <w:t>Registration Rights Agreement dated as of January 28, 2016 among Plains All American Pipeline, L.P. and the Purchasers named</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therein (incorporated by reference to Exhibit 4.1 to our Current Report on Form 8-K filed February 2, 2016).</w:t>
              </w:r>
            </w:hyperlink>
          </w:p>
        </w:tc>
        <w:tc>
          <w:tcPr>
            <w:tcW w:w="10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8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10"/>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100" w:type="dxa"/>
            <w:vAlign w:val="bottom"/>
          </w:tcPr>
          <w:p>
            <w:pPr>
              <w:spacing w:after="0"/>
              <w:rPr>
                <w:sz w:val="24"/>
                <w:szCs w:val="24"/>
                <w:color w:val="auto"/>
              </w:rPr>
            </w:pPr>
          </w:p>
        </w:tc>
        <w:tc>
          <w:tcPr>
            <w:tcW w:w="9900" w:type="dxa"/>
            <w:vAlign w:val="bottom"/>
            <w:gridSpan w:val="18"/>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92">
              <w:r>
                <w:rPr>
                  <w:rFonts w:ascii="Arial" w:cs="Arial" w:eastAsia="Arial" w:hAnsi="Arial"/>
                  <w:sz w:val="18"/>
                  <w:szCs w:val="18"/>
                  <w:color w:val="0000FF"/>
                  <w:w w:val="91"/>
                </w:rPr>
                <w:t>Registration Rights Agreement by and among Plains All American Pipeline, L.P. and the Holders defined therein, dated November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15, 2016 (incorporated by reference to Exhibit 10.4 to our Current Report on Form 8-K filed November 21, 2016).</w:t>
              </w:r>
            </w:hyperlink>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8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1180" w:type="dxa"/>
            <w:vAlign w:val="bottom"/>
            <w:gridSpan w:val="10"/>
          </w:tcPr>
          <w:p>
            <w:pPr>
              <w:spacing w:after="0" w:line="20" w:lineRule="exact"/>
              <w:rPr>
                <w:sz w:val="1"/>
                <w:szCs w:val="1"/>
                <w:color w:val="auto"/>
              </w:rPr>
            </w:pPr>
          </w:p>
        </w:tc>
      </w:tr>
      <w:tr>
        <w:trPr>
          <w:trHeight w:val="37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31.1 †</w:t>
            </w:r>
          </w:p>
        </w:tc>
        <w:tc>
          <w:tcPr>
            <w:tcW w:w="9900" w:type="dxa"/>
            <w:vAlign w:val="bottom"/>
            <w:gridSpan w:val="18"/>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Executive Officer pursuant to Exchange Act Rules 13a-14(a) and 15d-14(a).</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8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140" w:type="dxa"/>
            <w:vAlign w:val="bottom"/>
            <w:tcBorders>
              <w:left w:val="single" w:sz="8" w:color="0000FF"/>
            </w:tcBorders>
            <w:gridSpan w:val="12"/>
          </w:tcPr>
          <w:p>
            <w:pPr>
              <w:spacing w:after="0" w:line="20" w:lineRule="exact"/>
              <w:rPr>
                <w:sz w:val="1"/>
                <w:szCs w:val="1"/>
                <w:color w:val="auto"/>
              </w:rPr>
            </w:pPr>
          </w:p>
        </w:tc>
      </w:tr>
      <w:tr>
        <w:trPr>
          <w:trHeight w:val="37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31.2 †</w:t>
            </w:r>
          </w:p>
        </w:tc>
        <w:tc>
          <w:tcPr>
            <w:tcW w:w="9900" w:type="dxa"/>
            <w:vAlign w:val="bottom"/>
            <w:gridSpan w:val="18"/>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Financial Officer pursuant to Exchange Act Rules 13a-14(a) and 15d-14(a).</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8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140" w:type="dxa"/>
            <w:vAlign w:val="bottom"/>
            <w:gridSpan w:val="12"/>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32.1 ††</w:t>
            </w:r>
          </w:p>
        </w:tc>
        <w:tc>
          <w:tcPr>
            <w:tcW w:w="9900" w:type="dxa"/>
            <w:vAlign w:val="bottom"/>
            <w:gridSpan w:val="18"/>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Executive Officer pursuant to 18 U.S.C. 1350.</w:t>
            </w:r>
          </w:p>
        </w:tc>
      </w:tr>
      <w:tr>
        <w:trPr>
          <w:trHeight w:val="20"/>
        </w:trPr>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80" w:type="dxa"/>
            <w:vAlign w:val="bottom"/>
            <w:tcBorders>
              <w:right w:val="single" w:sz="8" w:color="0000FF"/>
            </w:tcBorders>
            <w:gridSpan w:val="3"/>
            <w:shd w:val="clear" w:color="auto" w:fill="0000FF"/>
          </w:tcPr>
          <w:p>
            <w:pPr>
              <w:spacing w:after="0" w:line="20" w:lineRule="exact"/>
              <w:rPr>
                <w:sz w:val="1"/>
                <w:szCs w:val="1"/>
                <w:color w:val="auto"/>
              </w:rPr>
            </w:pPr>
          </w:p>
        </w:tc>
        <w:tc>
          <w:tcPr>
            <w:tcW w:w="4240" w:type="dxa"/>
            <w:vAlign w:val="bottom"/>
            <w:gridSpan w:val="14"/>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32.2 ††</w:t>
            </w:r>
          </w:p>
        </w:tc>
        <w:tc>
          <w:tcPr>
            <w:tcW w:w="9900" w:type="dxa"/>
            <w:vAlign w:val="bottom"/>
            <w:gridSpan w:val="18"/>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Principal Financial Officer pursuant to 18 U.S.C. 1350.</w:t>
            </w:r>
          </w:p>
        </w:tc>
      </w:tr>
      <w:tr>
        <w:trPr>
          <w:trHeight w:val="41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101.INS†</w:t>
            </w: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51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4240" w:type="dxa"/>
            <w:vAlign w:val="bottom"/>
            <w:gridSpan w:val="14"/>
          </w:tcPr>
          <w:p>
            <w:pPr>
              <w:spacing w:after="0"/>
              <w:rPr>
                <w:sz w:val="24"/>
                <w:szCs w:val="24"/>
                <w:color w:val="auto"/>
              </w:rPr>
            </w:pPr>
          </w:p>
        </w:tc>
      </w:tr>
      <w:tr>
        <w:trPr>
          <w:trHeight w:val="39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101.SCH†</w:t>
            </w:r>
          </w:p>
        </w:tc>
        <w:tc>
          <w:tcPr>
            <w:tcW w:w="9900" w:type="dxa"/>
            <w:vAlign w:val="bottom"/>
            <w:gridSpan w:val="18"/>
          </w:tcPr>
          <w:p>
            <w:pPr>
              <w:ind w:left="80"/>
              <w:spacing w:after="0"/>
              <w:rPr>
                <w:sz w:val="20"/>
                <w:szCs w:val="20"/>
                <w:color w:val="auto"/>
              </w:rPr>
            </w:pPr>
            <w:r>
              <w:rPr>
                <w:rFonts w:ascii="Arial" w:cs="Arial" w:eastAsia="Arial" w:hAnsi="Arial"/>
                <w:sz w:val="18"/>
                <w:szCs w:val="18"/>
                <w:color w:val="auto"/>
              </w:rPr>
              <w:t>—   XBRL Taxonomy Extension Schema Document</w:t>
            </w:r>
          </w:p>
        </w:tc>
      </w:tr>
      <w:tr>
        <w:trPr>
          <w:trHeight w:val="39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9900" w:type="dxa"/>
            <w:vAlign w:val="bottom"/>
            <w:gridSpan w:val="18"/>
          </w:tcPr>
          <w:p>
            <w:pPr>
              <w:ind w:left="8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9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101.DEF†</w:t>
            </w:r>
          </w:p>
        </w:tc>
        <w:tc>
          <w:tcPr>
            <w:tcW w:w="9900" w:type="dxa"/>
            <w:vAlign w:val="bottom"/>
            <w:gridSpan w:val="18"/>
          </w:tcPr>
          <w:p>
            <w:pPr>
              <w:ind w:left="8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9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101.LAB†</w:t>
            </w:r>
          </w:p>
        </w:tc>
        <w:tc>
          <w:tcPr>
            <w:tcW w:w="9900" w:type="dxa"/>
            <w:vAlign w:val="bottom"/>
            <w:gridSpan w:val="18"/>
          </w:tcPr>
          <w:p>
            <w:pPr>
              <w:ind w:left="80"/>
              <w:spacing w:after="0"/>
              <w:rPr>
                <w:sz w:val="20"/>
                <w:szCs w:val="20"/>
                <w:color w:val="auto"/>
              </w:rPr>
            </w:pPr>
            <w:r>
              <w:rPr>
                <w:rFonts w:ascii="Arial" w:cs="Arial" w:eastAsia="Arial" w:hAnsi="Arial"/>
                <w:sz w:val="18"/>
                <w:szCs w:val="18"/>
                <w:color w:val="auto"/>
              </w:rPr>
              <w:t>—   XBRL Taxonomy Extension Label Linkbase Document</w:t>
            </w:r>
          </w:p>
        </w:tc>
      </w:tr>
      <w:tr>
        <w:trPr>
          <w:trHeight w:val="39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101.PRE†</w:t>
            </w: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942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83"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955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97"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80"/>
          </w:cols>
          <w:pgMar w:left="240" w:top="108" w:right="3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PLAINS ALL AMERICAN PIPELINE, L.P.</w:t>
      </w:r>
    </w:p>
    <w:p>
      <w:pPr>
        <w:spacing w:after="0" w:line="33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PAA GP LLC,</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Plains AAP, L.P.,</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its sole member</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PLAINS ALL AMERICAN GP LLC,</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Pr>
          <w:p>
            <w:pPr>
              <w:ind w:left="20"/>
              <w:spacing w:after="0"/>
              <w:rPr>
                <w:sz w:val="20"/>
                <w:szCs w:val="20"/>
                <w:color w:val="auto"/>
              </w:rPr>
            </w:pPr>
            <w:r>
              <w:rPr>
                <w:rFonts w:ascii="Arial" w:cs="Arial" w:eastAsia="Arial" w:hAnsi="Arial"/>
                <w:sz w:val="18"/>
                <w:szCs w:val="18"/>
                <w:color w:val="auto"/>
              </w:rPr>
              <w:t>/s/ Willie Chiang</w:t>
            </w:r>
          </w:p>
        </w:tc>
      </w:tr>
      <w:tr>
        <w:trPr>
          <w:trHeight w:val="27"/>
        </w:trPr>
        <w:tc>
          <w:tcPr>
            <w:tcW w:w="6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2019</w:t>
      </w:r>
    </w:p>
    <w:p>
      <w:pPr>
        <w:spacing w:after="0" w:line="333"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499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i w:val="1"/>
          <w:iCs w:val="1"/>
          <w:color w:val="auto"/>
        </w:rPr>
        <w:t>Executive Vice President and Chief Financial Officer of Plains All</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2019</w:t>
      </w:r>
    </w:p>
    <w:p>
      <w:pPr>
        <w:spacing w:after="0" w:line="333" w:lineRule="exact"/>
        <w:rPr>
          <w:sz w:val="20"/>
          <w:szCs w:val="20"/>
          <w:color w:val="auto"/>
        </w:rPr>
      </w:pPr>
    </w:p>
    <w:p>
      <w:pPr>
        <w:ind w:left="56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499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00"/>
        <w:spacing w:after="0"/>
        <w:rPr>
          <w:sz w:val="20"/>
          <w:szCs w:val="20"/>
          <w:color w:val="auto"/>
        </w:rPr>
      </w:pPr>
      <w:r>
        <w:rPr>
          <w:rFonts w:ascii="Arial" w:cs="Arial" w:eastAsia="Arial" w:hAnsi="Arial"/>
          <w:sz w:val="16"/>
          <w:szCs w:val="16"/>
          <w:b w:val="1"/>
          <w:bCs w:val="1"/>
          <w:i w:val="1"/>
          <w:iCs w:val="1"/>
          <w:color w:val="auto"/>
        </w:rPr>
        <w:t>Senior Vice President and Chief Accounting Officer of Plains All</w:t>
      </w:r>
    </w:p>
    <w:p>
      <w:pPr>
        <w:spacing w:after="0" w:line="46"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30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2019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2019</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2019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1."/>
      <w:numFmt w:val="decimal"/>
      <w:start w:val="901"/>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1)"/>
      <w:numFmt w:val="decimal"/>
      <w:start w:val="3"/>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1)"/>
      <w:numFmt w:val="decimal"/>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2"/>
    </w:lvl>
  </w:abstractNum>
  <w:abstractNum w:abstractNumId="36">
    <w:nsid w:val="520EEDD1"/>
    <w:multiLevelType w:val="hybridMultilevel"/>
    <w:lvl w:ilvl="0">
      <w:lvlJc w:val="left"/>
      <w:lvlText w:val="(%1)"/>
      <w:numFmt w:val="decimal"/>
      <w:start w:val="10"/>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2"/>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3"/>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lowerRoman"/>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decimal"/>
      <w:start w:val="5"/>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decimal"/>
      <w:start w:val="5"/>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lowerRoman"/>
      <w:start w:val="1"/>
    </w:lvl>
  </w:abstractNum>
  <w:abstractNum w:abstractNumId="69">
    <w:nsid w:val="5F5E7FD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93" Type="http://schemas.openxmlformats.org/officeDocument/2006/relationships/image" Target="media/image47.png"/><Relationship Id="rId94" Type="http://schemas.openxmlformats.org/officeDocument/2006/relationships/image" Target="media/image48.png"/><Relationship Id="rId95" Type="http://schemas.openxmlformats.org/officeDocument/2006/relationships/image" Target="media/image49.png"/><Relationship Id="rId96" Type="http://schemas.openxmlformats.org/officeDocument/2006/relationships/image" Target="media/image50.png"/><Relationship Id="rId97" Type="http://schemas.openxmlformats.org/officeDocument/2006/relationships/image" Target="media/image51.png"/><Relationship Id="rId98" Type="http://schemas.openxmlformats.org/officeDocument/2006/relationships/image" Target="media/image52.png"/><Relationship Id="rId99" Type="http://schemas.openxmlformats.org/officeDocument/2006/relationships/image" Target="media/image53.png"/><Relationship Id="rId54" Type="http://schemas.openxmlformats.org/officeDocument/2006/relationships/hyperlink" Target="http://www.sec.gov/Archives/edgar/data/1070423/000110465917061889/a17-22685_5ex3d1.htm#Exhibit3_1_122228" TargetMode="External"/><Relationship Id="rId55" Type="http://schemas.openxmlformats.org/officeDocument/2006/relationships/hyperlink" Target="http://www.sec.gov/Archives/edgar/data/1070423/000104746904016502/a2135501zex-3_2.htm" TargetMode="External"/><Relationship Id="rId56" Type="http://schemas.openxmlformats.org/officeDocument/2006/relationships/hyperlink" Target="http://www.sec.gov/Archives/edgar/data/1070423/000110465911010359/a11-2319_1ex3d9.htm" TargetMode="External"/><Relationship Id="rId57" Type="http://schemas.openxmlformats.org/officeDocument/2006/relationships/hyperlink" Target="http://www.sec.gov/Archives/edgar/data/1070423/000110465911010359/a11-2319_1ex3d10.htm" TargetMode="External"/><Relationship Id="rId58" Type="http://schemas.openxmlformats.org/officeDocument/2006/relationships/hyperlink" Target="http://www.sec.gov/Archives/edgar/data/1070423/000110465914014322/a13-25941_1ex3d7.htm" TargetMode="External"/><Relationship Id="rId59" Type="http://schemas.openxmlformats.org/officeDocument/2006/relationships/hyperlink" Target="http://www.sec.gov/Archives/edgar/data/1070423/000110465914014322/a13-25941_1ex3d8.htm" TargetMode="External"/><Relationship Id="rId60" Type="http://schemas.openxmlformats.org/officeDocument/2006/relationships/hyperlink" Target="http://www.sec.gov/Archives/edgar/data/1070423/000104746904016502/a2135501zex-3_3.htm" TargetMode="External"/><Relationship Id="rId61" Type="http://schemas.openxmlformats.org/officeDocument/2006/relationships/hyperlink" Target="http://www.sec.gov/Archives/edgar/data/1070423/000110465914014322/a13-25941_1ex3d10.htm" TargetMode="External"/><Relationship Id="rId62" Type="http://schemas.openxmlformats.org/officeDocument/2006/relationships/hyperlink" Target="http://www.sec.gov/Archives/edgar/data/1070423/000110465916158355/a16-21841_1ex3d3.htm" TargetMode="External"/><Relationship Id="rId63" Type="http://schemas.openxmlformats.org/officeDocument/2006/relationships/hyperlink" Target="http://www.sec.gov/Archives/edgar/data/1070423/000110465916158355/a16-21841_1ex3d4.htm" TargetMode="External"/><Relationship Id="rId64" Type="http://schemas.openxmlformats.org/officeDocument/2006/relationships/hyperlink" Target="http://www.sec.gov/Archives/edgar/data/1070423/000110465918060011/a18-36196_1ex3d1.htm" TargetMode="External"/><Relationship Id="rId65" Type="http://schemas.openxmlformats.org/officeDocument/2006/relationships/hyperlink" Target="http://www.sec.gov/Archives/edgar/data/1070423/000095012907001096/h43224exv3w10.htm" TargetMode="External"/><Relationship Id="rId66" Type="http://schemas.openxmlformats.org/officeDocument/2006/relationships/hyperlink" Target="http://www.sec.gov/Archives/edgar/data/1070423/000095012907001096/h43224exv3w11.htm" TargetMode="External"/><Relationship Id="rId67" Type="http://schemas.openxmlformats.org/officeDocument/2006/relationships/hyperlink" Target="http://www.sec.gov/Archives/edgar/data/1070423/000095012908000071/h52770exv3w3.htm" TargetMode="External"/><Relationship Id="rId68" Type="http://schemas.openxmlformats.org/officeDocument/2006/relationships/hyperlink" Target="http://www.sec.gov/Archives/edgar/data/1581990/000104746913007875/a2216069zex-3_1.htm" TargetMode="External"/><Relationship Id="rId69" Type="http://schemas.openxmlformats.org/officeDocument/2006/relationships/hyperlink" Target="http://www.sec.gov/Archives/edgar/data/1581990/000110465916158356/a16-21845_1ex3d2.htm" TargetMode="External"/><Relationship Id="rId70" Type="http://schemas.openxmlformats.org/officeDocument/2006/relationships/hyperlink" Target="http://www.sec.gov/Archives/edgar/data/1581990/000104746913007875/a2216069zex-3_3.htm" TargetMode="External"/><Relationship Id="rId71" Type="http://schemas.openxmlformats.org/officeDocument/2006/relationships/hyperlink" Target="http://www.sec.gov/Archives/edgar/data/1070423/000110465917010601/a17-6891_1ex3d1.htm" TargetMode="External"/><Relationship Id="rId72" Type="http://schemas.openxmlformats.org/officeDocument/2006/relationships/hyperlink" Target="http://www.sec.gov/Archives/edgar/data/1070423/000110465918052848/a18-18381_3ex3d1.htm" TargetMode="External"/><Relationship Id="rId73" Type="http://schemas.openxmlformats.org/officeDocument/2006/relationships/hyperlink" Target="http://www.sec.gov/Archives/edgar/data/1070423/000110465918072384/a18-41341_1ex3d1.htm" TargetMode="External"/><Relationship Id="rId74" Type="http://schemas.openxmlformats.org/officeDocument/2006/relationships/hyperlink" Target="http://www.sec.gov/Archives/edgar/data/1070423/000089924302002834/dex41.txt" TargetMode="External"/><Relationship Id="rId75" Type="http://schemas.openxmlformats.org/officeDocument/2006/relationships/hyperlink" Target="http://www.sec.gov/Archives/edgar/data/1070423/000110465906034368/a06-11663_1ex4d1.htm" TargetMode="External"/><Relationship Id="rId76" Type="http://schemas.openxmlformats.org/officeDocument/2006/relationships/hyperlink" Target="http://www.sec.gov/Archives/edgar/data/1070423/000095012906009235/h40667exv4w2.htm" TargetMode="External"/><Relationship Id="rId77" Type="http://schemas.openxmlformats.org/officeDocument/2006/relationships/hyperlink" Target="http://www.sec.gov/Archives/edgar/data/1070423/000095012309041075/h67912exv4w1.htm" TargetMode="External"/><Relationship Id="rId78" Type="http://schemas.openxmlformats.org/officeDocument/2006/relationships/hyperlink" Target="http://www.sec.gov/Archives/edgar/data/1070423/000095012311002051/h78739exv4w1.htm" TargetMode="External"/><Relationship Id="rId79" Type="http://schemas.openxmlformats.org/officeDocument/2006/relationships/hyperlink" Target="http://www.sec.gov/Archives/edgar/data/1070423/000119312512132295/d321017dex41.htm" TargetMode="External"/><Relationship Id="rId80" Type="http://schemas.openxmlformats.org/officeDocument/2006/relationships/hyperlink" Target="http://www.sec.gov/Archives/edgar/data/1070423/000119312512132295/d321017dex43.htm" TargetMode="External"/><Relationship Id="rId81" Type="http://schemas.openxmlformats.org/officeDocument/2006/relationships/hyperlink" Target="http://www.sec.gov/Archives/edgar/data/1070423/000119312512499932/d453762dex41.htm" TargetMode="External"/><Relationship Id="rId82" Type="http://schemas.openxmlformats.org/officeDocument/2006/relationships/hyperlink" Target="http://www.sec.gov/Archives/edgar/data/1070423/000119312512499932/d453762dex43.htm" TargetMode="External"/><Relationship Id="rId83" Type="http://schemas.openxmlformats.org/officeDocument/2006/relationships/hyperlink" Target="http://www.sec.gov/Archives/edgar/data/1070423/000119312513336066/d581734dex41.htm" TargetMode="External"/><Relationship Id="rId84" Type="http://schemas.openxmlformats.org/officeDocument/2006/relationships/hyperlink" Target="http://www.sec.gov/Archives/edgar/data/1070423/000119312514164183/d713938dex41.htm" TargetMode="External"/><Relationship Id="rId85" Type="http://schemas.openxmlformats.org/officeDocument/2006/relationships/hyperlink" Target="http://www.sec.gov/Archives/edgar/data/1070423/000119312514338289/d787160dex41.htm" TargetMode="External"/><Relationship Id="rId86" Type="http://schemas.openxmlformats.org/officeDocument/2006/relationships/hyperlink" Target="http://www.sec.gov/Archives/edgar/data/1070423/000119312514440007/d833885dex41.htm" TargetMode="External"/><Relationship Id="rId87" Type="http://schemas.openxmlformats.org/officeDocument/2006/relationships/hyperlink" Target="http://www.sec.gov/Archives/edgar/data/1070423/000119312514440007/d833885dex43.htm" TargetMode="External"/><Relationship Id="rId88" Type="http://schemas.openxmlformats.org/officeDocument/2006/relationships/hyperlink" Target="http://www.sec.gov/Archives/edgar/data/1070423/000119312515302829/d45393dex41.htm" TargetMode="External"/><Relationship Id="rId89" Type="http://schemas.openxmlformats.org/officeDocument/2006/relationships/hyperlink" Target="http://www.sec.gov/Archives/edgar/data/1070423/000110465916159593/a16-22232_1ex4d1.htm" TargetMode="External"/><Relationship Id="rId90" Type="http://schemas.openxmlformats.org/officeDocument/2006/relationships/hyperlink" Target="http://www.sec.gov/Archives/edgar/data/1070423/000095012309050401/h68193exv4w1.htm" TargetMode="External"/><Relationship Id="rId91" Type="http://schemas.openxmlformats.org/officeDocument/2006/relationships/hyperlink" Target="http://www.sec.gov/Archives/edgar/data/1070423/000110465916093299/a16-3362_1ex4d1.htm" TargetMode="External"/><Relationship Id="rId92" Type="http://schemas.openxmlformats.org/officeDocument/2006/relationships/hyperlink" Target="http://www.sec.gov/Archives/edgar/data/1070423/000110465916158355/a16-21841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2019-12-02T20:50:59Z</dcterms:created>
  <dcterms:modified xsi:type="dcterms:W3CDTF">2019-12-02T20:50:59Z</dcterms:modified>
</cp:coreProperties>
</file>