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H84049tocpage">
        <w:bookmarkStart w:id="0" w:name="h84049b3e424b3.htm"/>
        <w:bookmarkStart w:id="1" w:name="ksh84049b3e424b3"/>
        <w:bookmarkEnd w:id="0"/>
        <w:bookmarkEnd w:id="1"/>
        <w:r>
          <w:rPr>
            <w:rStyle w:val="InternetLink"/>
          </w:rPr>
          <w:t>Table of Contents</w:t>
        </w:r>
      </w:hyperlink>
    </w:p>
    <w:tbl>
      <w:tblPr>
        <w:tblW w:w="5000" w:type="pct"/>
        <w:jc w:val="left"/>
        <w:tblInd w:w="0" w:type="dxa"/>
        <w:tblCellMar>
          <w:top w:w="75" w:type="dxa"/>
          <w:left w:w="75" w:type="dxa"/>
          <w:bottom w:w="75" w:type="dxa"/>
          <w:right w:w="75" w:type="dxa"/>
        </w:tblCellMar>
      </w:tblPr>
      <w:tblGrid>
        <w:gridCol w:w="10205"/>
      </w:tblGrid>
      <w:tr>
        <w:trPr/>
        <w:tc>
          <w:tcPr>
            <w:tcW w:w="1020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rFonts w:ascii="Arial;Helvetica" w:hAnsi="Arial;Helvetica"/>
                <w:color w:val="E8112D"/>
                <w:sz w:val="13"/>
              </w:rPr>
            </w:pPr>
            <w:r>
              <w:rPr>
                <w:rFonts w:ascii="Arial;Helvetica" w:hAnsi="Arial;Helvetica"/>
                <w:color w:val="E8112D"/>
                <w:sz w:val="13"/>
              </w:rPr>
              <w:t>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w:t>
            </w:r>
          </w:p>
        </w:tc>
      </w:tr>
    </w:tbl>
    <w:p>
      <w:pPr>
        <w:pStyle w:val="TextBody"/>
        <w:spacing w:before="20" w:after="283"/>
        <w:rPr/>
      </w:pPr>
      <w:r>
        <w:rPr/>
        <w:t> </w:t>
      </w:r>
    </w:p>
    <w:p>
      <w:pPr>
        <w:pStyle w:val="TextBody"/>
        <w:spacing w:before="240" w:after="283"/>
        <w:rPr/>
      </w:pPr>
      <w:r>
        <w:rPr/>
        <w:t> </w:t>
      </w:r>
    </w:p>
    <w:p>
      <w:pPr>
        <w:pStyle w:val="TextBody"/>
        <w:spacing w:before="0" w:after="0"/>
        <w:jc w:val="right"/>
        <w:rPr>
          <w:rFonts w:ascii="Arial;Helvetica" w:hAnsi="Arial;Helvetica"/>
          <w:color w:val="000000"/>
          <w:sz w:val="17"/>
        </w:rPr>
      </w:pPr>
      <w:r>
        <w:rPr>
          <w:rFonts w:ascii="Times New Roman;Times" w:hAnsi="Times New Roman;Times"/>
          <w:b/>
          <w:color w:val="000000"/>
          <w:sz w:val="17"/>
        </w:rPr>
        <w:t>Filed Pursuant to Rule 424(b)(3)</w:t>
      </w:r>
      <w:r>
        <w:rPr>
          <w:rFonts w:ascii="Arial;Helvetica" w:hAnsi="Arial;Helvetica"/>
          <w:color w:val="000000"/>
          <w:sz w:val="17"/>
        </w:rPr>
        <w:t xml:space="preserve"> </w:t>
      </w:r>
    </w:p>
    <w:p>
      <w:pPr>
        <w:pStyle w:val="TextBody"/>
        <w:spacing w:before="0" w:after="0"/>
        <w:jc w:val="right"/>
        <w:rPr>
          <w:rFonts w:ascii="Times New Roman;Times" w:hAnsi="Times New Roman;Times"/>
          <w:color w:val="000000"/>
          <w:sz w:val="17"/>
        </w:rPr>
      </w:pPr>
      <w:r>
        <w:rPr>
          <w:rFonts w:ascii="Times New Roman;Times" w:hAnsi="Times New Roman;Times"/>
          <w:b/>
          <w:color w:val="000000"/>
          <w:sz w:val="17"/>
        </w:rPr>
        <w:t>Registration No. 333-155673</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E8112D"/>
          <w:sz w:val="17"/>
        </w:rPr>
        <w:t>SUBJECT TO COMPLETION, DATED AUGUST 11, 2011</w:t>
      </w:r>
      <w:r>
        <w:rPr>
          <w:rFonts w:ascii="Times New Roman;Times" w:hAnsi="Times New Roman;Times"/>
          <w:color w:val="000000"/>
          <w:sz w:val="17"/>
        </w:rPr>
        <w:t xml:space="preserve">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PRELIMINARY PROSPECTUS SUPPLEMENT</w:t>
      </w:r>
      <w:r>
        <w:rPr>
          <w:rFonts w:ascii="Arial;Helvetica" w:hAnsi="Arial;Helvetica"/>
          <w:color w:val="000000"/>
          <w:sz w:val="17"/>
        </w:rPr>
        <w:t xml:space="preserve">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(To Prospectus Dated December 11, 2008)</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center"/>
        <w:rPr>
          <w:color w:val="000000"/>
        </w:rPr>
      </w:pPr>
      <w:r>
        <w:rPr>
          <w:color w:val="000000"/>
        </w:rPr>
        <w:drawing>
          <wp:inline distT="0" distB="0" distL="0" distR="0">
            <wp:extent cx="19240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609600"/>
                    </a:xfrm>
                    <a:prstGeom prst="rect">
                      <a:avLst/>
                    </a:prstGeom>
                  </pic:spPr>
                </pic:pic>
              </a:graphicData>
            </a:graphic>
          </wp:inline>
        </w:drawing>
      </w:r>
      <w:r>
        <w:rPr>
          <w:color w:val="000000"/>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7,500,000 Common Units</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Representing Limited Partner Interests</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      per Common Unit</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selling unitholder, Vulcan Energy Corporation, is selling 7,500,000 of our common units in this offering. We will not receive any proceeds from the sale of the common units by the selling unitholder in this offering. </w:t>
      </w:r>
    </w:p>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common units are listed on the New York Stock Exchange under the symbol PAA. The last reported sale price of our common units on the New York Stock Exchange on August 10, 2011 was $62.73 per common unit. </w:t>
      </w:r>
    </w:p>
    <w:p>
      <w:pPr>
        <w:pStyle w:val="TextBody"/>
        <w:spacing w:before="60" w:after="283"/>
        <w:rPr/>
      </w:pPr>
      <w:r>
        <w:rPr/>
        <w:t> </w:t>
      </w:r>
    </w:p>
    <w:p>
      <w:pPr>
        <w:pStyle w:val="TextBody"/>
        <w:spacing w:before="0" w:after="0"/>
        <w:jc w:val="left"/>
        <w:rPr>
          <w:rFonts w:ascii="Times New Roman;Times" w:hAnsi="Times New Roman;Times"/>
          <w:color w:val="000000"/>
          <w:sz w:val="20"/>
        </w:rPr>
      </w:pPr>
      <w:r>
        <w:rPr>
          <w:rFonts w:ascii="Times New Roman;Times" w:hAnsi="Times New Roman;Times"/>
          <w:b/>
          <w:color w:val="000000"/>
          <w:sz w:val="20"/>
        </w:rPr>
        <w:t>Investing in our common units involves risks. See Risk Factors on page S-4 of this prospectus supplement.</w:t>
      </w:r>
      <w:r>
        <w:rPr>
          <w:rFonts w:ascii="Times New Roman;Times" w:hAnsi="Times New Roman;Times"/>
          <w:color w:val="000000"/>
          <w:sz w:val="20"/>
        </w:rPr>
        <w:t xml:space="preserve"> </w:t>
      </w:r>
    </w:p>
    <w:p>
      <w:pPr>
        <w:pStyle w:val="TextBody"/>
        <w:spacing w:before="60" w:after="283"/>
        <w:rPr/>
      </w:pPr>
      <w:r>
        <w:rPr/>
        <w:t> </w:t>
      </w:r>
    </w:p>
    <w:tbl>
      <w:tblPr>
        <w:tblW w:w="5000" w:type="pct"/>
        <w:jc w:val="center"/>
        <w:tblInd w:w="0" w:type="dxa"/>
        <w:tblCellMar>
          <w:top w:w="0" w:type="dxa"/>
          <w:left w:w="0" w:type="dxa"/>
          <w:bottom w:w="0" w:type="dxa"/>
          <w:right w:w="0" w:type="dxa"/>
        </w:tblCellMar>
      </w:tblPr>
      <w:tblGrid>
        <w:gridCol w:w="6314"/>
        <w:gridCol w:w="166"/>
        <w:gridCol w:w="877"/>
        <w:gridCol w:w="1044"/>
        <w:gridCol w:w="657"/>
        <w:gridCol w:w="221"/>
        <w:gridCol w:w="300"/>
        <w:gridCol w:w="398"/>
        <w:gridCol w:w="228"/>
      </w:tblGrid>
      <w:tr>
        <w:trPr/>
        <w:tc>
          <w:tcPr>
            <w:tcW w:w="631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 </w:t>
            </w:r>
          </w:p>
        </w:tc>
        <w:tc>
          <w:tcPr>
            <w:tcW w:w="1044" w:type="dxa"/>
            <w:tcBorders/>
            <w:shd w:fill="auto" w:val="clear"/>
            <w:vAlign w:val="bottom"/>
          </w:tcPr>
          <w:p>
            <w:pPr>
              <w:pStyle w:val="TableContents"/>
              <w:spacing w:before="0" w:after="283"/>
              <w:jc w:val="right"/>
              <w:rPr/>
            </w:pPr>
            <w:r>
              <w:rPr/>
              <w:t> </w:t>
            </w:r>
          </w:p>
        </w:tc>
        <w:tc>
          <w:tcPr>
            <w:tcW w:w="657" w:type="dxa"/>
            <w:tcBorders/>
            <w:shd w:fill="auto" w:val="clear"/>
            <w:vAlign w:val="bottom"/>
          </w:tcPr>
          <w:p>
            <w:pPr>
              <w:pStyle w:val="TableContents"/>
              <w:spacing w:before="0" w:after="283"/>
              <w:jc w:val="left"/>
              <w:rPr/>
            </w:pPr>
            <w:r>
              <w:rPr/>
              <w:t> </w:t>
            </w:r>
          </w:p>
        </w:tc>
        <w:tc>
          <w:tcPr>
            <w:tcW w:w="221"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pPr>
            <w:r>
              <w:rPr/>
              <w:t> </w:t>
            </w:r>
          </w:p>
        </w:tc>
        <w:tc>
          <w:tcPr>
            <w:tcW w:w="398" w:type="dxa"/>
            <w:tcBorders/>
            <w:shd w:fill="auto" w:val="clear"/>
            <w:vAlign w:val="bottom"/>
          </w:tcPr>
          <w:p>
            <w:pPr>
              <w:pStyle w:val="TableContents"/>
              <w:spacing w:before="0" w:after="283"/>
              <w:jc w:val="right"/>
              <w:rPr/>
            </w:pPr>
            <w:r>
              <w:rPr/>
              <w:t> </w:t>
            </w:r>
          </w:p>
        </w:tc>
        <w:tc>
          <w:tcPr>
            <w:tcW w:w="228" w:type="dxa"/>
            <w:tcBorders/>
            <w:shd w:fill="auto" w:val="clear"/>
            <w:vAlign w:val="bottom"/>
          </w:tcPr>
          <w:p>
            <w:pPr>
              <w:pStyle w:val="TableContents"/>
              <w:spacing w:before="0" w:after="283"/>
              <w:jc w:val="left"/>
              <w:rPr/>
            </w:pPr>
            <w:r>
              <w:rPr/>
              <w:t> </w:t>
            </w:r>
          </w:p>
        </w:tc>
      </w:tr>
      <w:tr>
        <w:trPr/>
        <w:tc>
          <w:tcPr>
            <w:tcW w:w="6314" w:type="dxa"/>
            <w:tcBorders/>
            <w:shd w:fill="auto" w:val="clear"/>
            <w:vAlign w:val="bottom"/>
          </w:tcPr>
          <w:p>
            <w:pPr>
              <w:pStyle w:val="TableContents"/>
              <w:spacing w:before="0" w:after="283"/>
              <w:jc w:val="center"/>
              <w:rPr/>
            </w:pPr>
            <w:r>
              <w:rPr/>
              <w:t xml:space="preserve">  </w:t>
            </w:r>
          </w:p>
        </w:tc>
        <w:tc>
          <w:tcPr>
            <w:tcW w:w="166" w:type="dxa"/>
            <w:tcBorders/>
            <w:shd w:fill="auto" w:val="clear"/>
            <w:vAlign w:val="bottom"/>
          </w:tcPr>
          <w:p>
            <w:pPr>
              <w:pStyle w:val="TableContents"/>
              <w:spacing w:before="0" w:after="283"/>
              <w:jc w:val="center"/>
              <w:rPr/>
            </w:pPr>
            <w:r>
              <w:rPr/>
              <w:t xml:space="preserve">  </w:t>
            </w:r>
          </w:p>
        </w:tc>
        <w:tc>
          <w:tcPr>
            <w:tcW w:w="2578"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Per Common Unit</w:t>
            </w:r>
            <w:r>
              <w:rPr/>
              <w:t xml:space="preserve"> </w:t>
            </w:r>
          </w:p>
        </w:tc>
        <w:tc>
          <w:tcPr>
            <w:tcW w:w="221" w:type="dxa"/>
            <w:tcBorders/>
            <w:shd w:fill="auto" w:val="clear"/>
            <w:vAlign w:val="bottom"/>
          </w:tcPr>
          <w:p>
            <w:pPr>
              <w:pStyle w:val="TableContents"/>
              <w:spacing w:before="0" w:after="283"/>
              <w:jc w:val="center"/>
              <w:rPr/>
            </w:pPr>
            <w:r>
              <w:rPr/>
              <w:t xml:space="preserve">  </w:t>
            </w:r>
          </w:p>
        </w:tc>
        <w:tc>
          <w:tcPr>
            <w:tcW w:w="926"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Total</w:t>
            </w:r>
            <w:r>
              <w:rPr/>
              <w:t xml:space="preserve"> </w:t>
            </w:r>
          </w:p>
        </w:tc>
      </w:tr>
      <w:tr>
        <w:trPr/>
        <w:tc>
          <w:tcPr>
            <w:tcW w:w="6314" w:type="dxa"/>
            <w:tcBorders/>
            <w:shd w:fill="auto" w:val="clear"/>
            <w:vAlign w:val="center"/>
          </w:tcPr>
          <w:p>
            <w:pPr>
              <w:pStyle w:val="TableContents"/>
              <w:spacing w:before="0" w:after="283"/>
              <w:rPr/>
            </w:pPr>
            <w:r>
              <w:rPr/>
              <w:t xml:space="preserve">  </w:t>
            </w:r>
          </w:p>
        </w:tc>
        <w:tc>
          <w:tcPr>
            <w:tcW w:w="3891" w:type="dxa"/>
            <w:gridSpan w:val="8"/>
            <w:tcBorders/>
            <w:shd w:fill="auto" w:val="clear"/>
          </w:tcPr>
          <w:p>
            <w:pPr>
              <w:pStyle w:val="TableContents"/>
              <w:spacing w:before="0" w:after="283"/>
              <w:rPr>
                <w:sz w:val="4"/>
                <w:szCs w:val="4"/>
              </w:rPr>
            </w:pPr>
            <w:r>
              <w:rPr>
                <w:sz w:val="4"/>
                <w:szCs w:val="4"/>
              </w:rPr>
            </w:r>
          </w:p>
        </w:tc>
      </w:tr>
      <w:tr>
        <w:trPr/>
        <w:tc>
          <w:tcPr>
            <w:tcW w:w="6314" w:type="dxa"/>
            <w:tcBorders/>
            <w:shd w:fill="auto" w:val="clear"/>
            <w:vAlign w:val="bottom"/>
          </w:tcPr>
          <w:p>
            <w:pPr>
              <w:pStyle w:val="TableContents"/>
              <w:spacing w:before="0" w:after="0"/>
              <w:ind w:left="200" w:right="0" w:hanging="200"/>
              <w:jc w:val="left"/>
              <w:rPr/>
            </w:pPr>
            <w:r>
              <w:rPr/>
              <w:t xml:space="preserve">Public offering price </w:t>
            </w:r>
          </w:p>
        </w:tc>
        <w:tc>
          <w:tcPr>
            <w:tcW w:w="166" w:type="dxa"/>
            <w:tcBorders/>
            <w:shd w:fill="auto" w:val="clear"/>
            <w:vAlign w:val="bottom"/>
          </w:tcPr>
          <w:p>
            <w:pPr>
              <w:pStyle w:val="TableContents"/>
              <w:spacing w:before="0" w:after="283"/>
              <w:rPr/>
            </w:pPr>
            <w:r>
              <w:rPr/>
              <w:t xml:space="preserve">  </w:t>
            </w:r>
          </w:p>
        </w:tc>
        <w:tc>
          <w:tcPr>
            <w:tcW w:w="877" w:type="dxa"/>
            <w:tcBorders/>
            <w:shd w:fill="auto" w:val="clear"/>
            <w:vAlign w:val="bottom"/>
          </w:tcPr>
          <w:p>
            <w:pPr>
              <w:pStyle w:val="TableContents"/>
              <w:spacing w:before="0" w:after="283"/>
              <w:jc w:val="right"/>
              <w:rPr/>
            </w:pPr>
            <w:r>
              <w:rPr/>
              <w:t xml:space="preserve">$ </w:t>
            </w:r>
          </w:p>
        </w:tc>
        <w:tc>
          <w:tcPr>
            <w:tcW w:w="1044" w:type="dxa"/>
            <w:tcBorders/>
            <w:shd w:fill="auto" w:val="clear"/>
            <w:vAlign w:val="bottom"/>
          </w:tcPr>
          <w:p>
            <w:pPr>
              <w:pStyle w:val="TableContents"/>
              <w:spacing w:before="0" w:after="283"/>
              <w:jc w:val="right"/>
              <w:rPr/>
            </w:pPr>
            <w:r>
              <w:rPr/>
              <w:t xml:space="preserve">      </w:t>
            </w:r>
          </w:p>
        </w:tc>
        <w:tc>
          <w:tcPr>
            <w:tcW w:w="657" w:type="dxa"/>
            <w:tcBorders/>
            <w:shd w:fill="auto" w:val="clear"/>
            <w:vAlign w:val="bottom"/>
          </w:tcPr>
          <w:p>
            <w:pPr>
              <w:pStyle w:val="TableContents"/>
              <w:spacing w:before="0" w:after="283"/>
              <w:jc w:val="left"/>
              <w:rPr/>
            </w:pPr>
            <w:r>
              <w:rPr/>
              <w:t xml:space="preserve">  </w:t>
            </w:r>
          </w:p>
        </w:tc>
        <w:tc>
          <w:tcPr>
            <w:tcW w:w="221" w:type="dxa"/>
            <w:tcBorders/>
            <w:shd w:fill="auto" w:val="clear"/>
            <w:vAlign w:val="bottom"/>
          </w:tcPr>
          <w:p>
            <w:pPr>
              <w:pStyle w:val="TableContents"/>
              <w:spacing w:before="0" w:after="283"/>
              <w:rPr/>
            </w:pPr>
            <w:r>
              <w:rPr/>
              <w:t xml:space="preserve">  </w:t>
            </w:r>
          </w:p>
        </w:tc>
        <w:tc>
          <w:tcPr>
            <w:tcW w:w="300" w:type="dxa"/>
            <w:tcBorders/>
            <w:shd w:fill="auto" w:val="clear"/>
            <w:vAlign w:val="bottom"/>
          </w:tcPr>
          <w:p>
            <w:pPr>
              <w:pStyle w:val="TableContents"/>
              <w:spacing w:before="0" w:after="283"/>
              <w:jc w:val="right"/>
              <w:rPr/>
            </w:pPr>
            <w:r>
              <w:rPr/>
              <w:t xml:space="preserve">$ </w:t>
            </w:r>
          </w:p>
        </w:tc>
        <w:tc>
          <w:tcPr>
            <w:tcW w:w="398" w:type="dxa"/>
            <w:tcBorders/>
            <w:shd w:fill="auto" w:val="clear"/>
            <w:vAlign w:val="bottom"/>
          </w:tcPr>
          <w:p>
            <w:pPr>
              <w:pStyle w:val="TableContents"/>
              <w:spacing w:before="0" w:after="283"/>
              <w:jc w:val="right"/>
              <w:rPr/>
            </w:pPr>
            <w:r>
              <w:rPr/>
              <w:t xml:space="preserve">      </w:t>
            </w:r>
          </w:p>
        </w:tc>
        <w:tc>
          <w:tcPr>
            <w:tcW w:w="228" w:type="dxa"/>
            <w:tcBorders/>
            <w:shd w:fill="auto" w:val="clear"/>
            <w:vAlign w:val="bottom"/>
          </w:tcPr>
          <w:p>
            <w:pPr>
              <w:pStyle w:val="TableContents"/>
              <w:spacing w:before="0" w:after="283"/>
              <w:jc w:val="left"/>
              <w:rPr/>
            </w:pPr>
            <w:r>
              <w:rPr/>
              <w:t xml:space="preserve">  </w:t>
            </w:r>
          </w:p>
        </w:tc>
      </w:tr>
      <w:tr>
        <w:trPr/>
        <w:tc>
          <w:tcPr>
            <w:tcW w:w="6314" w:type="dxa"/>
            <w:tcBorders/>
            <w:shd w:fill="auto" w:val="clear"/>
            <w:vAlign w:val="bottom"/>
          </w:tcPr>
          <w:p>
            <w:pPr>
              <w:pStyle w:val="TableContents"/>
              <w:spacing w:before="0" w:after="0"/>
              <w:ind w:left="200" w:right="0" w:hanging="200"/>
              <w:jc w:val="left"/>
              <w:rPr/>
            </w:pPr>
            <w:r>
              <w:rPr/>
              <w:t xml:space="preserve">Underwriting discount </w:t>
            </w:r>
          </w:p>
        </w:tc>
        <w:tc>
          <w:tcPr>
            <w:tcW w:w="166" w:type="dxa"/>
            <w:tcBorders/>
            <w:shd w:fill="auto" w:val="clear"/>
            <w:vAlign w:val="bottom"/>
          </w:tcPr>
          <w:p>
            <w:pPr>
              <w:pStyle w:val="TableContents"/>
              <w:spacing w:before="0" w:after="283"/>
              <w:rPr/>
            </w:pPr>
            <w:r>
              <w:rPr/>
              <w:t xml:space="preserve">  </w:t>
            </w:r>
          </w:p>
        </w:tc>
        <w:tc>
          <w:tcPr>
            <w:tcW w:w="877" w:type="dxa"/>
            <w:tcBorders/>
            <w:shd w:fill="auto" w:val="clear"/>
            <w:vAlign w:val="bottom"/>
          </w:tcPr>
          <w:p>
            <w:pPr>
              <w:pStyle w:val="TableContents"/>
              <w:spacing w:before="0" w:after="283"/>
              <w:jc w:val="right"/>
              <w:rPr/>
            </w:pPr>
            <w:r>
              <w:rPr/>
              <w:t xml:space="preserve">$ </w:t>
            </w:r>
          </w:p>
        </w:tc>
        <w:tc>
          <w:tcPr>
            <w:tcW w:w="1044" w:type="dxa"/>
            <w:tcBorders/>
            <w:shd w:fill="auto" w:val="clear"/>
            <w:vAlign w:val="bottom"/>
          </w:tcPr>
          <w:p>
            <w:pPr>
              <w:pStyle w:val="TableContents"/>
              <w:spacing w:before="0" w:after="283"/>
              <w:jc w:val="right"/>
              <w:rPr/>
            </w:pPr>
            <w:r>
              <w:rPr/>
              <w:t xml:space="preserve">  </w:t>
            </w:r>
          </w:p>
        </w:tc>
        <w:tc>
          <w:tcPr>
            <w:tcW w:w="657" w:type="dxa"/>
            <w:tcBorders/>
            <w:shd w:fill="auto" w:val="clear"/>
            <w:vAlign w:val="bottom"/>
          </w:tcPr>
          <w:p>
            <w:pPr>
              <w:pStyle w:val="TableContents"/>
              <w:spacing w:before="0" w:after="283"/>
              <w:jc w:val="left"/>
              <w:rPr/>
            </w:pPr>
            <w:r>
              <w:rPr/>
              <w:t xml:space="preserve">  </w:t>
            </w:r>
          </w:p>
        </w:tc>
        <w:tc>
          <w:tcPr>
            <w:tcW w:w="221" w:type="dxa"/>
            <w:tcBorders/>
            <w:shd w:fill="auto" w:val="clear"/>
            <w:vAlign w:val="bottom"/>
          </w:tcPr>
          <w:p>
            <w:pPr>
              <w:pStyle w:val="TableContents"/>
              <w:spacing w:before="0" w:after="283"/>
              <w:rPr/>
            </w:pPr>
            <w:r>
              <w:rPr/>
              <w:t xml:space="preserve">  </w:t>
            </w:r>
          </w:p>
        </w:tc>
        <w:tc>
          <w:tcPr>
            <w:tcW w:w="300" w:type="dxa"/>
            <w:tcBorders/>
            <w:shd w:fill="auto" w:val="clear"/>
            <w:vAlign w:val="bottom"/>
          </w:tcPr>
          <w:p>
            <w:pPr>
              <w:pStyle w:val="TableContents"/>
              <w:spacing w:before="0" w:after="283"/>
              <w:jc w:val="right"/>
              <w:rPr/>
            </w:pPr>
            <w:r>
              <w:rPr/>
              <w:t xml:space="preserve">$ </w:t>
            </w:r>
          </w:p>
        </w:tc>
        <w:tc>
          <w:tcPr>
            <w:tcW w:w="398" w:type="dxa"/>
            <w:tcBorders/>
            <w:shd w:fill="auto" w:val="clear"/>
            <w:vAlign w:val="bottom"/>
          </w:tcPr>
          <w:p>
            <w:pPr>
              <w:pStyle w:val="TableContents"/>
              <w:spacing w:before="0" w:after="283"/>
              <w:jc w:val="right"/>
              <w:rPr/>
            </w:pPr>
            <w:r>
              <w:rPr/>
              <w:t xml:space="preserve">  </w:t>
            </w:r>
          </w:p>
        </w:tc>
        <w:tc>
          <w:tcPr>
            <w:tcW w:w="228" w:type="dxa"/>
            <w:tcBorders/>
            <w:shd w:fill="auto" w:val="clear"/>
            <w:vAlign w:val="bottom"/>
          </w:tcPr>
          <w:p>
            <w:pPr>
              <w:pStyle w:val="TableContents"/>
              <w:spacing w:before="0" w:after="283"/>
              <w:jc w:val="left"/>
              <w:rPr/>
            </w:pPr>
            <w:r>
              <w:rPr/>
              <w:t xml:space="preserve">  </w:t>
            </w:r>
          </w:p>
        </w:tc>
      </w:tr>
      <w:tr>
        <w:trPr/>
        <w:tc>
          <w:tcPr>
            <w:tcW w:w="6314" w:type="dxa"/>
            <w:tcBorders/>
            <w:shd w:fill="auto" w:val="clear"/>
            <w:vAlign w:val="bottom"/>
          </w:tcPr>
          <w:p>
            <w:pPr>
              <w:pStyle w:val="TableContents"/>
              <w:spacing w:before="0" w:after="0"/>
              <w:ind w:left="200" w:right="0" w:hanging="200"/>
              <w:jc w:val="left"/>
              <w:rPr/>
            </w:pPr>
            <w:r>
              <w:rPr/>
              <w:t xml:space="preserve">Proceeds to selling unitholder (before expenses) </w:t>
            </w:r>
          </w:p>
        </w:tc>
        <w:tc>
          <w:tcPr>
            <w:tcW w:w="166" w:type="dxa"/>
            <w:tcBorders/>
            <w:shd w:fill="auto" w:val="clear"/>
            <w:vAlign w:val="bottom"/>
          </w:tcPr>
          <w:p>
            <w:pPr>
              <w:pStyle w:val="TableContents"/>
              <w:spacing w:before="0" w:after="283"/>
              <w:rPr/>
            </w:pPr>
            <w:r>
              <w:rPr/>
              <w:t xml:space="preserve">  </w:t>
            </w:r>
          </w:p>
        </w:tc>
        <w:tc>
          <w:tcPr>
            <w:tcW w:w="877" w:type="dxa"/>
            <w:tcBorders/>
            <w:shd w:fill="auto" w:val="clear"/>
            <w:vAlign w:val="bottom"/>
          </w:tcPr>
          <w:p>
            <w:pPr>
              <w:pStyle w:val="TableContents"/>
              <w:spacing w:before="0" w:after="283"/>
              <w:jc w:val="right"/>
              <w:rPr/>
            </w:pPr>
            <w:r>
              <w:rPr/>
              <w:t xml:space="preserve">$ </w:t>
            </w:r>
          </w:p>
        </w:tc>
        <w:tc>
          <w:tcPr>
            <w:tcW w:w="1044" w:type="dxa"/>
            <w:tcBorders/>
            <w:shd w:fill="auto" w:val="clear"/>
            <w:vAlign w:val="bottom"/>
          </w:tcPr>
          <w:p>
            <w:pPr>
              <w:pStyle w:val="TableContents"/>
              <w:spacing w:before="0" w:after="283"/>
              <w:jc w:val="right"/>
              <w:rPr/>
            </w:pPr>
            <w:r>
              <w:rPr/>
              <w:t xml:space="preserve">  </w:t>
            </w:r>
          </w:p>
        </w:tc>
        <w:tc>
          <w:tcPr>
            <w:tcW w:w="657" w:type="dxa"/>
            <w:tcBorders/>
            <w:shd w:fill="auto" w:val="clear"/>
            <w:vAlign w:val="bottom"/>
          </w:tcPr>
          <w:p>
            <w:pPr>
              <w:pStyle w:val="TableContents"/>
              <w:spacing w:before="0" w:after="283"/>
              <w:jc w:val="left"/>
              <w:rPr/>
            </w:pPr>
            <w:r>
              <w:rPr/>
              <w:t xml:space="preserve">  </w:t>
            </w:r>
          </w:p>
        </w:tc>
        <w:tc>
          <w:tcPr>
            <w:tcW w:w="221" w:type="dxa"/>
            <w:tcBorders/>
            <w:shd w:fill="auto" w:val="clear"/>
            <w:vAlign w:val="bottom"/>
          </w:tcPr>
          <w:p>
            <w:pPr>
              <w:pStyle w:val="TableContents"/>
              <w:spacing w:before="0" w:after="283"/>
              <w:rPr/>
            </w:pPr>
            <w:r>
              <w:rPr/>
              <w:t xml:space="preserve">  </w:t>
            </w:r>
          </w:p>
        </w:tc>
        <w:tc>
          <w:tcPr>
            <w:tcW w:w="300" w:type="dxa"/>
            <w:tcBorders/>
            <w:shd w:fill="auto" w:val="clear"/>
            <w:vAlign w:val="bottom"/>
          </w:tcPr>
          <w:p>
            <w:pPr>
              <w:pStyle w:val="TableContents"/>
              <w:spacing w:before="0" w:after="283"/>
              <w:jc w:val="right"/>
              <w:rPr/>
            </w:pPr>
            <w:r>
              <w:rPr/>
              <w:t xml:space="preserve">$ </w:t>
            </w:r>
          </w:p>
        </w:tc>
        <w:tc>
          <w:tcPr>
            <w:tcW w:w="398"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jc w:val="left"/>
              <w:rPr/>
            </w:pPr>
            <w:r>
              <w:rPr/>
              <w:t xml:space="preserve">  </w:t>
            </w:r>
          </w:p>
        </w:tc>
      </w:tr>
    </w:tbl>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Delivery of the common units is expected to be made on or about August   , 2011. </w:t>
      </w:r>
    </w:p>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selling unitholder has granted the underwriters a 30-day option to purchase up to 1,125,000 additional common units on the same terms and conditions as set forth above to cover over-allotments. </w:t>
      </w:r>
    </w:p>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Vulcan Energy Corporation and certain of its affiliates will be entering into lock-up agreements with the underwriters for a period of 45 days from the date of this prospectus supplement. In addition, Vulcan Energy Corporation and certain of its affiliates will enter into lock-up agreements with us for terms of two years with respect to the units owned by Vulcan Energy Corporation and one year with respect to the units owned by Vulcan Capital Private Equity I LLC and Vulcan Capital Private Equity II LLC. See Underwriting (Conflicts of Interest)  Lock-Up Agreements.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i/>
          <w:color w:val="000000"/>
          <w:sz w:val="17"/>
        </w:rPr>
        <w:t>Joint Book-Running Managers</w:t>
      </w:r>
      <w:r>
        <w:rPr>
          <w:rFonts w:ascii="Times New Roman;Times" w:hAnsi="Times New Roman;Times"/>
          <w:color w:val="000000"/>
          <w:sz w:val="17"/>
        </w:rPr>
        <w:t xml:space="preserve"> </w:t>
      </w:r>
    </w:p>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vAlign w:val="center"/>
          </w:tcPr>
          <w:p>
            <w:pPr>
              <w:pStyle w:val="TableContents"/>
              <w:spacing w:before="0" w:after="283"/>
              <w:rPr>
                <w:sz w:val="4"/>
                <w:szCs w:val="4"/>
              </w:rPr>
            </w:pPr>
            <w:r>
              <w:rPr>
                <w:sz w:val="4"/>
                <w:szCs w:val="4"/>
              </w:rPr>
            </w:r>
          </w:p>
        </w:tc>
        <w:tc>
          <w:tcPr>
            <w:tcW w:w="3402" w:type="dxa"/>
            <w:tcBorders/>
            <w:shd w:fill="auto" w:val="clear"/>
            <w:vAlign w:val="center"/>
          </w:tcPr>
          <w:p>
            <w:pPr>
              <w:pStyle w:val="TableContents"/>
              <w:spacing w:before="0" w:after="283"/>
              <w:rPr>
                <w:sz w:val="4"/>
                <w:szCs w:val="4"/>
              </w:rPr>
            </w:pPr>
            <w:r>
              <w:rPr>
                <w:sz w:val="4"/>
                <w:szCs w:val="4"/>
              </w:rPr>
            </w:r>
          </w:p>
        </w:tc>
        <w:tc>
          <w:tcPr>
            <w:tcW w:w="3402" w:type="dxa"/>
            <w:tcBorders/>
            <w:shd w:fill="auto" w:val="clear"/>
            <w:vAlign w:val="center"/>
          </w:tcPr>
          <w:p>
            <w:pPr>
              <w:pStyle w:val="TableContents"/>
              <w:spacing w:before="0" w:after="283"/>
              <w:rPr>
                <w:sz w:val="4"/>
                <w:szCs w:val="4"/>
              </w:rPr>
            </w:pPr>
            <w:r>
              <w:rPr>
                <w:sz w:val="4"/>
                <w:szCs w:val="4"/>
              </w:rPr>
            </w:r>
          </w:p>
        </w:tc>
      </w:tr>
      <w:tr>
        <w:trPr/>
        <w:tc>
          <w:tcPr>
            <w:tcW w:w="3401" w:type="dxa"/>
            <w:tcBorders/>
            <w:shd w:fill="auto" w:val="clear"/>
          </w:tcPr>
          <w:p>
            <w:pPr>
              <w:pStyle w:val="TableContents"/>
              <w:spacing w:before="0" w:after="283"/>
              <w:jc w:val="left"/>
              <w:rPr>
                <w:rFonts w:ascii="Times New Roman;Times" w:hAnsi="Times New Roman;Times"/>
                <w:b/>
                <w:sz w:val="23"/>
              </w:rPr>
            </w:pPr>
            <w:r>
              <w:rPr>
                <w:rFonts w:ascii="Times New Roman;Times" w:hAnsi="Times New Roman;Times"/>
                <w:b/>
                <w:sz w:val="23"/>
              </w:rPr>
              <w:t>Citigroup</w:t>
            </w:r>
          </w:p>
        </w:tc>
        <w:tc>
          <w:tcPr>
            <w:tcW w:w="3402" w:type="dxa"/>
            <w:tcBorders/>
            <w:shd w:fill="auto" w:val="clear"/>
          </w:tcPr>
          <w:p>
            <w:pPr>
              <w:pStyle w:val="TableContents"/>
              <w:spacing w:before="0" w:after="283"/>
              <w:jc w:val="center"/>
              <w:rPr>
                <w:rFonts w:ascii="Times New Roman;Times" w:hAnsi="Times New Roman;Times"/>
                <w:b/>
                <w:sz w:val="23"/>
              </w:rPr>
            </w:pPr>
            <w:r>
              <w:rPr>
                <w:rFonts w:ascii="Times New Roman;Times" w:hAnsi="Times New Roman;Times"/>
                <w:b/>
                <w:sz w:val="23"/>
              </w:rPr>
              <w:t>Barclays Capital</w:t>
            </w:r>
          </w:p>
        </w:tc>
        <w:tc>
          <w:tcPr>
            <w:tcW w:w="3402" w:type="dxa"/>
            <w:tcBorders/>
            <w:shd w:fill="auto" w:val="clear"/>
          </w:tcPr>
          <w:p>
            <w:pPr>
              <w:pStyle w:val="TableContents"/>
              <w:spacing w:before="0" w:after="283"/>
              <w:jc w:val="right"/>
              <w:rPr>
                <w:rFonts w:ascii="Times New Roman;Times" w:hAnsi="Times New Roman;Times"/>
                <w:b/>
                <w:sz w:val="23"/>
              </w:rPr>
            </w:pPr>
            <w:r>
              <w:rPr>
                <w:rFonts w:ascii="Times New Roman;Times" w:hAnsi="Times New Roman;Times"/>
                <w:b/>
                <w:sz w:val="23"/>
              </w:rPr>
              <w:t>BofA Merrill Lynch</w:t>
            </w:r>
          </w:p>
        </w:tc>
      </w:tr>
    </w:tbl>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left"/>
              <w:rPr/>
            </w:pPr>
            <w:r>
              <w:rPr/>
              <w:t>       </w:t>
            </w:r>
            <w:r>
              <w:rPr>
                <w:rFonts w:ascii="Times New Roman;Times" w:hAnsi="Times New Roman;Times"/>
                <w:b/>
                <w:sz w:val="22"/>
              </w:rPr>
              <w:t>J.P. Morgan</w:t>
            </w:r>
          </w:p>
        </w:tc>
        <w:tc>
          <w:tcPr>
            <w:tcW w:w="5103" w:type="dxa"/>
            <w:tcBorders/>
            <w:shd w:fill="auto" w:val="clear"/>
          </w:tcPr>
          <w:p>
            <w:pPr>
              <w:pStyle w:val="TableContents"/>
              <w:spacing w:before="0" w:after="283"/>
              <w:jc w:val="right"/>
              <w:rPr>
                <w:rFonts w:ascii="Times New Roman;Times" w:hAnsi="Times New Roman;Times"/>
                <w:b/>
                <w:sz w:val="22"/>
              </w:rPr>
            </w:pPr>
            <w:r>
              <w:rPr>
                <w:rFonts w:ascii="Times New Roman;Times" w:hAnsi="Times New Roman;Times"/>
                <w:b/>
                <w:sz w:val="22"/>
              </w:rPr>
              <w:t>UBS Investment Bank       </w:t>
            </w:r>
          </w:p>
        </w:tc>
      </w:tr>
    </w:tbl>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i/>
          <w:color w:val="000000"/>
          <w:sz w:val="17"/>
        </w:rPr>
        <w:t>Senior Co-Manager</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0"/>
        </w:rPr>
        <w:t>Raymond James</w:t>
      </w:r>
      <w:r>
        <w:rPr>
          <w:rFonts w:ascii="Times New Roman;Times" w:hAnsi="Times New Roman;Times"/>
          <w:color w:val="000000"/>
          <w:sz w:val="17"/>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i/>
          <w:color w:val="000000"/>
          <w:sz w:val="17"/>
        </w:rPr>
        <w:t>Junior Co-Managers</w:t>
      </w:r>
      <w:r>
        <w:rPr>
          <w:rFonts w:ascii="Times New Roman;Times" w:hAnsi="Times New Roman;Times"/>
          <w:color w:val="000000"/>
          <w:sz w:val="17"/>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vAlign w:val="center"/>
          </w:tcPr>
          <w:p>
            <w:pPr>
              <w:pStyle w:val="TableContents"/>
              <w:spacing w:before="0" w:after="283"/>
              <w:rPr>
                <w:sz w:val="4"/>
                <w:szCs w:val="4"/>
              </w:rPr>
            </w:pPr>
            <w:r>
              <w:rPr>
                <w:sz w:val="4"/>
                <w:szCs w:val="4"/>
              </w:rPr>
            </w:r>
          </w:p>
        </w:tc>
        <w:tc>
          <w:tcPr>
            <w:tcW w:w="3402" w:type="dxa"/>
            <w:tcBorders/>
            <w:shd w:fill="auto" w:val="clear"/>
            <w:vAlign w:val="center"/>
          </w:tcPr>
          <w:p>
            <w:pPr>
              <w:pStyle w:val="TableContents"/>
              <w:spacing w:before="0" w:after="283"/>
              <w:rPr>
                <w:sz w:val="4"/>
                <w:szCs w:val="4"/>
              </w:rPr>
            </w:pPr>
            <w:r>
              <w:rPr>
                <w:sz w:val="4"/>
                <w:szCs w:val="4"/>
              </w:rPr>
            </w:r>
          </w:p>
        </w:tc>
        <w:tc>
          <w:tcPr>
            <w:tcW w:w="3402" w:type="dxa"/>
            <w:tcBorders/>
            <w:shd w:fill="auto" w:val="clear"/>
            <w:vAlign w:val="center"/>
          </w:tcPr>
          <w:p>
            <w:pPr>
              <w:pStyle w:val="TableContents"/>
              <w:spacing w:before="0" w:after="283"/>
              <w:rPr>
                <w:sz w:val="4"/>
                <w:szCs w:val="4"/>
              </w:rPr>
            </w:pPr>
            <w:r>
              <w:rPr>
                <w:sz w:val="4"/>
                <w:szCs w:val="4"/>
              </w:rPr>
            </w:r>
          </w:p>
        </w:tc>
      </w:tr>
      <w:tr>
        <w:trPr/>
        <w:tc>
          <w:tcPr>
            <w:tcW w:w="3401" w:type="dxa"/>
            <w:tcBorders/>
            <w:shd w:fill="auto" w:val="clear"/>
          </w:tcPr>
          <w:p>
            <w:pPr>
              <w:pStyle w:val="TableContents"/>
              <w:spacing w:before="0" w:after="283"/>
              <w:jc w:val="left"/>
              <w:rPr>
                <w:rFonts w:ascii="Times New Roman;Times" w:hAnsi="Times New Roman;Times"/>
                <w:b/>
                <w:sz w:val="20"/>
              </w:rPr>
            </w:pPr>
            <w:r>
              <w:rPr>
                <w:rFonts w:ascii="Times New Roman;Times" w:hAnsi="Times New Roman;Times"/>
                <w:b/>
                <w:sz w:val="20"/>
              </w:rPr>
              <w:t>RBC Capital Markets</w:t>
            </w:r>
          </w:p>
        </w:tc>
        <w:tc>
          <w:tcPr>
            <w:tcW w:w="3402" w:type="dxa"/>
            <w:tcBorders/>
            <w:shd w:fill="auto" w:val="clear"/>
          </w:tcPr>
          <w:p>
            <w:pPr>
              <w:pStyle w:val="TableContents"/>
              <w:spacing w:before="0" w:after="283"/>
              <w:jc w:val="center"/>
              <w:rPr>
                <w:rFonts w:ascii="Times New Roman;Times" w:hAnsi="Times New Roman;Times"/>
                <w:b/>
                <w:sz w:val="20"/>
              </w:rPr>
            </w:pPr>
            <w:r>
              <w:rPr>
                <w:rFonts w:ascii="Times New Roman;Times" w:hAnsi="Times New Roman;Times"/>
                <w:b/>
                <w:sz w:val="20"/>
              </w:rPr>
              <w:t>Sanders Morris Harris</w:t>
            </w:r>
          </w:p>
        </w:tc>
        <w:tc>
          <w:tcPr>
            <w:tcW w:w="3402" w:type="dxa"/>
            <w:tcBorders/>
            <w:shd w:fill="auto" w:val="clear"/>
          </w:tcPr>
          <w:p>
            <w:pPr>
              <w:pStyle w:val="TableContents"/>
              <w:spacing w:before="0" w:after="283"/>
              <w:jc w:val="right"/>
              <w:rPr>
                <w:rFonts w:ascii="Times New Roman;Times" w:hAnsi="Times New Roman;Times"/>
                <w:b/>
                <w:sz w:val="20"/>
              </w:rPr>
            </w:pPr>
            <w:r>
              <w:rPr>
                <w:rFonts w:ascii="Times New Roman;Times" w:hAnsi="Times New Roman;Times"/>
                <w:b/>
                <w:sz w:val="20"/>
              </w:rPr>
              <w:t>Tudor, Pickering, Holt &amp; Co.</w:t>
            </w:r>
          </w:p>
        </w:tc>
      </w:tr>
    </w:tbl>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left"/>
              <w:rPr/>
            </w:pPr>
            <w:r>
              <w:rPr/>
              <w:t>          </w:t>
            </w:r>
            <w:r>
              <w:rPr>
                <w:rFonts w:ascii="Times New Roman;Times" w:hAnsi="Times New Roman;Times"/>
                <w:b/>
                <w:sz w:val="20"/>
              </w:rPr>
              <w:t>BMO Capital Markets</w:t>
            </w:r>
          </w:p>
        </w:tc>
        <w:tc>
          <w:tcPr>
            <w:tcW w:w="5103" w:type="dxa"/>
            <w:tcBorders/>
            <w:shd w:fill="auto" w:val="clear"/>
          </w:tcPr>
          <w:p>
            <w:pPr>
              <w:pStyle w:val="TableContents"/>
              <w:spacing w:before="0" w:after="283"/>
              <w:jc w:val="right"/>
              <w:rPr>
                <w:rFonts w:ascii="Times New Roman;Times" w:hAnsi="Times New Roman;Times"/>
                <w:b/>
                <w:sz w:val="20"/>
              </w:rPr>
            </w:pPr>
            <w:r>
              <w:rPr>
                <w:rFonts w:ascii="Times New Roman;Times" w:hAnsi="Times New Roman;Times"/>
                <w:b/>
                <w:sz w:val="20"/>
              </w:rPr>
              <w:t>Janney Montgomery Scott          </w:t>
            </w:r>
          </w:p>
        </w:tc>
      </w:tr>
    </w:tbl>
    <w:p>
      <w:pPr>
        <w:pStyle w:val="TextBody"/>
        <w:spacing w:before="60" w:after="283"/>
        <w:rPr/>
      </w:pPr>
      <w:r>
        <w:rPr/>
        <w:t> </w:t>
      </w:r>
    </w:p>
    <w:p>
      <w:pPr>
        <w:pStyle w:val="TextBody"/>
        <w:jc w:val="center"/>
        <w:rPr>
          <w:rFonts w:ascii="Times New Roman;Times" w:hAnsi="Times New Roman;Times"/>
          <w:color w:val="000000"/>
          <w:sz w:val="17"/>
        </w:rPr>
      </w:pPr>
      <w:r>
        <w:rPr>
          <w:rFonts w:ascii="Times New Roman;Times" w:hAnsi="Times New Roman;Times"/>
          <w:color w:val="000000"/>
          <w:sz w:val="17"/>
        </w:rPr>
        <w:t xml:space="preserve">The date of this prospectus supplement is August   , 2011.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rPr/>
      </w:pPr>
      <w:r>
        <w:rPr/>
        <w:t> </w:t>
      </w:r>
    </w:p>
    <w:p>
      <w:pPr>
        <w:pStyle w:val="TextBody"/>
        <w:spacing w:before="0" w:after="0"/>
        <w:jc w:val="center"/>
        <w:rPr>
          <w:rFonts w:ascii="Times New Roman;Times" w:hAnsi="Times New Roman;Times"/>
          <w:b/>
          <w:color w:val="000000"/>
          <w:sz w:val="17"/>
        </w:rPr>
      </w:pPr>
      <w:r>
        <w:rPr>
          <w:rFonts w:ascii="Times New Roman;Times" w:hAnsi="Times New Roman;Times"/>
          <w:b/>
          <w:color w:val="000000"/>
          <w:sz w:val="17"/>
        </w:rPr>
        <w:t>TABLE OF CONTENTS</w:t>
      </w:r>
    </w:p>
    <w:p>
      <w:pPr>
        <w:pStyle w:val="TextBody"/>
        <w:spacing w:before="240" w:after="283"/>
        <w:rPr/>
      </w:pPr>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Preliminary Prospectus Supplement</w:t>
      </w:r>
      <w:r>
        <w:rPr>
          <w:rFonts w:ascii="Arial;Helvetica" w:hAnsi="Arial;Helvetica"/>
          <w:color w:val="000000"/>
          <w:sz w:val="17"/>
        </w:rPr>
        <w:t xml:space="preserve"> </w:t>
      </w:r>
    </w:p>
    <w:p>
      <w:pPr>
        <w:pStyle w:val="TextBody"/>
        <w:spacing w:before="240" w:after="283"/>
        <w:rPr/>
      </w:pPr>
      <w:r>
        <w:rPr/>
        <w:t> </w:t>
      </w:r>
    </w:p>
    <w:p>
      <w:pPr>
        <w:pStyle w:val="Normal"/>
        <w:spacing w:before="0" w:after="0"/>
        <w:rPr>
          <w:sz w:val="4"/>
          <w:szCs w:val="4"/>
        </w:rPr>
      </w:pPr>
      <w:r>
        <w:rPr>
          <w:sz w:val="4"/>
          <w:szCs w:val="4"/>
        </w:rPr>
      </w:r>
      <w:bookmarkStart w:id="2" w:name="H84049tocpage"/>
      <w:bookmarkStart w:id="3" w:name="H84049tocpage"/>
      <w:bookmarkEnd w:id="3"/>
    </w:p>
    <w:tbl>
      <w:tblPr>
        <w:tblW w:w="5000" w:type="pct"/>
        <w:jc w:val="center"/>
        <w:tblInd w:w="0" w:type="dxa"/>
        <w:tblCellMar>
          <w:top w:w="0" w:type="dxa"/>
          <w:left w:w="0" w:type="dxa"/>
          <w:bottom w:w="0" w:type="dxa"/>
          <w:right w:w="0" w:type="dxa"/>
        </w:tblCellMar>
      </w:tblPr>
      <w:tblGrid>
        <w:gridCol w:w="9225"/>
        <w:gridCol w:w="194"/>
        <w:gridCol w:w="123"/>
        <w:gridCol w:w="537"/>
        <w:gridCol w:w="126"/>
      </w:tblGrid>
      <w:tr>
        <w:trPr/>
        <w:tc>
          <w:tcPr>
            <w:tcW w:w="92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5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9225" w:type="dxa"/>
            <w:tcBorders/>
            <w:shd w:fill="auto" w:val="clear"/>
            <w:vAlign w:val="bottom"/>
          </w:tcPr>
          <w:p>
            <w:pPr>
              <w:pStyle w:val="TableContents"/>
              <w:spacing w:before="0" w:after="0"/>
              <w:ind w:left="200" w:right="0" w:hanging="200"/>
              <w:jc w:val="left"/>
              <w:rPr/>
            </w:pPr>
            <w:hyperlink w:anchor="H84049120">
              <w:r>
                <w:rPr>
                  <w:rStyle w:val="InternetLink"/>
                </w:rPr>
                <w:t>Important Notice About Information in this Prospectus Supplement and the Accompanying Prospectus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S-ii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21">
              <w:r>
                <w:rPr>
                  <w:rStyle w:val="InternetLink"/>
                </w:rPr>
                <w:t>Forward-Looking Statements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S-ii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22">
              <w:r>
                <w:rPr>
                  <w:rStyle w:val="InternetLink"/>
                </w:rPr>
                <w:t>Prospectus Supplement Summary</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S-1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23">
              <w:r>
                <w:rPr>
                  <w:rStyle w:val="InternetLink"/>
                </w:rPr>
                <w:t>Risk Factors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S-4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24">
              <w:r>
                <w:rPr>
                  <w:rStyle w:val="InternetLink"/>
                </w:rPr>
                <w:t>Use of Proceeds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S-4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25">
              <w:r>
                <w:rPr>
                  <w:rStyle w:val="InternetLink"/>
                </w:rPr>
                <w:t>Price Range of Common Units and Distributions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S-4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26">
              <w:r>
                <w:rPr>
                  <w:rStyle w:val="InternetLink"/>
                </w:rPr>
                <w:t>Selling Unitholder</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S-5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27">
              <w:r>
                <w:rPr>
                  <w:rStyle w:val="InternetLink"/>
                </w:rPr>
                <w:t>Material U.S. Federal Income Tax Consequences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S-7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28">
              <w:r>
                <w:rPr>
                  <w:rStyle w:val="InternetLink"/>
                </w:rPr>
                <w:t>Underwriting (Conflicts of Interest)</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S-9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29">
              <w:r>
                <w:rPr>
                  <w:rStyle w:val="InternetLink"/>
                </w:rPr>
                <w:t>Legal Matters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S-14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30">
              <w:r>
                <w:rPr>
                  <w:rStyle w:val="InternetLink"/>
                </w:rPr>
                <w:t>Experts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S-14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4049131">
              <w:r>
                <w:rPr>
                  <w:rStyle w:val="InternetLink"/>
                </w:rPr>
                <w:t>Where You Can Find More Information</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S-14 </w:t>
            </w:r>
          </w:p>
        </w:tc>
        <w:tc>
          <w:tcPr>
            <w:tcW w:w="126" w:type="dxa"/>
            <w:tcBorders/>
            <w:shd w:fill="auto" w:val="clear"/>
            <w:vAlign w:val="bottom"/>
          </w:tcPr>
          <w:p>
            <w:pPr>
              <w:pStyle w:val="TableContents"/>
              <w:spacing w:before="0" w:after="283"/>
              <w:rPr/>
            </w:pPr>
            <w:r>
              <w:rPr/>
              <w:t xml:space="preserve">  </w:t>
            </w:r>
          </w:p>
        </w:tc>
      </w:tr>
    </w:tbl>
    <w:p>
      <w:pPr>
        <w:pStyle w:val="TextBody"/>
        <w:spacing w:before="360" w:after="283"/>
        <w:rPr/>
      </w:pPr>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Prospectus</w:t>
      </w:r>
      <w:r>
        <w:rPr>
          <w:rFonts w:ascii="Arial;Helvetica" w:hAnsi="Arial;Helvetica"/>
          <w:color w:val="000000"/>
          <w:sz w:val="17"/>
        </w:rPr>
        <w:t xml:space="preserve"> </w:t>
      </w:r>
    </w:p>
    <w:p>
      <w:pPr>
        <w:pStyle w:val="TextBody"/>
        <w:spacing w:before="240" w:after="283"/>
        <w:rPr/>
      </w:pPr>
      <w:r>
        <w:rPr/>
        <w:t> </w:t>
      </w:r>
    </w:p>
    <w:p>
      <w:pPr>
        <w:pStyle w:val="Normal"/>
        <w:spacing w:before="0" w:after="0"/>
        <w:rPr>
          <w:sz w:val="4"/>
          <w:szCs w:val="4"/>
        </w:rPr>
      </w:pPr>
      <w:r>
        <w:rPr>
          <w:sz w:val="4"/>
          <w:szCs w:val="4"/>
        </w:rPr>
      </w:r>
      <w:bookmarkStart w:id="4" w:name="H84049tocpage1"/>
      <w:bookmarkStart w:id="5" w:name="H84049tocpage1"/>
      <w:bookmarkEnd w:id="5"/>
    </w:p>
    <w:tbl>
      <w:tblPr>
        <w:tblW w:w="5000" w:type="pct"/>
        <w:jc w:val="center"/>
        <w:tblInd w:w="0" w:type="dxa"/>
        <w:tblCellMar>
          <w:top w:w="0" w:type="dxa"/>
          <w:left w:w="0" w:type="dxa"/>
          <w:bottom w:w="0" w:type="dxa"/>
          <w:right w:w="0" w:type="dxa"/>
        </w:tblCellMar>
      </w:tblPr>
      <w:tblGrid>
        <w:gridCol w:w="9499"/>
        <w:gridCol w:w="198"/>
        <w:gridCol w:w="122"/>
        <w:gridCol w:w="323"/>
        <w:gridCol w:w="63"/>
      </w:tblGrid>
      <w:tr>
        <w:trPr/>
        <w:tc>
          <w:tcPr>
            <w:tcW w:w="949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r>
      <w:tr>
        <w:trPr/>
        <w:tc>
          <w:tcPr>
            <w:tcW w:w="9499" w:type="dxa"/>
            <w:tcBorders/>
            <w:shd w:fill="auto" w:val="clear"/>
            <w:vAlign w:val="bottom"/>
          </w:tcPr>
          <w:p>
            <w:pPr>
              <w:pStyle w:val="TableContents"/>
              <w:spacing w:before="0" w:after="0"/>
              <w:ind w:left="200" w:right="0" w:hanging="200"/>
              <w:jc w:val="left"/>
              <w:rPr/>
            </w:pPr>
            <w:hyperlink w:anchor="H84049101">
              <w:r>
                <w:rPr>
                  <w:rStyle w:val="InternetLink"/>
                </w:rPr>
                <w:t>About This Prospectus</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i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02">
              <w:r>
                <w:rPr>
                  <w:rStyle w:val="InternetLink"/>
                </w:rPr>
                <w:t>Where You Can Find More Information</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1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03">
              <w:r>
                <w:rPr>
                  <w:rStyle w:val="InternetLink"/>
                </w:rPr>
                <w:t>Forward-Looking Statements</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3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04">
              <w:r>
                <w:rPr>
                  <w:rStyle w:val="InternetLink"/>
                </w:rPr>
                <w:t>Who We Are</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4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05">
              <w:r>
                <w:rPr>
                  <w:rStyle w:val="InternetLink"/>
                </w:rPr>
                <w:t>Risk Factors</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5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06">
              <w:r>
                <w:rPr>
                  <w:rStyle w:val="InternetLink"/>
                </w:rPr>
                <w:t>Use of Proceeds</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6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07">
              <w:r>
                <w:rPr>
                  <w:rStyle w:val="InternetLink"/>
                </w:rPr>
                <w:t>Description of Our Common Units</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7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08">
              <w:r>
                <w:rPr>
                  <w:rStyle w:val="InternetLink"/>
                </w:rPr>
                <w:t>Cash Distribution Policy</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9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09">
              <w:r>
                <w:rPr>
                  <w:rStyle w:val="InternetLink"/>
                </w:rPr>
                <w:t>Description of Our Partnership Agreement</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13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10">
              <w:r>
                <w:rPr>
                  <w:rStyle w:val="InternetLink"/>
                </w:rPr>
                <w:t>Material Income Tax Considerations</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16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11">
              <w:r>
                <w:rPr>
                  <w:rStyle w:val="InternetLink"/>
                </w:rPr>
                <w:t>Selling Unitholders</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30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12">
              <w:r>
                <w:rPr>
                  <w:rStyle w:val="InternetLink"/>
                </w:rPr>
                <w:t>Plan of Distribution</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32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13">
              <w:r>
                <w:rPr>
                  <w:rStyle w:val="InternetLink"/>
                </w:rPr>
                <w:t>Legal Matters</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34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hyperlink w:anchor="H84049114">
              <w:r>
                <w:rPr>
                  <w:rStyle w:val="InternetLink"/>
                </w:rPr>
                <w:t>Experts</w:t>
              </w:r>
            </w:hyperlink>
            <w:r>
              <w:rPr/>
              <w:t xml:space="preserv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34 </w:t>
            </w:r>
          </w:p>
        </w:tc>
        <w:tc>
          <w:tcPr>
            <w:tcW w:w="63" w:type="dxa"/>
            <w:tcBorders/>
            <w:shd w:fill="auto" w:val="clear"/>
            <w:vAlign w:val="bottom"/>
          </w:tcPr>
          <w:p>
            <w:pPr>
              <w:pStyle w:val="TableContents"/>
              <w:spacing w:before="0" w:after="283"/>
              <w:rPr/>
            </w:pPr>
            <w:r>
              <w:rPr/>
              <w:t xml:space="preserve">  </w:t>
            </w:r>
          </w:p>
        </w:tc>
      </w:tr>
    </w:tbl>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360" w:after="283"/>
        <w:rPr/>
      </w:pPr>
      <w:bookmarkStart w:id="6" w:name="H84049120"/>
      <w:bookmarkEnd w:id="6"/>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IMPORTANT NOTICE ABOUT INFORMATION IN THIS PROSPECTUS</w:t>
        <w:br/>
        <w:t>SUPPLEMENT AND THE ACCOMPANYING PROSPECTUS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If the description of the offering varies between the prospectus supplement and the base prospectus, you should rely on the information in the prospectus supplement.</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You should rely only on the information contained in or incorporated by reference in this prospectus or any free writing prospectus relating to this offering of common units. No other person has been authorized to provide you with different information. This prospectus is an offer to sell only the common units offered hereby, and only in jurisdictions where it is lawful to do so. You should not assume that the information contained in this prospectus, any free writing prospectus or in the documents incorporated by reference in this prospectus is accurate as of any date other than the date on the front of those documents.</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r>
        <w:rPr>
          <w:rFonts w:ascii="Times New Roman;Times" w:hAnsi="Times New Roman;Times"/>
          <w:color w:val="000000"/>
          <w:sz w:val="17"/>
        </w:rPr>
        <w:t xml:space="preserve"> </w:t>
      </w:r>
    </w:p>
    <w:p>
      <w:pPr>
        <w:pStyle w:val="TextBody"/>
        <w:spacing w:before="360" w:after="283"/>
        <w:rPr/>
      </w:pPr>
      <w:bookmarkStart w:id="7" w:name="H84049121"/>
      <w:bookmarkEnd w:id="7"/>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FORWARD-LOOKING STATEMENTS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All statements included or incorporated by reference in this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failure to implement or capitalize on planned internal growth projects;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continued creditworthiness of, and performance by, our counterparties, including financial institutions and trading companies with which we do business;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effectiveness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unanticipated changes in crude oil market structure, grade differentials and volatility (or lack thereof);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abrupt or severe declines or interruptions in outer continental shelf production located offshore California and transported on our pipeline systems;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shortages or cost increases of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S-ii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availability of, and our ability to consummate, acquisition or combination opportunities;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our ability to obtain debt or equity financing on satisfactory terms to fund additional acquisitions, expansion projects, working capital requirements and the repayment or refinancing of indebtedness;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successful integration and future performance of acquired assets or businesses and the risks associated with operating in lines of business that are distinct and separate from our historical operations;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impact of current and future laws, rulings, governmental regulations, accounting standards and statements and related interpretations;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effects of competition;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interruptions in service on third-party pipelines;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increased costs or lack of availability of insurance;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currency exchange rate of the Canadian dollar;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weather interference with business operations or project construction;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risks related to the development and operation of natural gas storage facilities;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factors affecting demand for natural gas and natural gas storage services and rates;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future developments and circumstances at the time distributions are declared;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general economic, market or business conditions and the amplification of other risks caused by volatile financial markets, capital constraints and pervasive liquidity concerns;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Other factors described herein or incorporated by reference, or factors that are unknown or unpredictable, could also have a material adverse effect on future results. Please read Risk Factors on page S-5 of this prospectus supplement and in Item 1A. Risk Factors in our Annual Report on Form 10-K for the year ended December 31, 2010 (File No. 001-14569), which is incorporated in this prospectus supplement by reference. Except as required by applicable securities laws, we do not intend to update these forward-looking statements and information.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S-iii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360" w:after="283"/>
        <w:ind w:left="0" w:right="0" w:firstLine="240"/>
        <w:rPr>
          <w:bdr w:val="single" w:sz="2" w:space="12" w:color="000000"/>
        </w:rPr>
      </w:pPr>
      <w:bookmarkStart w:id="8" w:name="H84049122"/>
      <w:bookmarkEnd w:id="8"/>
      <w:r>
        <w:rPr>
          <w:bdr w:val="single" w:sz="2" w:space="12" w:color="000000"/>
        </w:rPr>
        <w:t> </w:t>
      </w:r>
    </w:p>
    <w:p>
      <w:pPr>
        <w:pStyle w:val="TextBody"/>
        <w:spacing w:before="0" w:after="0"/>
        <w:jc w:val="center"/>
        <w:rPr>
          <w:rFonts w:ascii="Arial;Helvetica" w:hAnsi="Arial;Helvetica"/>
          <w:color w:val="000000"/>
          <w:sz w:val="17"/>
          <w:bdr w:val="single" w:sz="2" w:space="12" w:color="000000"/>
        </w:rPr>
      </w:pPr>
      <w:r>
        <w:rPr>
          <w:rFonts w:ascii="Times New Roman;Times" w:hAnsi="Times New Roman;Times"/>
          <w:b/>
          <w:color w:val="000000"/>
          <w:sz w:val="17"/>
          <w:bdr w:val="single" w:sz="2" w:space="12" w:color="000000"/>
        </w:rPr>
        <w:t>PROSPECTUS SUPPLEMENT SUMMARY</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i/>
          <w:color w:val="000000"/>
          <w:sz w:val="17"/>
          <w:bdr w:val="single" w:sz="2" w:space="12" w:color="000000"/>
        </w:rPr>
        <w:t>This summary highlights information contained elsewhere, or incorporated by reference, in this prospectus supplement and the accompanying prospectus. It does not contain all of the information that you should consider before making an investment decision. You should read this entire prospectus supplement, the accompanying prospectus and the documents incorporated herein by reference for a more complete understanding of this offering of common units. Please read Risk Factors on page S-5 of this prospectus supplement and in our Annual Report on Form 10-K for the year ended December 31, 2010, which is incorporated into this prospectus supplement by reference, for information regarding risks you should consider before investing in our common units.</w:t>
      </w:r>
      <w:r>
        <w:rPr>
          <w:rFonts w:ascii="Times New Roman;Times" w:hAnsi="Times New Roman;Times"/>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i/>
          <w:color w:val="000000"/>
          <w:sz w:val="17"/>
          <w:bdr w:val="single" w:sz="2" w:space="12" w:color="000000"/>
        </w:rPr>
        <w:t>Except as the context otherwise indicates, the information in this prospectus supplement assumes no exercise of the underwriters option to purchase additional common units from the selling unitholder.</w:t>
      </w:r>
      <w:r>
        <w:rPr>
          <w:rFonts w:ascii="Times New Roman;Times" w:hAnsi="Times New Roman;Times"/>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i/>
          <w:color w:val="000000"/>
          <w:sz w:val="17"/>
          <w:bdr w:val="single" w:sz="2" w:space="12" w:color="000000"/>
        </w:rPr>
        <w:t>For purposes of this prospectus supplement and the accompanying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r>
        <w:rPr>
          <w:rFonts w:ascii="Times New Roman;Times" w:hAnsi="Times New Roman;Times"/>
          <w:color w:val="000000"/>
          <w:sz w:val="17"/>
          <w:bdr w:val="single" w:sz="2" w:space="12" w:color="000000"/>
        </w:rPr>
        <w:t xml:space="preserve">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color w:val="000000"/>
          <w:sz w:val="17"/>
          <w:bdr w:val="single" w:sz="2" w:space="12" w:color="000000"/>
        </w:rPr>
        <w:t>Plains All American Pipeline, L.P.</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refer to liquefied petroleum gas and other natural gas-related petroleum products collectively as LPG. We are also engaged in the development and operation of natural gas storage facilities through our direct and indirect ownership of PAA Natural Gas Storage, L. P. (PNG), which is a fee-based, growth-oriented Delaware limited partnership engaged in the ownership, acquisition, development, operation and commercial management of natural gas storage facilities. We own PNGs general partner, PNGS GP LLC (PNGS GP), which holds a 2% general partner interest in PNG and all of its incentive distributions rights. We also currently own an approximate 62% limited partner interest in PNG.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color w:val="000000"/>
          <w:sz w:val="17"/>
          <w:bdr w:val="single" w:sz="2" w:space="12" w:color="000000"/>
        </w:rPr>
        <w:t>Business Strategy</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Our principal business strategy is to provide competitive and efficient midstream transportation, terminalling, storage and supply and logistics services to our producer, refiner and other customers. Toward this end, we endeavor to address regional supply and demand imbalances for crude oil, refined products, LPG and natural gas storage in the United States and Canada by combining the strategic location and capabilities of our transportation, terminalling and storage assets with our extensive supply, logistics and distribution expertise.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We believe successful execution of this strategy will enable us to generate sustainable earnings and cash flow. We intend to manage and grow our business by: </w:t>
      </w:r>
    </w:p>
    <w:p>
      <w:pPr>
        <w:pStyle w:val="TextBody"/>
        <w:spacing w:before="120" w:after="283"/>
        <w:rPr>
          <w:bdr w:val="single" w:sz="2" w:space="12" w:color="000000"/>
        </w:rPr>
      </w:pPr>
      <w:r>
        <w:rPr>
          <w:bdr w:val="single" w:sz="2" w:space="12" w:color="000000"/>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optimizing our existing assets and realizing cost efficiencies through operational improvements;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developing and implementing internal growth projects that (i) address evolving crude oil, refined products and LPG needs in the midstream transportation and infrastructure sector and (ii) are well-positioned to benefit from long-term industry trends and opportunities;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utilizing our assets along the Gulf, West and East Coasts along with our terminals and leased assets to optimize our presence in the waterborne importation of foreign crude oil;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tblCellMar>
          <w:top w:w="0" w:type="dxa"/>
          <w:left w:w="0" w:type="dxa"/>
          <w:bottom w:w="0" w:type="dxa"/>
          <w:right w:w="0" w:type="dxa"/>
        </w:tblCellMar>
      </w:tblPr>
      <w:tblGrid>
        <w:gridCol w:w="403"/>
        <w:gridCol w:w="263"/>
        <w:gridCol w:w="9539"/>
      </w:tblGrid>
      <w:tr>
        <w:trPr/>
        <w:tc>
          <w:tcPr>
            <w:tcW w:w="40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63"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63"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selectively pursuing strategic and accretive acquisitions that complement our existing asset base and distribution capabilities;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63"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using our terminalling and storage assets in conjunction with our supply and logistic activities to capitalize on inefficient energy markets and to address physical market imbalances, mitigate inherent risks and increase margin. </w:t>
            </w:r>
          </w:p>
        </w:tc>
      </w:tr>
    </w:tbl>
    <w:p>
      <w:pPr>
        <w:pStyle w:val="TextBody"/>
        <w:spacing w:before="120" w:after="283"/>
        <w:ind w:left="0" w:right="0" w:firstLine="240"/>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We intend to utilize PNG as the primary vehicle through which we will participate in the natural gas storage business. We believe PNGs natural gas storage assets are also well-positioned to benefit from long-term industry trends and opportunities. PNGs growth strategies are to develop and implement internal growth projects and to selectively pursue strategic and accretive acquisitions of natural gas storage projects and facilities. Through execution of such growth strategies, we intend to expand the scale and scope of our natural gas storage business. We may also prudently and economically leverage our asset base, knowledge base and skill sets to participate in other energy-related businesses that have characteristics and opportunities similar to, or that otherwise complement, our existing activities.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color w:val="000000"/>
          <w:sz w:val="17"/>
          <w:bdr w:val="single" w:sz="2" w:space="12" w:color="000000"/>
        </w:rPr>
        <w:t>Ongoing Acquisition Activities</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 related assets that have characteristics and opportunities similar to our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Even after we have reached agreement on a purchase price with a potential seller, confirmatory due diligence or negotiations regarding other terms of the acquisition can cause discussions to be terminated. Accordingly, we typically do not announce a transaction until after we have executed a definitive acquisition agreement. Although we expect the acquisitions we make to be accretive in the long term, we can provide no assurance that our expectations will ultimately be realized.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color w:val="000000"/>
          <w:sz w:val="17"/>
          <w:bdr w:val="single" w:sz="2" w:space="12" w:color="000000"/>
        </w:rPr>
        <w:t>Our Principal Executive Offices</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Our executive offices are located at 333 Clay Street, Suite 1600, Houston, Texas 77002. Our telephone number is (713) 646-4100. We maintain a website at </w:t>
      </w:r>
      <w:r>
        <w:rPr>
          <w:rFonts w:ascii="Times New Roman;Times" w:hAnsi="Times New Roman;Times"/>
          <w:i/>
          <w:color w:val="000000"/>
          <w:sz w:val="17"/>
          <w:bdr w:val="single" w:sz="2" w:space="12" w:color="000000"/>
        </w:rPr>
        <w:t xml:space="preserve">www.paalp.com </w:t>
      </w:r>
      <w:r>
        <w:rPr>
          <w:rFonts w:ascii="Times New Roman;Times" w:hAnsi="Times New Roman;Times"/>
          <w:color w:val="000000"/>
          <w:sz w:val="17"/>
          <w:bdr w:val="single" w:sz="2" w:space="12" w:color="000000"/>
        </w:rPr>
        <w:t xml:space="preserve">that provides information about our business and operations. Information contained on or available through our website is not incorporated into or otherwise a part of this prospectus supplement or the accompanying base prospectus.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color w:val="000000"/>
          <w:sz w:val="17"/>
          <w:bdr w:val="single" w:sz="2" w:space="12" w:color="000000"/>
        </w:rPr>
        <w:t>Additional Information</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For additional information about us, including our partnership structure and management, please see our Annual Report on Form 10-K for the year ended December 31, 2010 and our subsequently filed Quarterly Reports on Form 10-Q and Current Reports on Form 8-K. Please refer to the section in this prospectus supplement entitled Where You Can Find More Information.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S-2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240" w:after="283"/>
        <w:ind w:left="0" w:right="0" w:firstLine="240"/>
        <w:rPr>
          <w:bdr w:val="single" w:sz="2" w:space="12" w:color="000000"/>
        </w:rPr>
      </w:pPr>
      <w:r>
        <w:rPr>
          <w:bdr w:val="single" w:sz="2" w:space="12" w:color="000000"/>
        </w:rPr>
        <w:t> </w:t>
      </w:r>
    </w:p>
    <w:p>
      <w:pPr>
        <w:pStyle w:val="TextBody"/>
        <w:spacing w:before="0" w:after="0"/>
        <w:jc w:val="center"/>
        <w:rPr>
          <w:rFonts w:ascii="Arial;Helvetica" w:hAnsi="Arial;Helvetica"/>
          <w:color w:val="000000"/>
          <w:sz w:val="17"/>
          <w:bdr w:val="single" w:sz="2" w:space="12" w:color="000000"/>
        </w:rPr>
      </w:pPr>
      <w:r>
        <w:rPr>
          <w:rFonts w:ascii="Times New Roman;Times" w:hAnsi="Times New Roman;Times"/>
          <w:b/>
          <w:color w:val="000000"/>
          <w:sz w:val="17"/>
          <w:bdr w:val="single" w:sz="2" w:space="12" w:color="000000"/>
        </w:rPr>
        <w:t>THE OFFERING</w:t>
      </w:r>
      <w:r>
        <w:rPr>
          <w:rFonts w:ascii="Arial;Helvetica" w:hAnsi="Arial;Helvetica"/>
          <w:color w:val="000000"/>
          <w:sz w:val="17"/>
          <w:bdr w:val="single" w:sz="2" w:space="12" w:color="000000"/>
        </w:rPr>
        <w:t xml:space="preserve"> </w:t>
      </w:r>
    </w:p>
    <w:p>
      <w:pPr>
        <w:pStyle w:val="TextBody"/>
        <w:spacing w:before="80" w:after="283"/>
        <w:rPr>
          <w:bdr w:val="single" w:sz="2" w:space="12" w:color="000000"/>
        </w:rPr>
      </w:pPr>
      <w:r>
        <w:rPr>
          <w:bdr w:val="single" w:sz="2" w:space="12" w:color="000000"/>
        </w:rPr>
        <w:t> </w:t>
      </w:r>
    </w:p>
    <w:tbl>
      <w:tblPr>
        <w:tblW w:w="5000" w:type="pct"/>
        <w:jc w:val="left"/>
        <w:tblInd w:w="0" w:type="dxa"/>
        <w:tblCellMar>
          <w:top w:w="0" w:type="dxa"/>
          <w:left w:w="0" w:type="dxa"/>
          <w:bottom w:w="0" w:type="dxa"/>
          <w:right w:w="0" w:type="dxa"/>
        </w:tblCellMar>
      </w:tblPr>
      <w:tblGrid>
        <w:gridCol w:w="3674"/>
        <w:gridCol w:w="99"/>
        <w:gridCol w:w="6432"/>
      </w:tblGrid>
      <w:tr>
        <w:trPr/>
        <w:tc>
          <w:tcPr>
            <w:tcW w:w="3674"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cente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pPr>
            <w:r>
              <w:rPr/>
              <w:t>Common units offered by selling unitholder</w:t>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7,500,000 common units (8,625,000 common units if the underwriters exercise in full their option to purchase additional common units).</w:t>
            </w:r>
          </w:p>
        </w:tc>
      </w:tr>
      <w:tr>
        <w:trPr/>
        <w:tc>
          <w:tcPr>
            <w:tcW w:w="3674" w:type="dxa"/>
            <w:tcBorders/>
            <w:shd w:fill="auto" w:val="clear"/>
            <w:vAlign w:val="center"/>
          </w:tcPr>
          <w:p>
            <w:pPr>
              <w:pStyle w:val="TableContents"/>
              <w:spacing w:before="0" w:after="283"/>
              <w:rPr/>
            </w:pPr>
            <w:r>
              <w:rPr/>
              <w:t> </w:t>
            </w:r>
          </w:p>
        </w:tc>
        <w:tc>
          <w:tcPr>
            <w:tcW w:w="6531" w:type="dxa"/>
            <w:gridSpan w:val="2"/>
            <w:tcBorders/>
            <w:shd w:fill="auto" w:val="clea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pPr>
            <w:r>
              <w:rPr/>
              <w:t>Common units outstanding before and after this offering</w:t>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149,357,119 common units.</w:t>
            </w:r>
          </w:p>
        </w:tc>
      </w:tr>
      <w:tr>
        <w:trPr/>
        <w:tc>
          <w:tcPr>
            <w:tcW w:w="3674" w:type="dxa"/>
            <w:tcBorders/>
            <w:shd w:fill="auto" w:val="clear"/>
            <w:vAlign w:val="center"/>
          </w:tcPr>
          <w:p>
            <w:pPr>
              <w:pStyle w:val="TableContents"/>
              <w:spacing w:before="0" w:after="283"/>
              <w:rPr/>
            </w:pPr>
            <w:r>
              <w:rPr/>
              <w:t> </w:t>
            </w:r>
          </w:p>
        </w:tc>
        <w:tc>
          <w:tcPr>
            <w:tcW w:w="6531" w:type="dxa"/>
            <w:gridSpan w:val="2"/>
            <w:tcBorders/>
            <w:shd w:fill="auto" w:val="clea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pPr>
            <w:r>
              <w:rPr/>
              <w:t>Use of proceeds</w:t>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We will not receive any proceeds from the sale of our common units by the selling unitholder in this offering.</w:t>
            </w:r>
          </w:p>
        </w:tc>
      </w:tr>
      <w:tr>
        <w:trPr/>
        <w:tc>
          <w:tcPr>
            <w:tcW w:w="3674" w:type="dxa"/>
            <w:tcBorders/>
            <w:shd w:fill="auto" w:val="clear"/>
            <w:vAlign w:val="center"/>
          </w:tcPr>
          <w:p>
            <w:pPr>
              <w:pStyle w:val="TableContents"/>
              <w:spacing w:before="0" w:after="283"/>
              <w:rPr/>
            </w:pPr>
            <w:r>
              <w:rPr/>
              <w:t> </w:t>
            </w:r>
          </w:p>
        </w:tc>
        <w:tc>
          <w:tcPr>
            <w:tcW w:w="6531" w:type="dxa"/>
            <w:gridSpan w:val="2"/>
            <w:tcBorders/>
            <w:shd w:fill="auto" w:val="clea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pPr>
            <w:r>
              <w:rPr/>
              <w:t>Cash distributions</w:t>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Under our partnership agreement, we must distribute all of our cash on hand at the end of each quarter, less reserves established by our general partner in its discretion. We refer to this cash as available cash, and we define its meaning in our partnership agreement.</w:t>
            </w:r>
          </w:p>
        </w:tc>
      </w:tr>
      <w:tr>
        <w:trPr/>
        <w:tc>
          <w:tcPr>
            <w:tcW w:w="3674" w:type="dxa"/>
            <w:tcBorders/>
            <w:shd w:fill="auto" w:val="clear"/>
            <w:vAlign w:val="center"/>
          </w:tcPr>
          <w:p>
            <w:pPr>
              <w:pStyle w:val="TableContents"/>
              <w:spacing w:before="0" w:after="283"/>
              <w:rPr/>
            </w:pPr>
            <w:r>
              <w:rPr/>
              <w:t> </w:t>
            </w:r>
          </w:p>
        </w:tc>
        <w:tc>
          <w:tcPr>
            <w:tcW w:w="6531" w:type="dxa"/>
            <w:gridSpan w:val="2"/>
            <w:tcBorders/>
            <w:shd w:fill="auto" w:val="clea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Under the quarterly incentive distribution provisions in our partnership agreement, generally our general partner is entitled, following the distribution of our minimum quarterly distribution of $0.45 per common unit and without duplication, to 15% of amounts we distribute until each unitholder receives a total of $0.495 per common unit, 25% of amounts we distribute until each unitholder receives a total of $0.675 per common unit and 50% thereafter. For a description of our cash distribution policy, please read Cash Distribution Policy in the accompanying prospectus.</w:t>
            </w:r>
          </w:p>
        </w:tc>
      </w:tr>
      <w:tr>
        <w:trPr/>
        <w:tc>
          <w:tcPr>
            <w:tcW w:w="3674" w:type="dxa"/>
            <w:tcBorders/>
            <w:shd w:fill="auto" w:val="clear"/>
            <w:vAlign w:val="center"/>
          </w:tcPr>
          <w:p>
            <w:pPr>
              <w:pStyle w:val="TableContents"/>
              <w:spacing w:before="0" w:after="283"/>
              <w:rPr/>
            </w:pPr>
            <w:r>
              <w:rPr/>
              <w:t> </w:t>
            </w:r>
          </w:p>
        </w:tc>
        <w:tc>
          <w:tcPr>
            <w:tcW w:w="6531" w:type="dxa"/>
            <w:gridSpan w:val="2"/>
            <w:tcBorders/>
            <w:shd w:fill="auto" w:val="clea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On July 11, 2011, we declared a cash distribution of $0.9825 per unit ($3.93 per unit on an annualized basis) payable on August 12, 2011 to holders of record of such units at the close of business on August 2, 2011. The distribution represents an increase of approximately 1.3% over the quarterly distribution of $0.97 per unit ($3.88 per unit on an annualized basis) we paid in May 2011.</w:t>
            </w:r>
          </w:p>
        </w:tc>
      </w:tr>
      <w:tr>
        <w:trPr/>
        <w:tc>
          <w:tcPr>
            <w:tcW w:w="3674" w:type="dxa"/>
            <w:tcBorders/>
            <w:shd w:fill="auto" w:val="clear"/>
            <w:vAlign w:val="center"/>
          </w:tcPr>
          <w:p>
            <w:pPr>
              <w:pStyle w:val="TableContents"/>
              <w:spacing w:before="0" w:after="283"/>
              <w:rPr/>
            </w:pPr>
            <w:r>
              <w:rPr/>
              <w:t> </w:t>
            </w:r>
          </w:p>
        </w:tc>
        <w:tc>
          <w:tcPr>
            <w:tcW w:w="6531" w:type="dxa"/>
            <w:gridSpan w:val="2"/>
            <w:tcBorders/>
            <w:shd w:fill="auto" w:val="clea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Purchasers in this offering will not be entitled to receive the distribution payable on August 12, 2011.</w:t>
            </w:r>
          </w:p>
        </w:tc>
      </w:tr>
      <w:tr>
        <w:trPr/>
        <w:tc>
          <w:tcPr>
            <w:tcW w:w="3674" w:type="dxa"/>
            <w:tcBorders/>
            <w:shd w:fill="auto" w:val="clear"/>
            <w:vAlign w:val="center"/>
          </w:tcPr>
          <w:p>
            <w:pPr>
              <w:pStyle w:val="TableContents"/>
              <w:spacing w:before="0" w:after="283"/>
              <w:rPr/>
            </w:pPr>
            <w:r>
              <w:rPr/>
              <w:t> </w:t>
            </w:r>
          </w:p>
        </w:tc>
        <w:tc>
          <w:tcPr>
            <w:tcW w:w="6531" w:type="dxa"/>
            <w:gridSpan w:val="2"/>
            <w:tcBorders/>
            <w:shd w:fill="auto" w:val="clea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pPr>
            <w:r>
              <w:rPr/>
              <w:t>Estimated ratio of taxable income to distributions</w:t>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We estimate that if you own the common units you purchase in this offering through the record date for the distribution for the period ending December 31, 2013, you will be allocated, on a cumulative basis, an amount of federal taxable income for that period that will be less than 20% of the cash distributed to you with respect to that period. Please read Material U.S. Federal Income Tax Consequences in this prospectus supplement for the basis of this estimate.</w:t>
            </w:r>
          </w:p>
        </w:tc>
      </w:tr>
      <w:tr>
        <w:trPr/>
        <w:tc>
          <w:tcPr>
            <w:tcW w:w="3674" w:type="dxa"/>
            <w:tcBorders/>
            <w:shd w:fill="auto" w:val="clear"/>
            <w:vAlign w:val="center"/>
          </w:tcPr>
          <w:p>
            <w:pPr>
              <w:pStyle w:val="TableContents"/>
              <w:spacing w:before="0" w:after="283"/>
              <w:rPr/>
            </w:pPr>
            <w:r>
              <w:rPr/>
              <w:t> </w:t>
            </w:r>
          </w:p>
        </w:tc>
        <w:tc>
          <w:tcPr>
            <w:tcW w:w="6531" w:type="dxa"/>
            <w:gridSpan w:val="2"/>
            <w:tcBorders/>
            <w:shd w:fill="auto" w:val="clea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pPr>
            <w:r>
              <w:rPr/>
              <w:t>Conflicts of interest</w:t>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Certain of the underwriters and their affiliates have performed investment and commercial banking and advisory services for us and our affiliates and for the selling unitholder and its affiliates from time to time for which they have received customary fees and expenses. The underwriters and their affiliates may, from time to time, engage in transactions with and perform services for us, the selling unitholder or our and the selling unitholders respective affiliates in the ordinary course of their business. In particular, affiliates of certain of the underwriters are lenders under our credit facilities.</w:t>
            </w:r>
          </w:p>
        </w:tc>
      </w:tr>
      <w:tr>
        <w:trPr/>
        <w:tc>
          <w:tcPr>
            <w:tcW w:w="3674" w:type="dxa"/>
            <w:tcBorders/>
            <w:shd w:fill="auto" w:val="clear"/>
            <w:vAlign w:val="center"/>
          </w:tcPr>
          <w:p>
            <w:pPr>
              <w:pStyle w:val="TableContents"/>
              <w:spacing w:before="0" w:after="283"/>
              <w:rPr/>
            </w:pPr>
            <w:r>
              <w:rPr/>
              <w:t> </w:t>
            </w:r>
          </w:p>
        </w:tc>
        <w:tc>
          <w:tcPr>
            <w:tcW w:w="6531" w:type="dxa"/>
            <w:gridSpan w:val="2"/>
            <w:tcBorders/>
            <w:shd w:fill="auto" w:val="clear"/>
          </w:tcPr>
          <w:p>
            <w:pPr>
              <w:pStyle w:val="TableContents"/>
              <w:spacing w:before="0" w:after="283"/>
              <w:rPr>
                <w:sz w:val="4"/>
                <w:szCs w:val="4"/>
              </w:rPr>
            </w:pPr>
            <w:r>
              <w:rPr>
                <w:sz w:val="4"/>
                <w:szCs w:val="4"/>
              </w:rPr>
            </w:r>
          </w:p>
        </w:tc>
      </w:tr>
      <w:tr>
        <w:trPr/>
        <w:tc>
          <w:tcPr>
            <w:tcW w:w="3674" w:type="dxa"/>
            <w:tcBorders/>
            <w:shd w:fill="auto" w:val="clear"/>
          </w:tcPr>
          <w:p>
            <w:pPr>
              <w:pStyle w:val="TableContents"/>
              <w:spacing w:before="0" w:after="283"/>
              <w:rPr/>
            </w:pPr>
            <w:r>
              <w:rPr/>
              <w:t>New York Stock Exchange symbol</w:t>
            </w:r>
          </w:p>
        </w:tc>
        <w:tc>
          <w:tcPr>
            <w:tcW w:w="99" w:type="dxa"/>
            <w:tcBorders/>
            <w:shd w:fill="auto" w:val="clear"/>
            <w:vAlign w:val="center"/>
          </w:tcPr>
          <w:p>
            <w:pPr>
              <w:pStyle w:val="TableContents"/>
              <w:spacing w:before="0" w:after="283"/>
              <w:rPr>
                <w:sz w:val="4"/>
                <w:szCs w:val="4"/>
              </w:rPr>
            </w:pPr>
            <w:r>
              <w:rPr>
                <w:sz w:val="4"/>
                <w:szCs w:val="4"/>
              </w:rPr>
            </w:r>
          </w:p>
        </w:tc>
        <w:tc>
          <w:tcPr>
            <w:tcW w:w="6432" w:type="dxa"/>
            <w:tcBorders/>
            <w:shd w:fill="auto" w:val="clear"/>
            <w:vAlign w:val="bottom"/>
          </w:tcPr>
          <w:p>
            <w:pPr>
              <w:pStyle w:val="TableContents"/>
              <w:spacing w:before="0" w:after="283"/>
              <w:rPr/>
            </w:pPr>
            <w:r>
              <w:rPr/>
              <w:t>PAA.</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S-3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360" w:after="283"/>
        <w:rPr/>
      </w:pPr>
      <w:bookmarkStart w:id="9" w:name="H84049123"/>
      <w:bookmarkEnd w:id="9"/>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RISK FACTORS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Before making an investment in the common units offered hereby, you should carefully consider the risk factors included in Item 1A. Risk Factors in our Annual Report on Form 10-K for the year ended December 31, 2010, which is incorporated in this prospectus supplement by reference, together with all of the other information included or incorporated by reference in this prospectus. If any of these risks were to occur, our business, financial condition or results of operations could be materially adversely affected. In such case, the trading price of our common units could decline, and you could lose all or part of your investment.</w:t>
      </w:r>
      <w:r>
        <w:rPr>
          <w:rFonts w:ascii="Times New Roman;Times" w:hAnsi="Times New Roman;Times"/>
          <w:color w:val="000000"/>
          <w:sz w:val="17"/>
        </w:rPr>
        <w:t xml:space="preserve"> </w:t>
      </w:r>
    </w:p>
    <w:p>
      <w:pPr>
        <w:pStyle w:val="TextBody"/>
        <w:spacing w:before="360" w:after="283"/>
        <w:rPr/>
      </w:pPr>
      <w:bookmarkStart w:id="10" w:name="H84049124"/>
      <w:bookmarkEnd w:id="10"/>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USE OF PROCEEDS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will not receive any proceeds from the sale of our common units by the selling unitholder in this offering. </w:t>
      </w:r>
    </w:p>
    <w:p>
      <w:pPr>
        <w:pStyle w:val="TextBody"/>
        <w:spacing w:before="360" w:after="283"/>
        <w:rPr/>
      </w:pPr>
      <w:bookmarkStart w:id="11" w:name="H84049125"/>
      <w:bookmarkEnd w:id="11"/>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PRICE RANGE OF COMMON UNITS AND DISTRIBUTIONS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As of August 10, 2011, we had 149,357,119 common units outstanding, held by approximately 134,000 holders, including common units held in street name. Our common units are traded on the New York Stock Exchange under the symbol PAA.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following table sets forth, for the periods indicated, the high and low sales prices for our common units, as reported on the New York Stock Exchange Composite Transactions Tape, and quarterly cash distributions declared per common unit. The last reported sale price of common units on the New York Stock Exchange on August 10, 2011 was $62.73 per common unit.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5528"/>
        <w:gridCol w:w="167"/>
        <w:gridCol w:w="298"/>
        <w:gridCol w:w="633"/>
        <w:gridCol w:w="223"/>
        <w:gridCol w:w="223"/>
        <w:gridCol w:w="298"/>
        <w:gridCol w:w="633"/>
        <w:gridCol w:w="223"/>
        <w:gridCol w:w="223"/>
        <w:gridCol w:w="416"/>
        <w:gridCol w:w="771"/>
        <w:gridCol w:w="569"/>
      </w:tblGrid>
      <w:tr>
        <w:trPr/>
        <w:tc>
          <w:tcPr>
            <w:tcW w:w="552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 </w:t>
            </w:r>
          </w:p>
        </w:tc>
        <w:tc>
          <w:tcPr>
            <w:tcW w:w="633" w:type="dxa"/>
            <w:tcBorders/>
            <w:shd w:fill="auto" w:val="cle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jc w:val="left"/>
              <w:rPr/>
            </w:pPr>
            <w:r>
              <w:rPr/>
              <w:t> </w:t>
            </w:r>
          </w:p>
        </w:tc>
        <w:tc>
          <w:tcPr>
            <w:tcW w:w="223"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pPr>
            <w:r>
              <w:rPr/>
              <w:t> </w:t>
            </w:r>
          </w:p>
        </w:tc>
        <w:tc>
          <w:tcPr>
            <w:tcW w:w="633" w:type="dxa"/>
            <w:tcBorders/>
            <w:shd w:fill="auto" w:val="cle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jc w:val="left"/>
              <w:rPr/>
            </w:pPr>
            <w:r>
              <w:rPr/>
              <w:t> </w:t>
            </w:r>
          </w:p>
        </w:tc>
        <w:tc>
          <w:tcPr>
            <w:tcW w:w="22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jc w:val="right"/>
              <w:rPr/>
            </w:pPr>
            <w:r>
              <w:rPr/>
              <w:t> </w:t>
            </w:r>
          </w:p>
        </w:tc>
        <w:tc>
          <w:tcPr>
            <w:tcW w:w="771" w:type="dxa"/>
            <w:tcBorders/>
            <w:shd w:fill="auto" w:val="clear"/>
            <w:vAlign w:val="bottom"/>
          </w:tcPr>
          <w:p>
            <w:pPr>
              <w:pStyle w:val="TableContents"/>
              <w:spacing w:before="0" w:after="283"/>
              <w:jc w:val="right"/>
              <w:rPr/>
            </w:pPr>
            <w:r>
              <w:rPr/>
              <w:t> </w:t>
            </w:r>
          </w:p>
        </w:tc>
        <w:tc>
          <w:tcPr>
            <w:tcW w:w="569" w:type="dxa"/>
            <w:tcBorders/>
            <w:shd w:fill="auto" w:val="clear"/>
            <w:vAlign w:val="bottom"/>
          </w:tcPr>
          <w:p>
            <w:pPr>
              <w:pStyle w:val="TableContents"/>
              <w:spacing w:before="0" w:after="283"/>
              <w:jc w:val="left"/>
              <w:rPr/>
            </w:pPr>
            <w:r>
              <w:rPr/>
              <w:t> </w:t>
            </w:r>
          </w:p>
        </w:tc>
      </w:tr>
      <w:tr>
        <w:trPr/>
        <w:tc>
          <w:tcPr>
            <w:tcW w:w="5528" w:type="dxa"/>
            <w:tcBorders/>
            <w:shd w:fill="auto" w:val="clear"/>
            <w:vAlign w:val="bottom"/>
          </w:tcPr>
          <w:p>
            <w:pPr>
              <w:pStyle w:val="TableContents"/>
              <w:spacing w:before="0" w:after="283"/>
              <w:jc w:val="center"/>
              <w:rPr/>
            </w:pPr>
            <w:r>
              <w:rPr/>
              <w:t xml:space="preserve">  </w:t>
            </w:r>
          </w:p>
        </w:tc>
        <w:tc>
          <w:tcPr>
            <w:tcW w:w="167" w:type="dxa"/>
            <w:tcBorders/>
            <w:shd w:fill="auto" w:val="clear"/>
            <w:vAlign w:val="bottom"/>
          </w:tcPr>
          <w:p>
            <w:pPr>
              <w:pStyle w:val="TableContents"/>
              <w:spacing w:before="0" w:after="283"/>
              <w:jc w:val="center"/>
              <w:rPr/>
            </w:pPr>
            <w:r>
              <w:rPr/>
              <w:t xml:space="preserve">  </w:t>
            </w:r>
          </w:p>
        </w:tc>
        <w:tc>
          <w:tcPr>
            <w:tcW w:w="2531" w:type="dxa"/>
            <w:gridSpan w:val="7"/>
            <w:tcBorders/>
            <w:shd w:fill="auto" w:val="clear"/>
            <w:vAlign w:val="bottom"/>
          </w:tcPr>
          <w:p>
            <w:pPr>
              <w:pStyle w:val="TableContents"/>
              <w:spacing w:before="0" w:after="283"/>
              <w:jc w:val="center"/>
              <w:rPr>
                <w:b/>
              </w:rPr>
            </w:pPr>
            <w:r>
              <w:rPr>
                <w:b/>
              </w:rPr>
              <w:t>Common Unit</w:t>
            </w:r>
          </w:p>
        </w:tc>
        <w:tc>
          <w:tcPr>
            <w:tcW w:w="223" w:type="dxa"/>
            <w:tcBorders/>
            <w:shd w:fill="auto" w:val="clear"/>
            <w:vAlign w:val="bottom"/>
          </w:tcPr>
          <w:p>
            <w:pPr>
              <w:pStyle w:val="TableContents"/>
              <w:spacing w:before="0" w:after="283"/>
              <w:jc w:val="center"/>
              <w:rPr/>
            </w:pPr>
            <w:r>
              <w:rPr/>
              <w:t xml:space="preserve">  </w:t>
            </w:r>
          </w:p>
        </w:tc>
        <w:tc>
          <w:tcPr>
            <w:tcW w:w="1756" w:type="dxa"/>
            <w:gridSpan w:val="3"/>
            <w:tcBorders/>
            <w:shd w:fill="auto" w:val="clear"/>
            <w:vAlign w:val="bottom"/>
          </w:tcPr>
          <w:p>
            <w:pPr>
              <w:pStyle w:val="TableContents"/>
              <w:spacing w:before="0" w:after="283"/>
              <w:jc w:val="center"/>
              <w:rPr>
                <w:b/>
              </w:rPr>
            </w:pPr>
            <w:r>
              <w:rPr>
                <w:b/>
              </w:rPr>
              <w:t>Cash</w:t>
            </w:r>
          </w:p>
        </w:tc>
      </w:tr>
      <w:tr>
        <w:trPr/>
        <w:tc>
          <w:tcPr>
            <w:tcW w:w="5528" w:type="dxa"/>
            <w:tcBorders/>
            <w:shd w:fill="auto" w:val="clear"/>
            <w:vAlign w:val="bottom"/>
          </w:tcPr>
          <w:p>
            <w:pPr>
              <w:pStyle w:val="TableContents"/>
              <w:spacing w:before="0" w:after="283"/>
              <w:jc w:val="center"/>
              <w:rPr/>
            </w:pPr>
            <w:r>
              <w:rPr/>
              <w:t xml:space="preserve">  </w:t>
            </w:r>
          </w:p>
        </w:tc>
        <w:tc>
          <w:tcPr>
            <w:tcW w:w="167" w:type="dxa"/>
            <w:tcBorders/>
            <w:shd w:fill="auto" w:val="clear"/>
            <w:vAlign w:val="bottom"/>
          </w:tcPr>
          <w:p>
            <w:pPr>
              <w:pStyle w:val="TableContents"/>
              <w:spacing w:before="0" w:after="283"/>
              <w:jc w:val="center"/>
              <w:rPr/>
            </w:pPr>
            <w:r>
              <w:rPr/>
              <w:t xml:space="preserve">  </w:t>
            </w:r>
          </w:p>
        </w:tc>
        <w:tc>
          <w:tcPr>
            <w:tcW w:w="2531" w:type="dxa"/>
            <w:gridSpan w:val="7"/>
            <w:tcBorders>
              <w:bottom w:val="single" w:sz="2" w:space="0" w:color="000000"/>
            </w:tcBorders>
            <w:shd w:fill="auto" w:val="clear"/>
            <w:tcMar>
              <w:bottom w:w="28" w:type="dxa"/>
            </w:tcMar>
            <w:vAlign w:val="bottom"/>
          </w:tcPr>
          <w:p>
            <w:pPr>
              <w:pStyle w:val="TableContents"/>
              <w:spacing w:before="0" w:after="283"/>
              <w:jc w:val="center"/>
              <w:rPr/>
            </w:pPr>
            <w:r>
              <w:rPr>
                <w:b/>
              </w:rPr>
              <w:t>Price Range</w:t>
            </w:r>
            <w:r>
              <w:rPr/>
              <w:t xml:space="preserve"> </w:t>
            </w:r>
          </w:p>
        </w:tc>
        <w:tc>
          <w:tcPr>
            <w:tcW w:w="223" w:type="dxa"/>
            <w:tcBorders/>
            <w:shd w:fill="auto" w:val="clear"/>
            <w:vAlign w:val="bottom"/>
          </w:tcPr>
          <w:p>
            <w:pPr>
              <w:pStyle w:val="TableContents"/>
              <w:spacing w:before="0" w:after="283"/>
              <w:jc w:val="center"/>
              <w:rPr/>
            </w:pPr>
            <w:r>
              <w:rPr/>
              <w:t xml:space="preserve">  </w:t>
            </w:r>
          </w:p>
        </w:tc>
        <w:tc>
          <w:tcPr>
            <w:tcW w:w="1756" w:type="dxa"/>
            <w:gridSpan w:val="3"/>
            <w:tcBorders/>
            <w:shd w:fill="auto" w:val="clear"/>
            <w:vAlign w:val="bottom"/>
          </w:tcPr>
          <w:p>
            <w:pPr>
              <w:pStyle w:val="TableContents"/>
              <w:spacing w:before="0" w:after="283"/>
              <w:jc w:val="center"/>
              <w:rPr>
                <w:b/>
              </w:rPr>
            </w:pPr>
            <w:r>
              <w:rPr>
                <w:b/>
              </w:rPr>
              <w:t>Distributions</w:t>
            </w:r>
          </w:p>
        </w:tc>
      </w:tr>
      <w:tr>
        <w:trPr/>
        <w:tc>
          <w:tcPr>
            <w:tcW w:w="5528" w:type="dxa"/>
            <w:tcBorders/>
            <w:shd w:fill="auto" w:val="clear"/>
            <w:vAlign w:val="bottom"/>
          </w:tcPr>
          <w:p>
            <w:pPr>
              <w:pStyle w:val="TableContents"/>
              <w:spacing w:before="0" w:after="283"/>
              <w:jc w:val="center"/>
              <w:rPr/>
            </w:pPr>
            <w:r>
              <w:rPr/>
              <w:t xml:space="preserve">  </w:t>
            </w:r>
          </w:p>
        </w:tc>
        <w:tc>
          <w:tcPr>
            <w:tcW w:w="167" w:type="dxa"/>
            <w:tcBorders/>
            <w:shd w:fill="auto" w:val="clear"/>
            <w:vAlign w:val="bottom"/>
          </w:tcPr>
          <w:p>
            <w:pPr>
              <w:pStyle w:val="TableContents"/>
              <w:spacing w:before="0" w:after="283"/>
              <w:jc w:val="center"/>
              <w:rPr/>
            </w:pPr>
            <w:r>
              <w:rPr/>
              <w:t xml:space="preserve">  </w:t>
            </w:r>
          </w:p>
        </w:tc>
        <w:tc>
          <w:tcPr>
            <w:tcW w:w="1154"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High</w:t>
            </w:r>
            <w:r>
              <w:rPr/>
              <w:t xml:space="preserve"> </w:t>
            </w:r>
          </w:p>
        </w:tc>
        <w:tc>
          <w:tcPr>
            <w:tcW w:w="223" w:type="dxa"/>
            <w:tcBorders/>
            <w:shd w:fill="auto" w:val="clear"/>
            <w:vAlign w:val="bottom"/>
          </w:tcPr>
          <w:p>
            <w:pPr>
              <w:pStyle w:val="TableContents"/>
              <w:spacing w:before="0" w:after="283"/>
              <w:jc w:val="center"/>
              <w:rPr/>
            </w:pPr>
            <w:r>
              <w:rPr/>
              <w:t xml:space="preserve">  </w:t>
            </w:r>
          </w:p>
        </w:tc>
        <w:tc>
          <w:tcPr>
            <w:tcW w:w="1154"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Low</w:t>
            </w:r>
            <w:r>
              <w:rPr/>
              <w:t xml:space="preserve"> </w:t>
            </w:r>
          </w:p>
        </w:tc>
        <w:tc>
          <w:tcPr>
            <w:tcW w:w="223" w:type="dxa"/>
            <w:tcBorders/>
            <w:shd w:fill="auto" w:val="clear"/>
            <w:vAlign w:val="bottom"/>
          </w:tcPr>
          <w:p>
            <w:pPr>
              <w:pStyle w:val="TableContents"/>
              <w:spacing w:before="0" w:after="283"/>
              <w:jc w:val="center"/>
              <w:rPr/>
            </w:pPr>
            <w:r>
              <w:rPr/>
              <w:t xml:space="preserve">  </w:t>
            </w:r>
          </w:p>
        </w:tc>
        <w:tc>
          <w:tcPr>
            <w:tcW w:w="1756"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per Unit(1)</w:t>
            </w:r>
            <w:r>
              <w:rPr/>
              <w:t xml:space="preserve"> </w:t>
            </w:r>
          </w:p>
        </w:tc>
      </w:tr>
      <w:tr>
        <w:trPr/>
        <w:tc>
          <w:tcPr>
            <w:tcW w:w="5528" w:type="dxa"/>
            <w:tcBorders/>
            <w:shd w:fill="auto" w:val="clear"/>
            <w:vAlign w:val="center"/>
          </w:tcPr>
          <w:p>
            <w:pPr>
              <w:pStyle w:val="TableContents"/>
              <w:spacing w:before="0" w:after="283"/>
              <w:rPr/>
            </w:pPr>
            <w:r>
              <w:rPr/>
              <w:t xml:space="preserve">  </w:t>
            </w:r>
          </w:p>
        </w:tc>
        <w:tc>
          <w:tcPr>
            <w:tcW w:w="4677" w:type="dxa"/>
            <w:gridSpan w:val="12"/>
            <w:tcBorders/>
            <w:shd w:fill="auto" w:val="clear"/>
          </w:tcPr>
          <w:p>
            <w:pPr>
              <w:pStyle w:val="TableContents"/>
              <w:spacing w:before="0" w:after="283"/>
              <w:rPr>
                <w:sz w:val="4"/>
                <w:szCs w:val="4"/>
              </w:rPr>
            </w:pPr>
            <w:r>
              <w:rPr>
                <w:sz w:val="4"/>
                <w:szCs w:val="4"/>
              </w:rPr>
            </w:r>
          </w:p>
        </w:tc>
      </w:tr>
      <w:tr>
        <w:trPr/>
        <w:tc>
          <w:tcPr>
            <w:tcW w:w="5528" w:type="dxa"/>
            <w:tcBorders/>
            <w:shd w:fill="CCEEFF" w:val="clear"/>
            <w:vAlign w:val="bottom"/>
          </w:tcPr>
          <w:p>
            <w:pPr>
              <w:pStyle w:val="TableContents"/>
              <w:spacing w:before="0" w:after="0"/>
              <w:ind w:left="200" w:right="0" w:hanging="200"/>
              <w:jc w:val="left"/>
              <w:rPr/>
            </w:pPr>
            <w:r>
              <w:rPr>
                <w:b/>
              </w:rPr>
              <w:t>2009</w:t>
            </w:r>
            <w:r>
              <w:rPr/>
              <w:t xml:space="preserve"> </w:t>
            </w:r>
          </w:p>
        </w:tc>
        <w:tc>
          <w:tcPr>
            <w:tcW w:w="167"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416" w:type="dxa"/>
            <w:tcBorders/>
            <w:shd w:fill="CCEEFF" w:val="clear"/>
            <w:vAlign w:val="bottom"/>
          </w:tcPr>
          <w:p>
            <w:pPr>
              <w:pStyle w:val="TableContents"/>
              <w:spacing w:before="0" w:after="283"/>
              <w:jc w:val="right"/>
              <w:rPr/>
            </w:pPr>
            <w:r>
              <w:rPr/>
              <w:t xml:space="preserve">  </w:t>
            </w:r>
          </w:p>
        </w:tc>
        <w:tc>
          <w:tcPr>
            <w:tcW w:w="771" w:type="dxa"/>
            <w:tcBorders/>
            <w:shd w:fill="CCEEFF" w:val="clear"/>
            <w:vAlign w:val="bottom"/>
          </w:tcPr>
          <w:p>
            <w:pPr>
              <w:pStyle w:val="TableContents"/>
              <w:spacing w:before="0" w:after="283"/>
              <w:jc w:val="right"/>
              <w:rPr/>
            </w:pPr>
            <w:r>
              <w:rPr/>
              <w:t xml:space="preserve">  </w:t>
            </w:r>
          </w:p>
        </w:tc>
        <w:tc>
          <w:tcPr>
            <w:tcW w:w="569" w:type="dxa"/>
            <w:tcBorders/>
            <w:shd w:fill="CCEEFF" w:val="clear"/>
            <w:vAlign w:val="bottom"/>
          </w:tcPr>
          <w:p>
            <w:pPr>
              <w:pStyle w:val="TableContents"/>
              <w:spacing w:before="0" w:after="283"/>
              <w:jc w:val="left"/>
              <w:rPr/>
            </w:pPr>
            <w:r>
              <w:rPr/>
              <w:t xml:space="preserve">  </w:t>
            </w:r>
          </w:p>
        </w:tc>
      </w:tr>
      <w:tr>
        <w:trPr/>
        <w:tc>
          <w:tcPr>
            <w:tcW w:w="5528" w:type="dxa"/>
            <w:tcBorders/>
            <w:shd w:fill="auto" w:val="clear"/>
            <w:vAlign w:val="bottom"/>
          </w:tcPr>
          <w:p>
            <w:pPr>
              <w:pStyle w:val="TableContents"/>
              <w:spacing w:before="0" w:after="0"/>
              <w:ind w:left="400" w:right="0" w:hanging="200"/>
              <w:jc w:val="left"/>
              <w:rPr/>
            </w:pPr>
            <w:r>
              <w:rPr/>
              <w:t xml:space="preserve">First Quarter </w:t>
            </w:r>
          </w:p>
        </w:tc>
        <w:tc>
          <w:tcPr>
            <w:tcW w:w="167"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40.98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34.00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416" w:type="dxa"/>
            <w:tcBorders/>
            <w:shd w:fill="auto" w:val="clear"/>
            <w:vAlign w:val="bottom"/>
          </w:tcPr>
          <w:p>
            <w:pPr>
              <w:pStyle w:val="TableContents"/>
              <w:spacing w:before="0" w:after="283"/>
              <w:jc w:val="right"/>
              <w:rPr/>
            </w:pPr>
            <w:r>
              <w:rPr/>
              <w:t xml:space="preserve">$ </w:t>
            </w:r>
          </w:p>
        </w:tc>
        <w:tc>
          <w:tcPr>
            <w:tcW w:w="771" w:type="dxa"/>
            <w:tcBorders/>
            <w:shd w:fill="auto" w:val="clear"/>
            <w:vAlign w:val="bottom"/>
          </w:tcPr>
          <w:p>
            <w:pPr>
              <w:pStyle w:val="TableContents"/>
              <w:spacing w:before="0" w:after="283"/>
              <w:jc w:val="right"/>
              <w:rPr/>
            </w:pPr>
            <w:r>
              <w:rPr/>
              <w:t xml:space="preserve">0.9050 </w:t>
            </w:r>
          </w:p>
        </w:tc>
        <w:tc>
          <w:tcPr>
            <w:tcW w:w="569" w:type="dxa"/>
            <w:tcBorders/>
            <w:shd w:fill="auto"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400" w:right="0" w:hanging="200"/>
              <w:jc w:val="left"/>
              <w:rPr/>
            </w:pPr>
            <w:r>
              <w:rPr/>
              <w:t xml:space="preserve">Second Quarter </w:t>
            </w:r>
          </w:p>
        </w:tc>
        <w:tc>
          <w:tcPr>
            <w:tcW w:w="167"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45.52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36.25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416" w:type="dxa"/>
            <w:tcBorders/>
            <w:shd w:fill="CCEEFF" w:val="clear"/>
            <w:vAlign w:val="bottom"/>
          </w:tcPr>
          <w:p>
            <w:pPr>
              <w:pStyle w:val="TableContents"/>
              <w:spacing w:before="0" w:after="283"/>
              <w:jc w:val="right"/>
              <w:rPr/>
            </w:pPr>
            <w:r>
              <w:rPr/>
              <w:t xml:space="preserve">  </w:t>
            </w:r>
          </w:p>
        </w:tc>
        <w:tc>
          <w:tcPr>
            <w:tcW w:w="771" w:type="dxa"/>
            <w:tcBorders/>
            <w:shd w:fill="CCEEFF" w:val="clear"/>
            <w:vAlign w:val="bottom"/>
          </w:tcPr>
          <w:p>
            <w:pPr>
              <w:pStyle w:val="TableContents"/>
              <w:spacing w:before="0" w:after="283"/>
              <w:jc w:val="right"/>
              <w:rPr/>
            </w:pPr>
            <w:r>
              <w:rPr/>
              <w:t xml:space="preserve">0.9050 </w:t>
            </w:r>
          </w:p>
        </w:tc>
        <w:tc>
          <w:tcPr>
            <w:tcW w:w="569" w:type="dxa"/>
            <w:tcBorders/>
            <w:shd w:fill="CCEEFF" w:val="clear"/>
            <w:vAlign w:val="bottom"/>
          </w:tcPr>
          <w:p>
            <w:pPr>
              <w:pStyle w:val="TableContents"/>
              <w:spacing w:before="0" w:after="283"/>
              <w:jc w:val="left"/>
              <w:rPr/>
            </w:pPr>
            <w:r>
              <w:rPr/>
              <w:t xml:space="preserve">  </w:t>
            </w:r>
          </w:p>
        </w:tc>
      </w:tr>
      <w:tr>
        <w:trPr/>
        <w:tc>
          <w:tcPr>
            <w:tcW w:w="5528" w:type="dxa"/>
            <w:tcBorders/>
            <w:shd w:fill="auto" w:val="clear"/>
            <w:vAlign w:val="bottom"/>
          </w:tcPr>
          <w:p>
            <w:pPr>
              <w:pStyle w:val="TableContents"/>
              <w:spacing w:before="0" w:after="0"/>
              <w:ind w:left="400" w:right="0" w:hanging="200"/>
              <w:jc w:val="left"/>
              <w:rPr/>
            </w:pPr>
            <w:r>
              <w:rPr/>
              <w:t xml:space="preserve">Third Quarter </w:t>
            </w:r>
          </w:p>
        </w:tc>
        <w:tc>
          <w:tcPr>
            <w:tcW w:w="167"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50.33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42.50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416" w:type="dxa"/>
            <w:tcBorders/>
            <w:shd w:fill="auto" w:val="clear"/>
            <w:vAlign w:val="bottom"/>
          </w:tcPr>
          <w:p>
            <w:pPr>
              <w:pStyle w:val="TableContents"/>
              <w:spacing w:before="0" w:after="283"/>
              <w:jc w:val="right"/>
              <w:rPr/>
            </w:pPr>
            <w:r>
              <w:rPr/>
              <w:t xml:space="preserve">  </w:t>
            </w:r>
          </w:p>
        </w:tc>
        <w:tc>
          <w:tcPr>
            <w:tcW w:w="771" w:type="dxa"/>
            <w:tcBorders/>
            <w:shd w:fill="auto" w:val="clear"/>
            <w:vAlign w:val="bottom"/>
          </w:tcPr>
          <w:p>
            <w:pPr>
              <w:pStyle w:val="TableContents"/>
              <w:spacing w:before="0" w:after="283"/>
              <w:jc w:val="right"/>
              <w:rPr/>
            </w:pPr>
            <w:r>
              <w:rPr/>
              <w:t xml:space="preserve">0.9200 </w:t>
            </w:r>
          </w:p>
        </w:tc>
        <w:tc>
          <w:tcPr>
            <w:tcW w:w="569" w:type="dxa"/>
            <w:tcBorders/>
            <w:shd w:fill="auto"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400" w:right="0" w:hanging="200"/>
              <w:jc w:val="left"/>
              <w:rPr/>
            </w:pPr>
            <w:r>
              <w:rPr/>
              <w:t xml:space="preserve">Fourth Quarter </w:t>
            </w:r>
          </w:p>
        </w:tc>
        <w:tc>
          <w:tcPr>
            <w:tcW w:w="167"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53.37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45.45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416" w:type="dxa"/>
            <w:tcBorders/>
            <w:shd w:fill="CCEEFF" w:val="clear"/>
            <w:vAlign w:val="bottom"/>
          </w:tcPr>
          <w:p>
            <w:pPr>
              <w:pStyle w:val="TableContents"/>
              <w:spacing w:before="0" w:after="283"/>
              <w:jc w:val="right"/>
              <w:rPr/>
            </w:pPr>
            <w:r>
              <w:rPr/>
              <w:t xml:space="preserve">  </w:t>
            </w:r>
          </w:p>
        </w:tc>
        <w:tc>
          <w:tcPr>
            <w:tcW w:w="771" w:type="dxa"/>
            <w:tcBorders/>
            <w:shd w:fill="CCEEFF" w:val="clear"/>
            <w:vAlign w:val="bottom"/>
          </w:tcPr>
          <w:p>
            <w:pPr>
              <w:pStyle w:val="TableContents"/>
              <w:spacing w:before="0" w:after="283"/>
              <w:jc w:val="right"/>
              <w:rPr/>
            </w:pPr>
            <w:r>
              <w:rPr/>
              <w:t xml:space="preserve">0.9275 </w:t>
            </w:r>
          </w:p>
        </w:tc>
        <w:tc>
          <w:tcPr>
            <w:tcW w:w="569" w:type="dxa"/>
            <w:tcBorders/>
            <w:shd w:fill="CCEEFF" w:val="clear"/>
            <w:vAlign w:val="bottom"/>
          </w:tcPr>
          <w:p>
            <w:pPr>
              <w:pStyle w:val="TableContents"/>
              <w:spacing w:before="0" w:after="283"/>
              <w:jc w:val="left"/>
              <w:rPr/>
            </w:pPr>
            <w:r>
              <w:rPr/>
              <w:t xml:space="preserve">  </w:t>
            </w:r>
          </w:p>
        </w:tc>
      </w:tr>
      <w:tr>
        <w:trPr/>
        <w:tc>
          <w:tcPr>
            <w:tcW w:w="5528" w:type="dxa"/>
            <w:tcBorders/>
            <w:shd w:fill="auto" w:val="clear"/>
            <w:vAlign w:val="bottom"/>
          </w:tcPr>
          <w:p>
            <w:pPr>
              <w:pStyle w:val="TableContents"/>
              <w:spacing w:before="0" w:after="0"/>
              <w:ind w:left="200" w:right="0" w:hanging="200"/>
              <w:jc w:val="left"/>
              <w:rPr/>
            </w:pPr>
            <w:r>
              <w:rPr>
                <w:b/>
              </w:rPr>
              <w:t>2010</w:t>
            </w:r>
            <w:r>
              <w:rPr/>
              <w:t xml:space="preserve"> </w:t>
            </w:r>
          </w:p>
        </w:tc>
        <w:tc>
          <w:tcPr>
            <w:tcW w:w="167"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416" w:type="dxa"/>
            <w:tcBorders/>
            <w:shd w:fill="auto" w:val="clear"/>
            <w:vAlign w:val="bottom"/>
          </w:tcPr>
          <w:p>
            <w:pPr>
              <w:pStyle w:val="TableContents"/>
              <w:spacing w:before="0" w:after="283"/>
              <w:jc w:val="right"/>
              <w:rPr/>
            </w:pPr>
            <w:r>
              <w:rPr/>
              <w:t xml:space="preserve">  </w:t>
            </w:r>
          </w:p>
        </w:tc>
        <w:tc>
          <w:tcPr>
            <w:tcW w:w="771" w:type="dxa"/>
            <w:tcBorders/>
            <w:shd w:fill="auto" w:val="clear"/>
            <w:vAlign w:val="bottom"/>
          </w:tcPr>
          <w:p>
            <w:pPr>
              <w:pStyle w:val="TableContents"/>
              <w:spacing w:before="0" w:after="283"/>
              <w:jc w:val="right"/>
              <w:rPr/>
            </w:pPr>
            <w:r>
              <w:rPr/>
              <w:t xml:space="preserve">  </w:t>
            </w:r>
          </w:p>
        </w:tc>
        <w:tc>
          <w:tcPr>
            <w:tcW w:w="569" w:type="dxa"/>
            <w:tcBorders/>
            <w:shd w:fill="auto"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400" w:right="0" w:hanging="200"/>
              <w:jc w:val="left"/>
              <w:rPr/>
            </w:pPr>
            <w:r>
              <w:rPr/>
              <w:t xml:space="preserve">First Quarter </w:t>
            </w:r>
          </w:p>
        </w:tc>
        <w:tc>
          <w:tcPr>
            <w:tcW w:w="167"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57.11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49.82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416" w:type="dxa"/>
            <w:tcBorders/>
            <w:shd w:fill="CCEEFF" w:val="clear"/>
            <w:vAlign w:val="bottom"/>
          </w:tcPr>
          <w:p>
            <w:pPr>
              <w:pStyle w:val="TableContents"/>
              <w:spacing w:before="0" w:after="283"/>
              <w:jc w:val="right"/>
              <w:rPr/>
            </w:pPr>
            <w:r>
              <w:rPr/>
              <w:t xml:space="preserve">$ </w:t>
            </w:r>
          </w:p>
        </w:tc>
        <w:tc>
          <w:tcPr>
            <w:tcW w:w="771" w:type="dxa"/>
            <w:tcBorders/>
            <w:shd w:fill="CCEEFF" w:val="clear"/>
            <w:vAlign w:val="bottom"/>
          </w:tcPr>
          <w:p>
            <w:pPr>
              <w:pStyle w:val="TableContents"/>
              <w:spacing w:before="0" w:after="283"/>
              <w:jc w:val="right"/>
              <w:rPr/>
            </w:pPr>
            <w:r>
              <w:rPr/>
              <w:t xml:space="preserve">0.9350 </w:t>
            </w:r>
          </w:p>
        </w:tc>
        <w:tc>
          <w:tcPr>
            <w:tcW w:w="569" w:type="dxa"/>
            <w:tcBorders/>
            <w:shd w:fill="CCEEFF" w:val="clear"/>
            <w:vAlign w:val="bottom"/>
          </w:tcPr>
          <w:p>
            <w:pPr>
              <w:pStyle w:val="TableContents"/>
              <w:spacing w:before="0" w:after="283"/>
              <w:jc w:val="left"/>
              <w:rPr/>
            </w:pPr>
            <w:r>
              <w:rPr/>
              <w:t xml:space="preserve">  </w:t>
            </w:r>
          </w:p>
        </w:tc>
      </w:tr>
      <w:tr>
        <w:trPr/>
        <w:tc>
          <w:tcPr>
            <w:tcW w:w="5528" w:type="dxa"/>
            <w:tcBorders/>
            <w:shd w:fill="auto" w:val="clear"/>
            <w:vAlign w:val="bottom"/>
          </w:tcPr>
          <w:p>
            <w:pPr>
              <w:pStyle w:val="TableContents"/>
              <w:spacing w:before="0" w:after="0"/>
              <w:ind w:left="400" w:right="0" w:hanging="200"/>
              <w:jc w:val="left"/>
              <w:rPr/>
            </w:pPr>
            <w:r>
              <w:rPr/>
              <w:t xml:space="preserve">Second Quarter </w:t>
            </w:r>
          </w:p>
        </w:tc>
        <w:tc>
          <w:tcPr>
            <w:tcW w:w="167"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60.06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44.12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416" w:type="dxa"/>
            <w:tcBorders/>
            <w:shd w:fill="auto" w:val="clear"/>
            <w:vAlign w:val="bottom"/>
          </w:tcPr>
          <w:p>
            <w:pPr>
              <w:pStyle w:val="TableContents"/>
              <w:spacing w:before="0" w:after="283"/>
              <w:jc w:val="right"/>
              <w:rPr/>
            </w:pPr>
            <w:r>
              <w:rPr/>
              <w:t xml:space="preserve">  </w:t>
            </w:r>
          </w:p>
        </w:tc>
        <w:tc>
          <w:tcPr>
            <w:tcW w:w="771" w:type="dxa"/>
            <w:tcBorders/>
            <w:shd w:fill="auto" w:val="clear"/>
            <w:vAlign w:val="bottom"/>
          </w:tcPr>
          <w:p>
            <w:pPr>
              <w:pStyle w:val="TableContents"/>
              <w:spacing w:before="0" w:after="283"/>
              <w:jc w:val="right"/>
              <w:rPr/>
            </w:pPr>
            <w:r>
              <w:rPr/>
              <w:t xml:space="preserve">0.9425 </w:t>
            </w:r>
          </w:p>
        </w:tc>
        <w:tc>
          <w:tcPr>
            <w:tcW w:w="569" w:type="dxa"/>
            <w:tcBorders/>
            <w:shd w:fill="auto"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400" w:right="0" w:hanging="200"/>
              <w:jc w:val="left"/>
              <w:rPr/>
            </w:pPr>
            <w:r>
              <w:rPr/>
              <w:t xml:space="preserve">Third Quarter </w:t>
            </w:r>
          </w:p>
        </w:tc>
        <w:tc>
          <w:tcPr>
            <w:tcW w:w="167"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64.21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57.33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416" w:type="dxa"/>
            <w:tcBorders/>
            <w:shd w:fill="CCEEFF" w:val="clear"/>
            <w:vAlign w:val="bottom"/>
          </w:tcPr>
          <w:p>
            <w:pPr>
              <w:pStyle w:val="TableContents"/>
              <w:spacing w:before="0" w:after="283"/>
              <w:jc w:val="right"/>
              <w:rPr/>
            </w:pPr>
            <w:r>
              <w:rPr/>
              <w:t xml:space="preserve">  </w:t>
            </w:r>
          </w:p>
        </w:tc>
        <w:tc>
          <w:tcPr>
            <w:tcW w:w="771" w:type="dxa"/>
            <w:tcBorders/>
            <w:shd w:fill="CCEEFF" w:val="clear"/>
            <w:vAlign w:val="bottom"/>
          </w:tcPr>
          <w:p>
            <w:pPr>
              <w:pStyle w:val="TableContents"/>
              <w:spacing w:before="0" w:after="283"/>
              <w:jc w:val="right"/>
              <w:rPr/>
            </w:pPr>
            <w:r>
              <w:rPr/>
              <w:t xml:space="preserve">0.9500 </w:t>
            </w:r>
          </w:p>
        </w:tc>
        <w:tc>
          <w:tcPr>
            <w:tcW w:w="569" w:type="dxa"/>
            <w:tcBorders/>
            <w:shd w:fill="CCEEFF" w:val="clear"/>
            <w:vAlign w:val="bottom"/>
          </w:tcPr>
          <w:p>
            <w:pPr>
              <w:pStyle w:val="TableContents"/>
              <w:spacing w:before="0" w:after="283"/>
              <w:jc w:val="left"/>
              <w:rPr/>
            </w:pPr>
            <w:r>
              <w:rPr/>
              <w:t xml:space="preserve">  </w:t>
            </w:r>
          </w:p>
        </w:tc>
      </w:tr>
      <w:tr>
        <w:trPr/>
        <w:tc>
          <w:tcPr>
            <w:tcW w:w="5528" w:type="dxa"/>
            <w:tcBorders/>
            <w:shd w:fill="auto" w:val="clear"/>
            <w:vAlign w:val="bottom"/>
          </w:tcPr>
          <w:p>
            <w:pPr>
              <w:pStyle w:val="TableContents"/>
              <w:spacing w:before="0" w:after="0"/>
              <w:ind w:left="400" w:right="0" w:hanging="200"/>
              <w:jc w:val="left"/>
              <w:rPr/>
            </w:pPr>
            <w:r>
              <w:rPr/>
              <w:t xml:space="preserve">Fourth Quarter </w:t>
            </w:r>
          </w:p>
        </w:tc>
        <w:tc>
          <w:tcPr>
            <w:tcW w:w="167"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65.20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60.91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416" w:type="dxa"/>
            <w:tcBorders/>
            <w:shd w:fill="auto" w:val="clear"/>
            <w:vAlign w:val="bottom"/>
          </w:tcPr>
          <w:p>
            <w:pPr>
              <w:pStyle w:val="TableContents"/>
              <w:spacing w:before="0" w:after="283"/>
              <w:jc w:val="right"/>
              <w:rPr/>
            </w:pPr>
            <w:r>
              <w:rPr/>
              <w:t xml:space="preserve">  </w:t>
            </w:r>
          </w:p>
        </w:tc>
        <w:tc>
          <w:tcPr>
            <w:tcW w:w="771" w:type="dxa"/>
            <w:tcBorders/>
            <w:shd w:fill="auto" w:val="clear"/>
            <w:vAlign w:val="bottom"/>
          </w:tcPr>
          <w:p>
            <w:pPr>
              <w:pStyle w:val="TableContents"/>
              <w:spacing w:before="0" w:after="283"/>
              <w:jc w:val="right"/>
              <w:rPr/>
            </w:pPr>
            <w:r>
              <w:rPr/>
              <w:t xml:space="preserve">0.9575 </w:t>
            </w:r>
          </w:p>
        </w:tc>
        <w:tc>
          <w:tcPr>
            <w:tcW w:w="569" w:type="dxa"/>
            <w:tcBorders/>
            <w:shd w:fill="auto"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200" w:right="0" w:hanging="200"/>
              <w:jc w:val="left"/>
              <w:rPr/>
            </w:pPr>
            <w:r>
              <w:rPr>
                <w:b/>
              </w:rPr>
              <w:t>2011</w:t>
            </w:r>
            <w:r>
              <w:rPr/>
              <w:t xml:space="preserve"> </w:t>
            </w:r>
          </w:p>
        </w:tc>
        <w:tc>
          <w:tcPr>
            <w:tcW w:w="167"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416" w:type="dxa"/>
            <w:tcBorders/>
            <w:shd w:fill="CCEEFF" w:val="clear"/>
            <w:vAlign w:val="bottom"/>
          </w:tcPr>
          <w:p>
            <w:pPr>
              <w:pStyle w:val="TableContents"/>
              <w:spacing w:before="0" w:after="283"/>
              <w:jc w:val="right"/>
              <w:rPr/>
            </w:pPr>
            <w:r>
              <w:rPr/>
              <w:t xml:space="preserve">  </w:t>
            </w:r>
          </w:p>
        </w:tc>
        <w:tc>
          <w:tcPr>
            <w:tcW w:w="771" w:type="dxa"/>
            <w:tcBorders/>
            <w:shd w:fill="CCEEFF" w:val="clear"/>
            <w:vAlign w:val="bottom"/>
          </w:tcPr>
          <w:p>
            <w:pPr>
              <w:pStyle w:val="TableContents"/>
              <w:spacing w:before="0" w:after="283"/>
              <w:jc w:val="right"/>
              <w:rPr/>
            </w:pPr>
            <w:r>
              <w:rPr/>
              <w:t xml:space="preserve">  </w:t>
            </w:r>
          </w:p>
        </w:tc>
        <w:tc>
          <w:tcPr>
            <w:tcW w:w="569" w:type="dxa"/>
            <w:tcBorders/>
            <w:shd w:fill="CCEEFF" w:val="clear"/>
            <w:vAlign w:val="bottom"/>
          </w:tcPr>
          <w:p>
            <w:pPr>
              <w:pStyle w:val="TableContents"/>
              <w:spacing w:before="0" w:after="283"/>
              <w:jc w:val="left"/>
              <w:rPr/>
            </w:pPr>
            <w:r>
              <w:rPr/>
              <w:t xml:space="preserve">  </w:t>
            </w:r>
          </w:p>
        </w:tc>
      </w:tr>
      <w:tr>
        <w:trPr/>
        <w:tc>
          <w:tcPr>
            <w:tcW w:w="5528" w:type="dxa"/>
            <w:tcBorders/>
            <w:shd w:fill="auto" w:val="clear"/>
            <w:vAlign w:val="bottom"/>
          </w:tcPr>
          <w:p>
            <w:pPr>
              <w:pStyle w:val="TableContents"/>
              <w:spacing w:before="0" w:after="0"/>
              <w:ind w:left="400" w:right="0" w:hanging="200"/>
              <w:jc w:val="left"/>
              <w:rPr/>
            </w:pPr>
            <w:r>
              <w:rPr/>
              <w:t xml:space="preserve">First Quarter </w:t>
            </w:r>
          </w:p>
        </w:tc>
        <w:tc>
          <w:tcPr>
            <w:tcW w:w="167"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65.96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60.21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416" w:type="dxa"/>
            <w:tcBorders/>
            <w:shd w:fill="auto" w:val="clear"/>
            <w:vAlign w:val="bottom"/>
          </w:tcPr>
          <w:p>
            <w:pPr>
              <w:pStyle w:val="TableContents"/>
              <w:spacing w:before="0" w:after="283"/>
              <w:jc w:val="right"/>
              <w:rPr/>
            </w:pPr>
            <w:r>
              <w:rPr/>
              <w:t xml:space="preserve">$ </w:t>
            </w:r>
          </w:p>
        </w:tc>
        <w:tc>
          <w:tcPr>
            <w:tcW w:w="771" w:type="dxa"/>
            <w:tcBorders/>
            <w:shd w:fill="auto" w:val="clear"/>
            <w:vAlign w:val="bottom"/>
          </w:tcPr>
          <w:p>
            <w:pPr>
              <w:pStyle w:val="TableContents"/>
              <w:spacing w:before="0" w:after="283"/>
              <w:jc w:val="right"/>
              <w:rPr/>
            </w:pPr>
            <w:r>
              <w:rPr/>
              <w:t xml:space="preserve">0.9700 </w:t>
            </w:r>
          </w:p>
        </w:tc>
        <w:tc>
          <w:tcPr>
            <w:tcW w:w="569" w:type="dxa"/>
            <w:tcBorders/>
            <w:shd w:fill="auto"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400" w:right="0" w:hanging="200"/>
              <w:jc w:val="left"/>
              <w:rPr/>
            </w:pPr>
            <w:r>
              <w:rPr/>
              <w:t xml:space="preserve">Second Quarter </w:t>
            </w:r>
          </w:p>
        </w:tc>
        <w:tc>
          <w:tcPr>
            <w:tcW w:w="167"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65.69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298"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57.80 </w:t>
            </w:r>
          </w:p>
        </w:tc>
        <w:tc>
          <w:tcPr>
            <w:tcW w:w="223" w:type="dxa"/>
            <w:tcBorders/>
            <w:shd w:fill="CCEEFF" w:val="clear"/>
            <w:vAlign w:val="bottom"/>
          </w:tcPr>
          <w:p>
            <w:pPr>
              <w:pStyle w:val="TableContents"/>
              <w:spacing w:before="0" w:after="283"/>
              <w:jc w:val="left"/>
              <w:rPr/>
            </w:pPr>
            <w:r>
              <w:rPr/>
              <w:t xml:space="preserve">  </w:t>
            </w:r>
          </w:p>
        </w:tc>
        <w:tc>
          <w:tcPr>
            <w:tcW w:w="223" w:type="dxa"/>
            <w:tcBorders/>
            <w:shd w:fill="CCEEFF" w:val="clear"/>
            <w:vAlign w:val="bottom"/>
          </w:tcPr>
          <w:p>
            <w:pPr>
              <w:pStyle w:val="TableContents"/>
              <w:spacing w:before="0" w:after="283"/>
              <w:rPr/>
            </w:pPr>
            <w:r>
              <w:rPr/>
              <w:t xml:space="preserve">  </w:t>
            </w:r>
          </w:p>
        </w:tc>
        <w:tc>
          <w:tcPr>
            <w:tcW w:w="416" w:type="dxa"/>
            <w:tcBorders/>
            <w:shd w:fill="CCEEFF" w:val="clear"/>
            <w:vAlign w:val="bottom"/>
          </w:tcPr>
          <w:p>
            <w:pPr>
              <w:pStyle w:val="TableContents"/>
              <w:spacing w:before="0" w:after="283"/>
              <w:jc w:val="right"/>
              <w:rPr/>
            </w:pPr>
            <w:r>
              <w:rPr/>
              <w:t xml:space="preserve">$ </w:t>
            </w:r>
          </w:p>
        </w:tc>
        <w:tc>
          <w:tcPr>
            <w:tcW w:w="771" w:type="dxa"/>
            <w:tcBorders/>
            <w:shd w:fill="CCEEFF" w:val="clear"/>
            <w:vAlign w:val="bottom"/>
          </w:tcPr>
          <w:p>
            <w:pPr>
              <w:pStyle w:val="TableContents"/>
              <w:spacing w:before="0" w:after="283"/>
              <w:jc w:val="right"/>
              <w:rPr/>
            </w:pPr>
            <w:r>
              <w:rPr/>
              <w:t xml:space="preserve">0.9825 </w:t>
            </w:r>
          </w:p>
        </w:tc>
        <w:tc>
          <w:tcPr>
            <w:tcW w:w="569" w:type="dxa"/>
            <w:tcBorders/>
            <w:shd w:fill="CCEEFF" w:val="clear"/>
            <w:vAlign w:val="bottom"/>
          </w:tcPr>
          <w:p>
            <w:pPr>
              <w:pStyle w:val="TableContents"/>
              <w:spacing w:before="0" w:after="283"/>
              <w:jc w:val="left"/>
              <w:rPr/>
            </w:pPr>
            <w:r>
              <w:rPr/>
              <w:t xml:space="preserve">(2) </w:t>
            </w:r>
          </w:p>
        </w:tc>
      </w:tr>
      <w:tr>
        <w:trPr/>
        <w:tc>
          <w:tcPr>
            <w:tcW w:w="5528" w:type="dxa"/>
            <w:tcBorders/>
            <w:shd w:fill="auto" w:val="clear"/>
            <w:vAlign w:val="bottom"/>
          </w:tcPr>
          <w:p>
            <w:pPr>
              <w:pStyle w:val="TableContents"/>
              <w:spacing w:before="0" w:after="0"/>
              <w:ind w:left="400" w:right="0" w:hanging="200"/>
              <w:jc w:val="left"/>
              <w:rPr/>
            </w:pPr>
            <w:r>
              <w:rPr/>
              <w:t xml:space="preserve">Third Quarter (through August 10, 2011) </w:t>
            </w:r>
          </w:p>
        </w:tc>
        <w:tc>
          <w:tcPr>
            <w:tcW w:w="167"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64.98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298" w:type="dxa"/>
            <w:tcBorders/>
            <w:shd w:fill="auto" w:val="clear"/>
            <w:vAlign w:val="bottom"/>
          </w:tcPr>
          <w:p>
            <w:pPr>
              <w:pStyle w:val="TableContents"/>
              <w:spacing w:before="0" w:after="283"/>
              <w:jc w:val="right"/>
              <w:rPr/>
            </w:pPr>
            <w:r>
              <w:rPr/>
              <w:t xml:space="preserve">$ </w:t>
            </w:r>
          </w:p>
        </w:tc>
        <w:tc>
          <w:tcPr>
            <w:tcW w:w="633" w:type="dxa"/>
            <w:tcBorders/>
            <w:shd w:fill="auto" w:val="clear"/>
            <w:vAlign w:val="bottom"/>
          </w:tcPr>
          <w:p>
            <w:pPr>
              <w:pStyle w:val="TableContents"/>
              <w:spacing w:before="0" w:after="283"/>
              <w:jc w:val="right"/>
              <w:rPr/>
            </w:pPr>
            <w:r>
              <w:rPr/>
              <w:t xml:space="preserve">56.41 </w:t>
            </w:r>
          </w:p>
        </w:tc>
        <w:tc>
          <w:tcPr>
            <w:tcW w:w="223" w:type="dxa"/>
            <w:tcBorders/>
            <w:shd w:fill="auto" w:val="clear"/>
            <w:vAlign w:val="bottom"/>
          </w:tcPr>
          <w:p>
            <w:pPr>
              <w:pStyle w:val="TableContents"/>
              <w:spacing w:before="0" w:after="283"/>
              <w:jc w:val="left"/>
              <w:rPr/>
            </w:pPr>
            <w:r>
              <w:rPr/>
              <w:t xml:space="preserve">  </w:t>
            </w:r>
          </w:p>
        </w:tc>
        <w:tc>
          <w:tcPr>
            <w:tcW w:w="223" w:type="dxa"/>
            <w:tcBorders/>
            <w:shd w:fill="auto" w:val="clear"/>
            <w:vAlign w:val="bottom"/>
          </w:tcPr>
          <w:p>
            <w:pPr>
              <w:pStyle w:val="TableContents"/>
              <w:spacing w:before="0" w:after="283"/>
              <w:rPr/>
            </w:pPr>
            <w:r>
              <w:rPr/>
              <w:t xml:space="preserve">  </w:t>
            </w:r>
          </w:p>
        </w:tc>
        <w:tc>
          <w:tcPr>
            <w:tcW w:w="416" w:type="dxa"/>
            <w:tcBorders/>
            <w:shd w:fill="auto" w:val="clear"/>
            <w:vAlign w:val="bottom"/>
          </w:tcPr>
          <w:p>
            <w:pPr>
              <w:pStyle w:val="TableContents"/>
              <w:spacing w:before="0" w:after="283"/>
              <w:jc w:val="right"/>
              <w:rPr/>
            </w:pPr>
            <w:r>
              <w:rPr/>
              <w:t xml:space="preserve">  </w:t>
            </w:r>
          </w:p>
        </w:tc>
        <w:tc>
          <w:tcPr>
            <w:tcW w:w="771" w:type="dxa"/>
            <w:tcBorders/>
            <w:shd w:fill="auto" w:val="clear"/>
            <w:vAlign w:val="bottom"/>
          </w:tcPr>
          <w:p>
            <w:pPr>
              <w:pStyle w:val="TableContents"/>
              <w:spacing w:before="0" w:after="283"/>
              <w:rPr>
                <w:sz w:val="4"/>
                <w:szCs w:val="4"/>
              </w:rPr>
            </w:pPr>
            <w:r>
              <w:rPr>
                <w:sz w:val="4"/>
                <w:szCs w:val="4"/>
              </w:rPr>
            </w:r>
          </w:p>
        </w:tc>
        <w:tc>
          <w:tcPr>
            <w:tcW w:w="569" w:type="dxa"/>
            <w:tcBorders/>
            <w:shd w:fill="auto" w:val="clear"/>
            <w:vAlign w:val="bottom"/>
          </w:tcPr>
          <w:p>
            <w:pPr>
              <w:pStyle w:val="TableContents"/>
              <w:spacing w:before="0" w:after="283"/>
              <w:jc w:val="left"/>
              <w:rPr/>
            </w:pPr>
            <w:r>
              <w:rPr/>
              <w:t xml:space="preserve">(3) </w:t>
            </w:r>
          </w:p>
        </w:tc>
      </w:tr>
    </w:tbl>
    <w:p>
      <w:pPr>
        <w:pStyle w:val="TextBody"/>
        <w:spacing w:before="120" w:after="283"/>
        <w:rPr/>
      </w:pPr>
      <w:r>
        <w:rPr/>
        <w:t> </w:t>
      </w:r>
    </w:p>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215"/>
        <w:gridCol w:w="102"/>
        <w:gridCol w:w="9888"/>
      </w:tblGrid>
      <w:tr>
        <w:trPr/>
        <w:tc>
          <w:tcPr>
            <w:tcW w:w="21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888"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tcPr>
          <w:p>
            <w:pPr>
              <w:pStyle w:val="TableContents"/>
              <w:spacing w:before="0" w:after="283"/>
              <w:jc w:val="right"/>
              <w:rPr/>
            </w:pPr>
            <w:r>
              <w:rPr/>
              <w:t xml:space="preserve">(1) </w:t>
            </w:r>
          </w:p>
        </w:tc>
        <w:tc>
          <w:tcPr>
            <w:tcW w:w="102" w:type="dxa"/>
            <w:tcBorders/>
            <w:shd w:fill="auto" w:val="clear"/>
            <w:vAlign w:val="center"/>
          </w:tcPr>
          <w:p>
            <w:pPr>
              <w:pStyle w:val="TableContents"/>
              <w:spacing w:before="0" w:after="283"/>
              <w:rPr>
                <w:sz w:val="4"/>
                <w:szCs w:val="4"/>
              </w:rPr>
            </w:pPr>
            <w:r>
              <w:rPr>
                <w:sz w:val="4"/>
                <w:szCs w:val="4"/>
              </w:rPr>
            </w:r>
          </w:p>
        </w:tc>
        <w:tc>
          <w:tcPr>
            <w:tcW w:w="9888" w:type="dxa"/>
            <w:tcBorders/>
            <w:shd w:fill="auto" w:val="clear"/>
            <w:vAlign w:val="bottom"/>
          </w:tcPr>
          <w:p>
            <w:pPr>
              <w:pStyle w:val="TableContents"/>
              <w:spacing w:before="0" w:after="283"/>
              <w:rPr/>
            </w:pPr>
            <w:r>
              <w:rPr/>
              <w:t>Represents cash distributions attributable to the quarter and paid within 45 days after the quarter end.</w:t>
            </w:r>
          </w:p>
        </w:tc>
      </w:tr>
      <w:tr>
        <w:trPr/>
        <w:tc>
          <w:tcPr>
            <w:tcW w:w="215" w:type="dxa"/>
            <w:tcBorders/>
            <w:shd w:fill="auto" w:val="clear"/>
            <w:vAlign w:val="center"/>
          </w:tcPr>
          <w:p>
            <w:pPr>
              <w:pStyle w:val="TableContents"/>
              <w:spacing w:before="0" w:after="283"/>
              <w:rPr/>
            </w:pPr>
            <w:r>
              <w:rPr/>
              <w:t> </w:t>
            </w:r>
          </w:p>
        </w:tc>
        <w:tc>
          <w:tcPr>
            <w:tcW w:w="9990" w:type="dxa"/>
            <w:gridSpan w:val="2"/>
            <w:tcBorders/>
            <w:shd w:fill="auto" w:val="clear"/>
          </w:tcPr>
          <w:p>
            <w:pPr>
              <w:pStyle w:val="TableContents"/>
              <w:spacing w:before="0" w:after="283"/>
              <w:rPr>
                <w:sz w:val="4"/>
                <w:szCs w:val="4"/>
              </w:rPr>
            </w:pPr>
            <w:r>
              <w:rPr>
                <w:sz w:val="4"/>
                <w:szCs w:val="4"/>
              </w:rPr>
            </w:r>
          </w:p>
        </w:tc>
      </w:tr>
      <w:tr>
        <w:trPr/>
        <w:tc>
          <w:tcPr>
            <w:tcW w:w="215" w:type="dxa"/>
            <w:tcBorders/>
            <w:shd w:fill="auto" w:val="clear"/>
          </w:tcPr>
          <w:p>
            <w:pPr>
              <w:pStyle w:val="TableContents"/>
              <w:spacing w:before="0" w:after="283"/>
              <w:jc w:val="right"/>
              <w:rPr/>
            </w:pPr>
            <w:r>
              <w:rPr/>
              <w:t xml:space="preserve">(2) </w:t>
            </w:r>
          </w:p>
        </w:tc>
        <w:tc>
          <w:tcPr>
            <w:tcW w:w="102" w:type="dxa"/>
            <w:tcBorders/>
            <w:shd w:fill="auto" w:val="clear"/>
            <w:vAlign w:val="center"/>
          </w:tcPr>
          <w:p>
            <w:pPr>
              <w:pStyle w:val="TableContents"/>
              <w:spacing w:before="0" w:after="283"/>
              <w:rPr>
                <w:sz w:val="4"/>
                <w:szCs w:val="4"/>
              </w:rPr>
            </w:pPr>
            <w:r>
              <w:rPr>
                <w:sz w:val="4"/>
                <w:szCs w:val="4"/>
              </w:rPr>
            </w:r>
          </w:p>
        </w:tc>
        <w:tc>
          <w:tcPr>
            <w:tcW w:w="9888" w:type="dxa"/>
            <w:tcBorders/>
            <w:shd w:fill="auto" w:val="clear"/>
            <w:vAlign w:val="bottom"/>
          </w:tcPr>
          <w:p>
            <w:pPr>
              <w:pStyle w:val="TableContents"/>
              <w:spacing w:before="0" w:after="283"/>
              <w:rPr/>
            </w:pPr>
            <w:r>
              <w:rPr/>
              <w:t>Cash distributions in respect of the second quarter of 2011 will be paid on August 12, 2011. Purchasers in this offering will not be entitled to receive the distribution payable on August 12, 2011.</w:t>
            </w:r>
          </w:p>
        </w:tc>
      </w:tr>
      <w:tr>
        <w:trPr/>
        <w:tc>
          <w:tcPr>
            <w:tcW w:w="215" w:type="dxa"/>
            <w:tcBorders/>
            <w:shd w:fill="auto" w:val="clear"/>
            <w:vAlign w:val="center"/>
          </w:tcPr>
          <w:p>
            <w:pPr>
              <w:pStyle w:val="TableContents"/>
              <w:spacing w:before="0" w:after="283"/>
              <w:rPr/>
            </w:pPr>
            <w:r>
              <w:rPr/>
              <w:t> </w:t>
            </w:r>
          </w:p>
        </w:tc>
        <w:tc>
          <w:tcPr>
            <w:tcW w:w="9990" w:type="dxa"/>
            <w:gridSpan w:val="2"/>
            <w:tcBorders/>
            <w:shd w:fill="auto" w:val="clear"/>
          </w:tcPr>
          <w:p>
            <w:pPr>
              <w:pStyle w:val="TableContents"/>
              <w:spacing w:before="0" w:after="283"/>
              <w:rPr>
                <w:sz w:val="4"/>
                <w:szCs w:val="4"/>
              </w:rPr>
            </w:pPr>
            <w:r>
              <w:rPr>
                <w:sz w:val="4"/>
                <w:szCs w:val="4"/>
              </w:rPr>
            </w:r>
          </w:p>
        </w:tc>
      </w:tr>
      <w:tr>
        <w:trPr/>
        <w:tc>
          <w:tcPr>
            <w:tcW w:w="215" w:type="dxa"/>
            <w:tcBorders/>
            <w:shd w:fill="auto" w:val="clear"/>
          </w:tcPr>
          <w:p>
            <w:pPr>
              <w:pStyle w:val="TableContents"/>
              <w:spacing w:before="0" w:after="283"/>
              <w:jc w:val="right"/>
              <w:rPr/>
            </w:pPr>
            <w:r>
              <w:rPr/>
              <w:t xml:space="preserve">(3) </w:t>
            </w:r>
          </w:p>
        </w:tc>
        <w:tc>
          <w:tcPr>
            <w:tcW w:w="102" w:type="dxa"/>
            <w:tcBorders/>
            <w:shd w:fill="auto" w:val="clear"/>
            <w:vAlign w:val="center"/>
          </w:tcPr>
          <w:p>
            <w:pPr>
              <w:pStyle w:val="TableContents"/>
              <w:spacing w:before="0" w:after="283"/>
              <w:rPr>
                <w:sz w:val="4"/>
                <w:szCs w:val="4"/>
              </w:rPr>
            </w:pPr>
            <w:r>
              <w:rPr>
                <w:sz w:val="4"/>
                <w:szCs w:val="4"/>
              </w:rPr>
            </w:r>
          </w:p>
        </w:tc>
        <w:tc>
          <w:tcPr>
            <w:tcW w:w="9888" w:type="dxa"/>
            <w:tcBorders/>
            <w:shd w:fill="auto" w:val="clear"/>
            <w:vAlign w:val="bottom"/>
          </w:tcPr>
          <w:p>
            <w:pPr>
              <w:pStyle w:val="TableContents"/>
              <w:spacing w:before="0" w:after="283"/>
              <w:rPr/>
            </w:pPr>
            <w:r>
              <w:rPr/>
              <w:t>Cash distributions in respect of the third quarter of 2011 have not been declared or paid.</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S-4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360" w:after="283"/>
        <w:rPr/>
      </w:pPr>
      <w:bookmarkStart w:id="12" w:name="H84049126"/>
      <w:bookmarkEnd w:id="12"/>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SELLING UNITHOLDER</w:t>
      </w:r>
      <w:r>
        <w:rPr>
          <w:rFonts w:ascii="Arial;Helvetica" w:hAnsi="Arial;Helvetica"/>
          <w:color w:val="000000"/>
          <w:sz w:val="17"/>
        </w:rPr>
        <w:t xml:space="preserve">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Ownership</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following table sets forth information concerning the ownership of our common units by the selling unitholder as of August 10, 2011. As of August 10, 2011, we had 149,357,119 common units outstanding. The information set forth below is based on written representations provided to us by the selling unitholder.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2617"/>
        <w:gridCol w:w="92"/>
        <w:gridCol w:w="201"/>
        <w:gridCol w:w="1163"/>
        <w:gridCol w:w="429"/>
        <w:gridCol w:w="109"/>
        <w:gridCol w:w="255"/>
        <w:gridCol w:w="1368"/>
        <w:gridCol w:w="258"/>
        <w:gridCol w:w="108"/>
        <w:gridCol w:w="228"/>
        <w:gridCol w:w="1284"/>
        <w:gridCol w:w="231"/>
        <w:gridCol w:w="109"/>
        <w:gridCol w:w="291"/>
        <w:gridCol w:w="888"/>
        <w:gridCol w:w="574"/>
      </w:tblGrid>
      <w:tr>
        <w:trPr/>
        <w:tc>
          <w:tcPr>
            <w:tcW w:w="2617"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right"/>
              <w:rPr/>
            </w:pPr>
            <w:r>
              <w:rPr/>
              <w:t> </w:t>
            </w:r>
          </w:p>
        </w:tc>
        <w:tc>
          <w:tcPr>
            <w:tcW w:w="1163" w:type="dxa"/>
            <w:tcBorders/>
            <w:shd w:fill="auto" w:val="clear"/>
            <w:vAlign w:val="bottom"/>
          </w:tcPr>
          <w:p>
            <w:pPr>
              <w:pStyle w:val="TableContents"/>
              <w:spacing w:before="0" w:after="283"/>
              <w:jc w:val="right"/>
              <w:rPr/>
            </w:pPr>
            <w:r>
              <w:rPr/>
              <w:t> </w:t>
            </w:r>
          </w:p>
        </w:tc>
        <w:tc>
          <w:tcPr>
            <w:tcW w:w="42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right"/>
              <w:rPr/>
            </w:pPr>
            <w:r>
              <w:rPr/>
              <w:t> </w:t>
            </w:r>
          </w:p>
        </w:tc>
        <w:tc>
          <w:tcPr>
            <w:tcW w:w="1368" w:type="dxa"/>
            <w:tcBorders/>
            <w:shd w:fill="auto" w:val="clear"/>
            <w:vAlign w:val="bottom"/>
          </w:tcPr>
          <w:p>
            <w:pPr>
              <w:pStyle w:val="TableContents"/>
              <w:spacing w:before="0" w:after="283"/>
              <w:jc w:val="right"/>
              <w:rPr/>
            </w:pPr>
            <w:r>
              <w:rPr/>
              <w:t> </w:t>
            </w:r>
          </w:p>
        </w:tc>
        <w:tc>
          <w:tcPr>
            <w:tcW w:w="25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right"/>
              <w:rPr/>
            </w:pPr>
            <w:r>
              <w:rPr/>
              <w:t> </w:t>
            </w:r>
          </w:p>
        </w:tc>
        <w:tc>
          <w:tcPr>
            <w:tcW w:w="1284"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jc w:val="right"/>
              <w:rPr/>
            </w:pPr>
            <w:r>
              <w:rPr/>
              <w:t> </w:t>
            </w:r>
          </w:p>
        </w:tc>
        <w:tc>
          <w:tcPr>
            <w:tcW w:w="888" w:type="dxa"/>
            <w:tcBorders/>
            <w:shd w:fill="auto" w:val="clear"/>
            <w:vAlign w:val="bottom"/>
          </w:tcPr>
          <w:p>
            <w:pPr>
              <w:pStyle w:val="TableContents"/>
              <w:spacing w:before="0" w:after="283"/>
              <w:jc w:val="right"/>
              <w:rPr/>
            </w:pPr>
            <w:r>
              <w:rPr/>
              <w:t> </w:t>
            </w:r>
          </w:p>
        </w:tc>
        <w:tc>
          <w:tcPr>
            <w:tcW w:w="574" w:type="dxa"/>
            <w:tcBorders/>
            <w:shd w:fill="auto" w:val="clear"/>
            <w:vAlign w:val="bottom"/>
          </w:tcPr>
          <w:p>
            <w:pPr>
              <w:pStyle w:val="TableContents"/>
              <w:spacing w:before="0" w:after="283"/>
              <w:jc w:val="left"/>
              <w:rPr/>
            </w:pPr>
            <w:r>
              <w:rPr/>
              <w:t> </w:t>
            </w:r>
          </w:p>
        </w:tc>
      </w:tr>
      <w:tr>
        <w:trPr/>
        <w:tc>
          <w:tcPr>
            <w:tcW w:w="2617"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jc w:val="center"/>
              <w:rPr/>
            </w:pPr>
            <w:r>
              <w:rPr/>
              <w:t xml:space="preserve">  </w:t>
            </w:r>
          </w:p>
        </w:tc>
        <w:tc>
          <w:tcPr>
            <w:tcW w:w="1793" w:type="dxa"/>
            <w:gridSpan w:val="3"/>
            <w:tcBorders/>
            <w:shd w:fill="auto" w:val="clear"/>
            <w:vAlign w:val="bottom"/>
          </w:tcPr>
          <w:p>
            <w:pPr>
              <w:pStyle w:val="TableContents"/>
              <w:spacing w:before="0" w:after="283"/>
              <w:jc w:val="center"/>
              <w:rPr>
                <w:b/>
              </w:rPr>
            </w:pPr>
            <w:r>
              <w:rPr>
                <w:b/>
              </w:rPr>
              <w:t>Number of</w:t>
            </w:r>
          </w:p>
        </w:tc>
        <w:tc>
          <w:tcPr>
            <w:tcW w:w="109" w:type="dxa"/>
            <w:tcBorders/>
            <w:shd w:fill="auto" w:val="clear"/>
            <w:vAlign w:val="bottom"/>
          </w:tcPr>
          <w:p>
            <w:pPr>
              <w:pStyle w:val="TableContents"/>
              <w:spacing w:before="0" w:after="283"/>
              <w:jc w:val="center"/>
              <w:rPr/>
            </w:pPr>
            <w:r>
              <w:rPr/>
              <w:t xml:space="preserve">  </w:t>
            </w:r>
          </w:p>
        </w:tc>
        <w:tc>
          <w:tcPr>
            <w:tcW w:w="1881" w:type="dxa"/>
            <w:gridSpan w:val="3"/>
            <w:tcBorders/>
            <w:shd w:fill="auto" w:val="clear"/>
            <w:vAlign w:val="bottom"/>
          </w:tcPr>
          <w:p>
            <w:pPr>
              <w:pStyle w:val="TableContents"/>
              <w:spacing w:before="0" w:after="283"/>
              <w:jc w:val="center"/>
              <w:rPr/>
            </w:pPr>
            <w:r>
              <w:rPr/>
              <w:t xml:space="preserve">  </w:t>
            </w:r>
          </w:p>
        </w:tc>
        <w:tc>
          <w:tcPr>
            <w:tcW w:w="108" w:type="dxa"/>
            <w:tcBorders/>
            <w:shd w:fill="auto" w:val="clear"/>
            <w:vAlign w:val="bottom"/>
          </w:tcPr>
          <w:p>
            <w:pPr>
              <w:pStyle w:val="TableContents"/>
              <w:spacing w:before="0" w:after="283"/>
              <w:jc w:val="center"/>
              <w:rPr/>
            </w:pPr>
            <w:r>
              <w:rPr/>
              <w:t xml:space="preserve">  </w:t>
            </w:r>
          </w:p>
        </w:tc>
        <w:tc>
          <w:tcPr>
            <w:tcW w:w="1743" w:type="dxa"/>
            <w:gridSpan w:val="3"/>
            <w:tcBorders/>
            <w:shd w:fill="auto" w:val="clear"/>
            <w:vAlign w:val="bottom"/>
          </w:tcPr>
          <w:p>
            <w:pPr>
              <w:pStyle w:val="TableContents"/>
              <w:spacing w:before="0" w:after="283"/>
              <w:jc w:val="center"/>
              <w:rPr>
                <w:b/>
              </w:rPr>
            </w:pPr>
            <w:r>
              <w:rPr>
                <w:b/>
              </w:rPr>
              <w:t>Number of</w:t>
            </w:r>
          </w:p>
        </w:tc>
        <w:tc>
          <w:tcPr>
            <w:tcW w:w="109" w:type="dxa"/>
            <w:tcBorders/>
            <w:shd w:fill="auto" w:val="clear"/>
            <w:vAlign w:val="bottom"/>
          </w:tcPr>
          <w:p>
            <w:pPr>
              <w:pStyle w:val="TableContents"/>
              <w:spacing w:before="0" w:after="283"/>
              <w:jc w:val="center"/>
              <w:rPr/>
            </w:pPr>
            <w:r>
              <w:rPr/>
              <w:t xml:space="preserve">  </w:t>
            </w:r>
          </w:p>
        </w:tc>
        <w:tc>
          <w:tcPr>
            <w:tcW w:w="1753" w:type="dxa"/>
            <w:gridSpan w:val="3"/>
            <w:tcBorders/>
            <w:shd w:fill="auto" w:val="clear"/>
            <w:vAlign w:val="bottom"/>
          </w:tcPr>
          <w:p>
            <w:pPr>
              <w:pStyle w:val="TableContents"/>
              <w:spacing w:before="0" w:after="283"/>
              <w:jc w:val="center"/>
              <w:rPr>
                <w:b/>
              </w:rPr>
            </w:pPr>
            <w:r>
              <w:rPr>
                <w:b/>
              </w:rPr>
              <w:t>Percentage of</w:t>
            </w:r>
          </w:p>
        </w:tc>
      </w:tr>
      <w:tr>
        <w:trPr/>
        <w:tc>
          <w:tcPr>
            <w:tcW w:w="2617"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jc w:val="center"/>
              <w:rPr/>
            </w:pPr>
            <w:r>
              <w:rPr/>
              <w:t xml:space="preserve">  </w:t>
            </w:r>
          </w:p>
        </w:tc>
        <w:tc>
          <w:tcPr>
            <w:tcW w:w="1793" w:type="dxa"/>
            <w:gridSpan w:val="3"/>
            <w:tcBorders/>
            <w:shd w:fill="auto" w:val="clear"/>
            <w:vAlign w:val="bottom"/>
          </w:tcPr>
          <w:p>
            <w:pPr>
              <w:pStyle w:val="TableContents"/>
              <w:spacing w:before="0" w:after="283"/>
              <w:jc w:val="center"/>
              <w:rPr>
                <w:b/>
              </w:rPr>
            </w:pPr>
            <w:r>
              <w:rPr>
                <w:b/>
              </w:rPr>
              <w:t>Common Units</w:t>
            </w:r>
          </w:p>
        </w:tc>
        <w:tc>
          <w:tcPr>
            <w:tcW w:w="109" w:type="dxa"/>
            <w:tcBorders/>
            <w:shd w:fill="auto" w:val="clear"/>
            <w:vAlign w:val="bottom"/>
          </w:tcPr>
          <w:p>
            <w:pPr>
              <w:pStyle w:val="TableContents"/>
              <w:spacing w:before="0" w:after="283"/>
              <w:jc w:val="center"/>
              <w:rPr/>
            </w:pPr>
            <w:r>
              <w:rPr/>
              <w:t xml:space="preserve">  </w:t>
            </w:r>
          </w:p>
        </w:tc>
        <w:tc>
          <w:tcPr>
            <w:tcW w:w="1881" w:type="dxa"/>
            <w:gridSpan w:val="3"/>
            <w:tcBorders/>
            <w:shd w:fill="auto" w:val="clear"/>
            <w:vAlign w:val="bottom"/>
          </w:tcPr>
          <w:p>
            <w:pPr>
              <w:pStyle w:val="TableContents"/>
              <w:spacing w:before="0" w:after="283"/>
              <w:jc w:val="center"/>
              <w:rPr/>
            </w:pPr>
            <w:r>
              <w:rPr/>
              <w:t xml:space="preserve">  </w:t>
            </w:r>
          </w:p>
        </w:tc>
        <w:tc>
          <w:tcPr>
            <w:tcW w:w="108" w:type="dxa"/>
            <w:tcBorders/>
            <w:shd w:fill="auto" w:val="clear"/>
            <w:vAlign w:val="bottom"/>
          </w:tcPr>
          <w:p>
            <w:pPr>
              <w:pStyle w:val="TableContents"/>
              <w:spacing w:before="0" w:after="283"/>
              <w:jc w:val="center"/>
              <w:rPr/>
            </w:pPr>
            <w:r>
              <w:rPr/>
              <w:t xml:space="preserve">  </w:t>
            </w:r>
          </w:p>
        </w:tc>
        <w:tc>
          <w:tcPr>
            <w:tcW w:w="1743" w:type="dxa"/>
            <w:gridSpan w:val="3"/>
            <w:tcBorders/>
            <w:shd w:fill="auto" w:val="clear"/>
            <w:vAlign w:val="bottom"/>
          </w:tcPr>
          <w:p>
            <w:pPr>
              <w:pStyle w:val="TableContents"/>
              <w:spacing w:before="0" w:after="283"/>
              <w:jc w:val="center"/>
              <w:rPr>
                <w:b/>
              </w:rPr>
            </w:pPr>
            <w:r>
              <w:rPr>
                <w:b/>
              </w:rPr>
              <w:t>Common Units</w:t>
            </w:r>
          </w:p>
        </w:tc>
        <w:tc>
          <w:tcPr>
            <w:tcW w:w="109" w:type="dxa"/>
            <w:tcBorders/>
            <w:shd w:fill="auto" w:val="clear"/>
            <w:vAlign w:val="bottom"/>
          </w:tcPr>
          <w:p>
            <w:pPr>
              <w:pStyle w:val="TableContents"/>
              <w:spacing w:before="0" w:after="283"/>
              <w:jc w:val="center"/>
              <w:rPr/>
            </w:pPr>
            <w:r>
              <w:rPr/>
              <w:t xml:space="preserve">  </w:t>
            </w:r>
          </w:p>
        </w:tc>
        <w:tc>
          <w:tcPr>
            <w:tcW w:w="1753" w:type="dxa"/>
            <w:gridSpan w:val="3"/>
            <w:tcBorders/>
            <w:shd w:fill="auto" w:val="clear"/>
            <w:vAlign w:val="bottom"/>
          </w:tcPr>
          <w:p>
            <w:pPr>
              <w:pStyle w:val="TableContents"/>
              <w:spacing w:before="0" w:after="283"/>
              <w:jc w:val="center"/>
              <w:rPr>
                <w:b/>
              </w:rPr>
            </w:pPr>
            <w:r>
              <w:rPr>
                <w:b/>
              </w:rPr>
              <w:t>Common Units</w:t>
            </w:r>
          </w:p>
        </w:tc>
      </w:tr>
      <w:tr>
        <w:trPr/>
        <w:tc>
          <w:tcPr>
            <w:tcW w:w="2617"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jc w:val="center"/>
              <w:rPr/>
            </w:pPr>
            <w:r>
              <w:rPr/>
              <w:t xml:space="preserve">  </w:t>
            </w:r>
          </w:p>
        </w:tc>
        <w:tc>
          <w:tcPr>
            <w:tcW w:w="1793" w:type="dxa"/>
            <w:gridSpan w:val="3"/>
            <w:tcBorders/>
            <w:shd w:fill="auto" w:val="clear"/>
            <w:vAlign w:val="bottom"/>
          </w:tcPr>
          <w:p>
            <w:pPr>
              <w:pStyle w:val="TableContents"/>
              <w:spacing w:before="0" w:after="283"/>
              <w:jc w:val="center"/>
              <w:rPr>
                <w:b/>
              </w:rPr>
            </w:pPr>
            <w:r>
              <w:rPr>
                <w:b/>
              </w:rPr>
              <w:t>Beneficially</w:t>
            </w:r>
          </w:p>
        </w:tc>
        <w:tc>
          <w:tcPr>
            <w:tcW w:w="109" w:type="dxa"/>
            <w:tcBorders/>
            <w:shd w:fill="auto" w:val="clear"/>
            <w:vAlign w:val="bottom"/>
          </w:tcPr>
          <w:p>
            <w:pPr>
              <w:pStyle w:val="TableContents"/>
              <w:spacing w:before="0" w:after="283"/>
              <w:jc w:val="center"/>
              <w:rPr/>
            </w:pPr>
            <w:r>
              <w:rPr/>
              <w:t xml:space="preserve">  </w:t>
            </w:r>
          </w:p>
        </w:tc>
        <w:tc>
          <w:tcPr>
            <w:tcW w:w="1881" w:type="dxa"/>
            <w:gridSpan w:val="3"/>
            <w:tcBorders/>
            <w:shd w:fill="auto" w:val="clear"/>
            <w:vAlign w:val="bottom"/>
          </w:tcPr>
          <w:p>
            <w:pPr>
              <w:pStyle w:val="TableContents"/>
              <w:spacing w:before="0" w:after="283"/>
              <w:jc w:val="center"/>
              <w:rPr>
                <w:b/>
              </w:rPr>
            </w:pPr>
            <w:r>
              <w:rPr>
                <w:b/>
              </w:rPr>
              <w:t>Number of</w:t>
            </w:r>
          </w:p>
        </w:tc>
        <w:tc>
          <w:tcPr>
            <w:tcW w:w="108" w:type="dxa"/>
            <w:tcBorders/>
            <w:shd w:fill="auto" w:val="clear"/>
            <w:vAlign w:val="bottom"/>
          </w:tcPr>
          <w:p>
            <w:pPr>
              <w:pStyle w:val="TableContents"/>
              <w:spacing w:before="0" w:after="283"/>
              <w:jc w:val="center"/>
              <w:rPr/>
            </w:pPr>
            <w:r>
              <w:rPr/>
              <w:t xml:space="preserve">  </w:t>
            </w:r>
          </w:p>
        </w:tc>
        <w:tc>
          <w:tcPr>
            <w:tcW w:w="1743" w:type="dxa"/>
            <w:gridSpan w:val="3"/>
            <w:tcBorders/>
            <w:shd w:fill="auto" w:val="clear"/>
            <w:vAlign w:val="bottom"/>
          </w:tcPr>
          <w:p>
            <w:pPr>
              <w:pStyle w:val="TableContents"/>
              <w:spacing w:before="0" w:after="283"/>
              <w:jc w:val="center"/>
              <w:rPr>
                <w:b/>
              </w:rPr>
            </w:pPr>
            <w:r>
              <w:rPr>
                <w:b/>
              </w:rPr>
              <w:t>Beneficially</w:t>
            </w:r>
          </w:p>
        </w:tc>
        <w:tc>
          <w:tcPr>
            <w:tcW w:w="109" w:type="dxa"/>
            <w:tcBorders/>
            <w:shd w:fill="auto" w:val="clear"/>
            <w:vAlign w:val="bottom"/>
          </w:tcPr>
          <w:p>
            <w:pPr>
              <w:pStyle w:val="TableContents"/>
              <w:spacing w:before="0" w:after="283"/>
              <w:jc w:val="center"/>
              <w:rPr/>
            </w:pPr>
            <w:r>
              <w:rPr/>
              <w:t xml:space="preserve">  </w:t>
            </w:r>
          </w:p>
        </w:tc>
        <w:tc>
          <w:tcPr>
            <w:tcW w:w="1753" w:type="dxa"/>
            <w:gridSpan w:val="3"/>
            <w:tcBorders/>
            <w:shd w:fill="auto" w:val="clear"/>
            <w:vAlign w:val="bottom"/>
          </w:tcPr>
          <w:p>
            <w:pPr>
              <w:pStyle w:val="TableContents"/>
              <w:spacing w:before="0" w:after="283"/>
              <w:jc w:val="center"/>
              <w:rPr>
                <w:b/>
              </w:rPr>
            </w:pPr>
            <w:r>
              <w:rPr>
                <w:b/>
              </w:rPr>
              <w:t>Beneficially</w:t>
            </w:r>
          </w:p>
        </w:tc>
      </w:tr>
      <w:tr>
        <w:trPr/>
        <w:tc>
          <w:tcPr>
            <w:tcW w:w="2617"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jc w:val="center"/>
              <w:rPr/>
            </w:pPr>
            <w:r>
              <w:rPr/>
              <w:t xml:space="preserve">  </w:t>
            </w:r>
          </w:p>
        </w:tc>
        <w:tc>
          <w:tcPr>
            <w:tcW w:w="1793" w:type="dxa"/>
            <w:gridSpan w:val="3"/>
            <w:tcBorders/>
            <w:shd w:fill="auto" w:val="clear"/>
            <w:vAlign w:val="bottom"/>
          </w:tcPr>
          <w:p>
            <w:pPr>
              <w:pStyle w:val="TableContents"/>
              <w:spacing w:before="0" w:after="283"/>
              <w:jc w:val="center"/>
              <w:rPr>
                <w:b/>
              </w:rPr>
            </w:pPr>
            <w:r>
              <w:rPr>
                <w:b/>
              </w:rPr>
              <w:t>Owned Prior</w:t>
            </w:r>
          </w:p>
        </w:tc>
        <w:tc>
          <w:tcPr>
            <w:tcW w:w="109" w:type="dxa"/>
            <w:tcBorders/>
            <w:shd w:fill="auto" w:val="clear"/>
            <w:vAlign w:val="bottom"/>
          </w:tcPr>
          <w:p>
            <w:pPr>
              <w:pStyle w:val="TableContents"/>
              <w:spacing w:before="0" w:after="283"/>
              <w:jc w:val="center"/>
              <w:rPr/>
            </w:pPr>
            <w:r>
              <w:rPr/>
              <w:t xml:space="preserve">  </w:t>
            </w:r>
          </w:p>
        </w:tc>
        <w:tc>
          <w:tcPr>
            <w:tcW w:w="1881" w:type="dxa"/>
            <w:gridSpan w:val="3"/>
            <w:tcBorders/>
            <w:shd w:fill="auto" w:val="clear"/>
            <w:vAlign w:val="bottom"/>
          </w:tcPr>
          <w:p>
            <w:pPr>
              <w:pStyle w:val="TableContents"/>
              <w:spacing w:before="0" w:after="283"/>
              <w:jc w:val="center"/>
              <w:rPr>
                <w:b/>
              </w:rPr>
            </w:pPr>
            <w:r>
              <w:rPr>
                <w:b/>
              </w:rPr>
              <w:t>Common Units</w:t>
            </w:r>
          </w:p>
        </w:tc>
        <w:tc>
          <w:tcPr>
            <w:tcW w:w="108" w:type="dxa"/>
            <w:tcBorders/>
            <w:shd w:fill="auto" w:val="clear"/>
            <w:vAlign w:val="bottom"/>
          </w:tcPr>
          <w:p>
            <w:pPr>
              <w:pStyle w:val="TableContents"/>
              <w:spacing w:before="0" w:after="283"/>
              <w:jc w:val="center"/>
              <w:rPr/>
            </w:pPr>
            <w:r>
              <w:rPr/>
              <w:t xml:space="preserve">  </w:t>
            </w:r>
          </w:p>
        </w:tc>
        <w:tc>
          <w:tcPr>
            <w:tcW w:w="1743" w:type="dxa"/>
            <w:gridSpan w:val="3"/>
            <w:tcBorders/>
            <w:shd w:fill="auto" w:val="clear"/>
            <w:vAlign w:val="bottom"/>
          </w:tcPr>
          <w:p>
            <w:pPr>
              <w:pStyle w:val="TableContents"/>
              <w:spacing w:before="0" w:after="283"/>
              <w:jc w:val="center"/>
              <w:rPr>
                <w:b/>
              </w:rPr>
            </w:pPr>
            <w:r>
              <w:rPr>
                <w:b/>
              </w:rPr>
              <w:t>Owned After</w:t>
            </w:r>
          </w:p>
        </w:tc>
        <w:tc>
          <w:tcPr>
            <w:tcW w:w="109" w:type="dxa"/>
            <w:tcBorders/>
            <w:shd w:fill="auto" w:val="clear"/>
            <w:vAlign w:val="bottom"/>
          </w:tcPr>
          <w:p>
            <w:pPr>
              <w:pStyle w:val="TableContents"/>
              <w:spacing w:before="0" w:after="283"/>
              <w:jc w:val="center"/>
              <w:rPr/>
            </w:pPr>
            <w:r>
              <w:rPr/>
              <w:t xml:space="preserve">  </w:t>
            </w:r>
          </w:p>
        </w:tc>
        <w:tc>
          <w:tcPr>
            <w:tcW w:w="1753" w:type="dxa"/>
            <w:gridSpan w:val="3"/>
            <w:tcBorders/>
            <w:shd w:fill="auto" w:val="clear"/>
            <w:vAlign w:val="bottom"/>
          </w:tcPr>
          <w:p>
            <w:pPr>
              <w:pStyle w:val="TableContents"/>
              <w:spacing w:before="0" w:after="283"/>
              <w:jc w:val="center"/>
              <w:rPr>
                <w:b/>
              </w:rPr>
            </w:pPr>
            <w:r>
              <w:rPr>
                <w:b/>
              </w:rPr>
              <w:t>Owned After</w:t>
            </w:r>
          </w:p>
        </w:tc>
      </w:tr>
      <w:tr>
        <w:trPr/>
        <w:tc>
          <w:tcPr>
            <w:tcW w:w="2617" w:type="dxa"/>
            <w:tcBorders/>
            <w:shd w:fill="auto" w:val="clear"/>
            <w:vAlign w:val="bottom"/>
          </w:tcPr>
          <w:p>
            <w:pPr>
              <w:pStyle w:val="TableContents"/>
              <w:spacing w:before="0" w:after="0"/>
              <w:jc w:val="left"/>
              <w:rPr>
                <w:bdr w:val="single" w:sz="2" w:space="1" w:color="000000"/>
              </w:rPr>
            </w:pPr>
            <w:r>
              <w:rPr>
                <w:b/>
                <w:bdr w:val="single" w:sz="2" w:space="1" w:color="000000"/>
              </w:rPr>
              <w:t>Selling Unitholder</w:t>
            </w:r>
            <w:r>
              <w:rPr>
                <w:bdr w:val="single" w:sz="2" w:space="1" w:color="000000"/>
              </w:rPr>
              <w:t xml:space="preserve"> </w:t>
            </w:r>
          </w:p>
        </w:tc>
        <w:tc>
          <w:tcPr>
            <w:tcW w:w="92" w:type="dxa"/>
            <w:tcBorders/>
            <w:shd w:fill="auto" w:val="clear"/>
            <w:vAlign w:val="bottom"/>
          </w:tcPr>
          <w:p>
            <w:pPr>
              <w:pStyle w:val="TableContents"/>
              <w:spacing w:before="0" w:after="283"/>
              <w:jc w:val="center"/>
              <w:rPr/>
            </w:pPr>
            <w:r>
              <w:rPr/>
              <w:t xml:space="preserve">  </w:t>
            </w:r>
          </w:p>
        </w:tc>
        <w:tc>
          <w:tcPr>
            <w:tcW w:w="1793"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to the Offering</w:t>
            </w:r>
            <w:r>
              <w:rPr/>
              <w:t xml:space="preserve"> </w:t>
            </w:r>
          </w:p>
        </w:tc>
        <w:tc>
          <w:tcPr>
            <w:tcW w:w="109" w:type="dxa"/>
            <w:tcBorders/>
            <w:shd w:fill="auto" w:val="clear"/>
            <w:vAlign w:val="bottom"/>
          </w:tcPr>
          <w:p>
            <w:pPr>
              <w:pStyle w:val="TableContents"/>
              <w:spacing w:before="0" w:after="283"/>
              <w:jc w:val="center"/>
              <w:rPr/>
            </w:pPr>
            <w:r>
              <w:rPr/>
              <w:t xml:space="preserve">  </w:t>
            </w:r>
          </w:p>
        </w:tc>
        <w:tc>
          <w:tcPr>
            <w:tcW w:w="1881"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to be Offered(1)</w:t>
            </w:r>
            <w:r>
              <w:rPr/>
              <w:t xml:space="preserve"> </w:t>
            </w:r>
          </w:p>
        </w:tc>
        <w:tc>
          <w:tcPr>
            <w:tcW w:w="108" w:type="dxa"/>
            <w:tcBorders/>
            <w:shd w:fill="auto" w:val="clear"/>
            <w:vAlign w:val="bottom"/>
          </w:tcPr>
          <w:p>
            <w:pPr>
              <w:pStyle w:val="TableContents"/>
              <w:spacing w:before="0" w:after="283"/>
              <w:jc w:val="center"/>
              <w:rPr/>
            </w:pPr>
            <w:r>
              <w:rPr/>
              <w:t xml:space="preserve">  </w:t>
            </w:r>
          </w:p>
        </w:tc>
        <w:tc>
          <w:tcPr>
            <w:tcW w:w="1743"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the Offering(1)</w:t>
            </w:r>
            <w:r>
              <w:rPr/>
              <w:t xml:space="preserve"> </w:t>
            </w:r>
          </w:p>
        </w:tc>
        <w:tc>
          <w:tcPr>
            <w:tcW w:w="109" w:type="dxa"/>
            <w:tcBorders/>
            <w:shd w:fill="auto" w:val="clear"/>
            <w:vAlign w:val="bottom"/>
          </w:tcPr>
          <w:p>
            <w:pPr>
              <w:pStyle w:val="TableContents"/>
              <w:spacing w:before="0" w:after="283"/>
              <w:jc w:val="center"/>
              <w:rPr/>
            </w:pPr>
            <w:r>
              <w:rPr/>
              <w:t xml:space="preserve">  </w:t>
            </w:r>
          </w:p>
        </w:tc>
        <w:tc>
          <w:tcPr>
            <w:tcW w:w="1753"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the Offering(1)</w:t>
            </w:r>
            <w:r>
              <w:rPr/>
              <w:t xml:space="preserve"> </w:t>
            </w:r>
          </w:p>
        </w:tc>
      </w:tr>
      <w:tr>
        <w:trPr/>
        <w:tc>
          <w:tcPr>
            <w:tcW w:w="2617" w:type="dxa"/>
            <w:tcBorders/>
            <w:shd w:fill="auto" w:val="clear"/>
            <w:vAlign w:val="center"/>
          </w:tcPr>
          <w:p>
            <w:pPr>
              <w:pStyle w:val="TableContents"/>
              <w:spacing w:before="0" w:after="283"/>
              <w:rPr/>
            </w:pPr>
            <w:r>
              <w:rPr/>
              <w:t xml:space="preserve">  </w:t>
            </w:r>
          </w:p>
        </w:tc>
        <w:tc>
          <w:tcPr>
            <w:tcW w:w="7588" w:type="dxa"/>
            <w:gridSpan w:val="16"/>
            <w:tcBorders/>
            <w:shd w:fill="auto" w:val="clear"/>
          </w:tcPr>
          <w:p>
            <w:pPr>
              <w:pStyle w:val="TableContents"/>
              <w:spacing w:before="0" w:after="283"/>
              <w:rPr>
                <w:sz w:val="4"/>
                <w:szCs w:val="4"/>
              </w:rPr>
            </w:pPr>
            <w:r>
              <w:rPr>
                <w:sz w:val="4"/>
                <w:szCs w:val="4"/>
              </w:rPr>
            </w:r>
          </w:p>
        </w:tc>
      </w:tr>
      <w:tr>
        <w:trPr/>
        <w:tc>
          <w:tcPr>
            <w:tcW w:w="2617" w:type="dxa"/>
            <w:tcBorders/>
            <w:shd w:fill="auto" w:val="clear"/>
          </w:tcPr>
          <w:p>
            <w:pPr>
              <w:pStyle w:val="TableContents"/>
              <w:spacing w:before="0" w:after="0"/>
              <w:ind w:left="200" w:right="0" w:hanging="200"/>
              <w:jc w:val="left"/>
              <w:rPr/>
            </w:pPr>
            <w:r>
              <w:rPr/>
              <w:t xml:space="preserve">Vulcan Energy Corporation(2)(3) </w:t>
            </w:r>
          </w:p>
        </w:tc>
        <w:tc>
          <w:tcPr>
            <w:tcW w:w="92" w:type="dxa"/>
            <w:tcBorders/>
            <w:shd w:fill="auto" w:val="clear"/>
            <w:vAlign w:val="bottom"/>
          </w:tcPr>
          <w:p>
            <w:pPr>
              <w:pStyle w:val="TableContents"/>
              <w:spacing w:before="0" w:after="283"/>
              <w:rPr/>
            </w:pPr>
            <w:r>
              <w:rPr/>
              <w:t xml:space="preserve">  </w:t>
            </w:r>
          </w:p>
        </w:tc>
        <w:tc>
          <w:tcPr>
            <w:tcW w:w="201" w:type="dxa"/>
            <w:tcBorders/>
            <w:shd w:fill="auto" w:val="clear"/>
            <w:vAlign w:val="bottom"/>
          </w:tcPr>
          <w:p>
            <w:pPr>
              <w:pStyle w:val="TableContents"/>
              <w:spacing w:before="0" w:after="283"/>
              <w:jc w:val="right"/>
              <w:rPr/>
            </w:pPr>
            <w:r>
              <w:rPr/>
              <w:t xml:space="preserve">  </w:t>
            </w:r>
          </w:p>
        </w:tc>
        <w:tc>
          <w:tcPr>
            <w:tcW w:w="1163" w:type="dxa"/>
            <w:tcBorders/>
            <w:shd w:fill="auto" w:val="clear"/>
            <w:vAlign w:val="bottom"/>
          </w:tcPr>
          <w:p>
            <w:pPr>
              <w:pStyle w:val="TableContents"/>
              <w:spacing w:before="0" w:after="283"/>
              <w:jc w:val="right"/>
              <w:rPr/>
            </w:pPr>
            <w:r>
              <w:rPr/>
              <w:t xml:space="preserve">12,390,120 </w:t>
            </w:r>
          </w:p>
        </w:tc>
        <w:tc>
          <w:tcPr>
            <w:tcW w:w="429" w:type="dxa"/>
            <w:tcBorders/>
            <w:shd w:fill="auto" w:val="clear"/>
            <w:vAlign w:val="bottom"/>
          </w:tcPr>
          <w:p>
            <w:pPr>
              <w:pStyle w:val="TableContents"/>
              <w:spacing w:before="0" w:after="283"/>
              <w:jc w:val="left"/>
              <w:rPr/>
            </w:pPr>
            <w:r>
              <w:rPr/>
              <w:t xml:space="preserve">(2) </w:t>
            </w:r>
          </w:p>
        </w:tc>
        <w:tc>
          <w:tcPr>
            <w:tcW w:w="109" w:type="dxa"/>
            <w:tcBorders/>
            <w:shd w:fill="auto" w:val="clear"/>
            <w:vAlign w:val="bottom"/>
          </w:tcPr>
          <w:p>
            <w:pPr>
              <w:pStyle w:val="TableContents"/>
              <w:spacing w:before="0" w:after="283"/>
              <w:rPr/>
            </w:pPr>
            <w:r>
              <w:rPr/>
              <w:t xml:space="preserve">  </w:t>
            </w:r>
          </w:p>
        </w:tc>
        <w:tc>
          <w:tcPr>
            <w:tcW w:w="255" w:type="dxa"/>
            <w:tcBorders/>
            <w:shd w:fill="auto" w:val="clear"/>
            <w:vAlign w:val="bottom"/>
          </w:tcPr>
          <w:p>
            <w:pPr>
              <w:pStyle w:val="TableContents"/>
              <w:spacing w:before="0" w:after="283"/>
              <w:jc w:val="right"/>
              <w:rPr/>
            </w:pPr>
            <w:r>
              <w:rPr/>
              <w:t xml:space="preserve">  </w:t>
            </w:r>
          </w:p>
        </w:tc>
        <w:tc>
          <w:tcPr>
            <w:tcW w:w="1368" w:type="dxa"/>
            <w:tcBorders/>
            <w:shd w:fill="auto" w:val="clear"/>
            <w:vAlign w:val="bottom"/>
          </w:tcPr>
          <w:p>
            <w:pPr>
              <w:pStyle w:val="TableContents"/>
              <w:spacing w:before="0" w:after="283"/>
              <w:jc w:val="right"/>
              <w:rPr/>
            </w:pPr>
            <w:r>
              <w:rPr/>
              <w:t xml:space="preserve">7,500,000 </w:t>
            </w:r>
          </w:p>
        </w:tc>
        <w:tc>
          <w:tcPr>
            <w:tcW w:w="258" w:type="dxa"/>
            <w:tcBorders/>
            <w:shd w:fill="auto" w:val="clear"/>
            <w:vAlign w:val="bottom"/>
          </w:tcPr>
          <w:p>
            <w:pPr>
              <w:pStyle w:val="TableContents"/>
              <w:spacing w:before="0" w:after="283"/>
              <w:jc w:val="left"/>
              <w:rPr/>
            </w:pPr>
            <w:r>
              <w:rPr/>
              <w:t xml:space="preserve">  </w:t>
            </w:r>
          </w:p>
        </w:tc>
        <w:tc>
          <w:tcPr>
            <w:tcW w:w="108" w:type="dxa"/>
            <w:tcBorders/>
            <w:shd w:fill="auto" w:val="clear"/>
            <w:vAlign w:val="bottom"/>
          </w:tcPr>
          <w:p>
            <w:pPr>
              <w:pStyle w:val="TableContents"/>
              <w:spacing w:before="0" w:after="283"/>
              <w:rPr/>
            </w:pPr>
            <w:r>
              <w:rPr/>
              <w:t xml:space="preserve">  </w:t>
            </w:r>
          </w:p>
        </w:tc>
        <w:tc>
          <w:tcPr>
            <w:tcW w:w="228" w:type="dxa"/>
            <w:tcBorders/>
            <w:shd w:fill="auto" w:val="clear"/>
            <w:vAlign w:val="bottom"/>
          </w:tcPr>
          <w:p>
            <w:pPr>
              <w:pStyle w:val="TableContents"/>
              <w:spacing w:before="0" w:after="283"/>
              <w:jc w:val="right"/>
              <w:rPr/>
            </w:pPr>
            <w:r>
              <w:rPr/>
              <w:t xml:space="preserve">  </w:t>
            </w:r>
          </w:p>
        </w:tc>
        <w:tc>
          <w:tcPr>
            <w:tcW w:w="1284" w:type="dxa"/>
            <w:tcBorders/>
            <w:shd w:fill="auto" w:val="clear"/>
            <w:vAlign w:val="bottom"/>
          </w:tcPr>
          <w:p>
            <w:pPr>
              <w:pStyle w:val="TableContents"/>
              <w:spacing w:before="0" w:after="283"/>
              <w:jc w:val="right"/>
              <w:rPr/>
            </w:pPr>
            <w:r>
              <w:rPr/>
              <w:t xml:space="preserve">4,890,120 </w:t>
            </w:r>
          </w:p>
        </w:tc>
        <w:tc>
          <w:tcPr>
            <w:tcW w:w="231" w:type="dxa"/>
            <w:tcBorders/>
            <w:shd w:fill="auto" w:val="clear"/>
            <w:vAlign w:val="bottom"/>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rPr/>
            </w:pPr>
            <w:r>
              <w:rPr/>
              <w:t xml:space="preserve">  </w:t>
            </w:r>
          </w:p>
        </w:tc>
        <w:tc>
          <w:tcPr>
            <w:tcW w:w="291" w:type="dxa"/>
            <w:tcBorders/>
            <w:shd w:fill="auto" w:val="clear"/>
            <w:vAlign w:val="bottom"/>
          </w:tcPr>
          <w:p>
            <w:pPr>
              <w:pStyle w:val="TableContents"/>
              <w:spacing w:before="0" w:after="283"/>
              <w:jc w:val="right"/>
              <w:rPr/>
            </w:pPr>
            <w:r>
              <w:rPr/>
              <w:t xml:space="preserve">  </w:t>
            </w:r>
          </w:p>
        </w:tc>
        <w:tc>
          <w:tcPr>
            <w:tcW w:w="888" w:type="dxa"/>
            <w:tcBorders/>
            <w:shd w:fill="auto" w:val="clear"/>
            <w:vAlign w:val="bottom"/>
          </w:tcPr>
          <w:p>
            <w:pPr>
              <w:pStyle w:val="TableContents"/>
              <w:spacing w:before="0" w:after="283"/>
              <w:jc w:val="right"/>
              <w:rPr/>
            </w:pPr>
            <w:r>
              <w:rPr/>
              <w:t xml:space="preserve">3.27 </w:t>
            </w:r>
          </w:p>
        </w:tc>
        <w:tc>
          <w:tcPr>
            <w:tcW w:w="574" w:type="dxa"/>
            <w:tcBorders/>
            <w:shd w:fill="auto"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219"/>
        <w:gridCol w:w="101"/>
        <w:gridCol w:w="9885"/>
      </w:tblGrid>
      <w:tr>
        <w:trPr/>
        <w:tc>
          <w:tcPr>
            <w:tcW w:w="21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885" w:type="dxa"/>
            <w:tcBorders/>
            <w:shd w:fill="auto" w:val="clear"/>
            <w:vAlign w:val="center"/>
          </w:tcPr>
          <w:p>
            <w:pPr>
              <w:pStyle w:val="TableContents"/>
              <w:spacing w:before="0" w:after="283"/>
              <w:rPr>
                <w:sz w:val="4"/>
                <w:szCs w:val="4"/>
              </w:rPr>
            </w:pPr>
            <w:r>
              <w:rPr>
                <w:sz w:val="4"/>
                <w:szCs w:val="4"/>
              </w:rPr>
            </w:r>
          </w:p>
        </w:tc>
      </w:tr>
      <w:tr>
        <w:trPr/>
        <w:tc>
          <w:tcPr>
            <w:tcW w:w="219" w:type="dxa"/>
            <w:tcBorders/>
            <w:shd w:fill="auto" w:val="clear"/>
          </w:tcPr>
          <w:p>
            <w:pPr>
              <w:pStyle w:val="TableContents"/>
              <w:spacing w:before="0" w:after="283"/>
              <w:jc w:val="right"/>
              <w:rPr/>
            </w:pPr>
            <w:r>
              <w:rPr/>
              <w:t xml:space="preserve">(1) </w:t>
            </w:r>
          </w:p>
        </w:tc>
        <w:tc>
          <w:tcPr>
            <w:tcW w:w="101" w:type="dxa"/>
            <w:tcBorders/>
            <w:shd w:fill="auto" w:val="clear"/>
            <w:vAlign w:val="center"/>
          </w:tcPr>
          <w:p>
            <w:pPr>
              <w:pStyle w:val="TableContents"/>
              <w:spacing w:before="0" w:after="283"/>
              <w:rPr>
                <w:sz w:val="4"/>
                <w:szCs w:val="4"/>
              </w:rPr>
            </w:pPr>
            <w:r>
              <w:rPr>
                <w:sz w:val="4"/>
                <w:szCs w:val="4"/>
              </w:rPr>
            </w:r>
          </w:p>
        </w:tc>
        <w:tc>
          <w:tcPr>
            <w:tcW w:w="9885" w:type="dxa"/>
            <w:tcBorders/>
            <w:shd w:fill="auto" w:val="clear"/>
            <w:vAlign w:val="bottom"/>
          </w:tcPr>
          <w:p>
            <w:pPr>
              <w:pStyle w:val="TableContents"/>
              <w:spacing w:before="0" w:after="283"/>
              <w:rPr/>
            </w:pPr>
            <w:r>
              <w:rPr/>
              <w:t>Assumes the underwriters will not exercise their option to purchase up to an additional 1,125,000 common units.</w:t>
            </w:r>
          </w:p>
        </w:tc>
      </w:tr>
      <w:tr>
        <w:trPr/>
        <w:tc>
          <w:tcPr>
            <w:tcW w:w="219" w:type="dxa"/>
            <w:tcBorders/>
            <w:shd w:fill="auto" w:val="clear"/>
            <w:vAlign w:val="center"/>
          </w:tcPr>
          <w:p>
            <w:pPr>
              <w:pStyle w:val="TableContents"/>
              <w:spacing w:before="0" w:after="283"/>
              <w:rPr/>
            </w:pPr>
            <w:r>
              <w:rPr/>
              <w:t> </w:t>
            </w:r>
          </w:p>
        </w:tc>
        <w:tc>
          <w:tcPr>
            <w:tcW w:w="9986" w:type="dxa"/>
            <w:gridSpan w:val="2"/>
            <w:tcBorders/>
            <w:shd w:fill="auto" w:val="clear"/>
          </w:tcPr>
          <w:p>
            <w:pPr>
              <w:pStyle w:val="TableContents"/>
              <w:spacing w:before="0" w:after="283"/>
              <w:rPr>
                <w:sz w:val="4"/>
                <w:szCs w:val="4"/>
              </w:rPr>
            </w:pPr>
            <w:r>
              <w:rPr>
                <w:sz w:val="4"/>
                <w:szCs w:val="4"/>
              </w:rPr>
            </w:r>
          </w:p>
        </w:tc>
      </w:tr>
      <w:tr>
        <w:trPr/>
        <w:tc>
          <w:tcPr>
            <w:tcW w:w="219" w:type="dxa"/>
            <w:tcBorders/>
            <w:shd w:fill="auto" w:val="clear"/>
          </w:tcPr>
          <w:p>
            <w:pPr>
              <w:pStyle w:val="TableContents"/>
              <w:spacing w:before="0" w:after="283"/>
              <w:jc w:val="right"/>
              <w:rPr/>
            </w:pPr>
            <w:r>
              <w:rPr/>
              <w:t xml:space="preserve">(2) </w:t>
            </w:r>
          </w:p>
        </w:tc>
        <w:tc>
          <w:tcPr>
            <w:tcW w:w="101" w:type="dxa"/>
            <w:tcBorders/>
            <w:shd w:fill="auto" w:val="clear"/>
            <w:vAlign w:val="center"/>
          </w:tcPr>
          <w:p>
            <w:pPr>
              <w:pStyle w:val="TableContents"/>
              <w:spacing w:before="0" w:after="283"/>
              <w:rPr>
                <w:sz w:val="4"/>
                <w:szCs w:val="4"/>
              </w:rPr>
            </w:pPr>
            <w:r>
              <w:rPr>
                <w:sz w:val="4"/>
                <w:szCs w:val="4"/>
              </w:rPr>
            </w:r>
          </w:p>
        </w:tc>
        <w:tc>
          <w:tcPr>
            <w:tcW w:w="9885" w:type="dxa"/>
            <w:tcBorders/>
            <w:shd w:fill="auto" w:val="clear"/>
            <w:vAlign w:val="bottom"/>
          </w:tcPr>
          <w:p>
            <w:pPr>
              <w:pStyle w:val="TableContents"/>
              <w:spacing w:before="0" w:after="283"/>
              <w:rPr/>
            </w:pPr>
            <w:r>
              <w:rPr/>
              <w:t>Paul G. Allen owns approximately 80% of the outstanding shares of the selling unitholder and exercises sole voting and dispositive powers with respect to the units owned by the selling unitholder. Mr. Allen also controls Vulcan Capital Private Equity I LLC, which is the record holder of 3,706,044 of our common units, and Vulcan Capital Private Equity II LLC, which is the record holder of 197,215 of our common units, which common units are not included in the number of common units beneficially owned by Vulcan Energy Corporation. The address for the selling unitholder is 505 Fifth Avenue S, Suite 900, Seattle, Washington 98104.</w:t>
            </w:r>
          </w:p>
        </w:tc>
      </w:tr>
      <w:tr>
        <w:trPr/>
        <w:tc>
          <w:tcPr>
            <w:tcW w:w="219" w:type="dxa"/>
            <w:tcBorders/>
            <w:shd w:fill="auto" w:val="clear"/>
            <w:vAlign w:val="center"/>
          </w:tcPr>
          <w:p>
            <w:pPr>
              <w:pStyle w:val="TableContents"/>
              <w:spacing w:before="0" w:after="283"/>
              <w:rPr/>
            </w:pPr>
            <w:r>
              <w:rPr/>
              <w:t> </w:t>
            </w:r>
          </w:p>
        </w:tc>
        <w:tc>
          <w:tcPr>
            <w:tcW w:w="9986" w:type="dxa"/>
            <w:gridSpan w:val="2"/>
            <w:tcBorders/>
            <w:shd w:fill="auto" w:val="clear"/>
          </w:tcPr>
          <w:p>
            <w:pPr>
              <w:pStyle w:val="TableContents"/>
              <w:spacing w:before="0" w:after="283"/>
              <w:rPr>
                <w:sz w:val="4"/>
                <w:szCs w:val="4"/>
              </w:rPr>
            </w:pPr>
            <w:r>
              <w:rPr>
                <w:sz w:val="4"/>
                <w:szCs w:val="4"/>
              </w:rPr>
            </w:r>
          </w:p>
        </w:tc>
      </w:tr>
      <w:tr>
        <w:trPr/>
        <w:tc>
          <w:tcPr>
            <w:tcW w:w="219" w:type="dxa"/>
            <w:tcBorders/>
            <w:shd w:fill="auto" w:val="clear"/>
          </w:tcPr>
          <w:p>
            <w:pPr>
              <w:pStyle w:val="TableContents"/>
              <w:spacing w:before="0" w:after="283"/>
              <w:jc w:val="right"/>
              <w:rPr/>
            </w:pPr>
            <w:r>
              <w:rPr/>
              <w:t xml:space="preserve">(3) </w:t>
            </w:r>
          </w:p>
        </w:tc>
        <w:tc>
          <w:tcPr>
            <w:tcW w:w="101" w:type="dxa"/>
            <w:tcBorders/>
            <w:shd w:fill="auto" w:val="clear"/>
            <w:vAlign w:val="center"/>
          </w:tcPr>
          <w:p>
            <w:pPr>
              <w:pStyle w:val="TableContents"/>
              <w:spacing w:before="0" w:after="283"/>
              <w:rPr>
                <w:sz w:val="4"/>
                <w:szCs w:val="4"/>
              </w:rPr>
            </w:pPr>
            <w:r>
              <w:rPr>
                <w:sz w:val="4"/>
                <w:szCs w:val="4"/>
              </w:rPr>
            </w:r>
          </w:p>
        </w:tc>
        <w:tc>
          <w:tcPr>
            <w:tcW w:w="9885" w:type="dxa"/>
            <w:tcBorders/>
            <w:shd w:fill="auto" w:val="clear"/>
            <w:vAlign w:val="bottom"/>
          </w:tcPr>
          <w:p>
            <w:pPr>
              <w:pStyle w:val="TableContents"/>
              <w:spacing w:before="0" w:after="283"/>
              <w:rPr/>
            </w:pPr>
            <w:r>
              <w:rPr/>
              <w:t>We expect that John T. Raymond, a member of the board of directors of our general partner and a stockholder of the selling unitholder, and another stockholder of the selling unitholder, will purchase common units from the selling unitholder in a direct registered offering contemporaneously with or shortly after this offering.</w:t>
            </w:r>
          </w:p>
        </w:tc>
      </w:tr>
    </w:tbl>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common units to be offered and sold pursuant to this prospectus supplement were acquired by the selling unitholder in connection with its merger with Plains Resources, Inc., which was the owner of our original general partner, and a wholly owned subsidiary of the selling unitholder. </w:t>
      </w:r>
    </w:p>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selling unitholder is neither a U.S. registered broker-dealer nor an affiliate of a U.S. registered broker-dealer.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Material Relationships with the Selling Unitholder</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Sale of our General Partner Interest</w:t>
      </w:r>
      <w:r>
        <w:rPr>
          <w:rFonts w:ascii="Arial;Helvetica" w:hAnsi="Arial;Helvetica"/>
          <w:color w:val="000000"/>
          <w:sz w:val="17"/>
        </w:rPr>
        <w:t xml:space="preserve"> </w:t>
      </w:r>
    </w:p>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December 2010, the selling unitholder sold its 50.1% interest in our general partner. Substantially all of the interest was acquired by existing owners of our general partner or their affiliates. A voting rights agreement previously entered into by the selling unitholder was terminated in connection with this sale. Further, the selling unitholder has agreed that prior to the earlier of December 23, 2015 and the date, if any, of certain changes in our senior-most management, it will not vote any of its limited partner interests in favor of any proposal to remove our general partner.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Natural Gas Storage Investment</w:t>
      </w:r>
      <w:r>
        <w:rPr>
          <w:rFonts w:ascii="Arial;Helvetica" w:hAnsi="Arial;Helvetica"/>
          <w:color w:val="000000"/>
          <w:sz w:val="17"/>
        </w:rPr>
        <w:t xml:space="preserve"> </w:t>
      </w:r>
    </w:p>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September 2005, we and Vulcan Gas Storage LLC (Vulcan Gas Storage), a subsidiary of Vulcan Capital Private Equity I LLC, an entity controlled by Mr. Allen, formed PAA/Vulcan Gas Storage, LLC (PAA/Vulcan) to acquire Energy Center Investments, LLC (now known as PAA Natural Gas Storage, LLC (PNGS)), then an indirect subsidiary of Sempra Energy, for approximately $250 million. We and Vulcan Gas Storage each made an initial cash investment of approximately $113 million and Bluewater Natural Gas Holdings, LLC, a subsidiary of PAA/Vulcan, entered into a $90 million credit facility.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From September 2005 until September 3, 2009, we owned 50% of PAA/Vulcan and Vulcan Gas Storage LLC owned the other 50%. Giving effect to all contributions and distributions made during the period from January 1, 2007 through September 3, 2009, we and Vulcan Gas Storage each made a net contribution of $39 million. Such contributions and distributions did not result in an increase or decrease to our ownership interest.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S-5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On September 3, 2009, one of our subsidiaries acquired the remaining 50% interest in PAA/Vulcan from Vulcan Gas Storage, which resulted in our ownership of a 100% interest in PAA/Vulcan. The purchase price for the transaction consisted of $90 million in cash paid at closing, 1,907,305 common units issued to Vulcan Gas Storage at closing, and up to $40 million of deferred/contingent cash consideration. The deferred/contingent consideration is payable in cash in two installments of $20 million upon achievement of certain performance milestones and other events. The first of these installments was paid in May 2010. At closing of the acquisition, we repaid all of PNGSs outstanding debt.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Designated Directors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Prior to December 23, 2010, the selling unitholder had and exercised the right to designate one director to the board of directors of our general partner. Each director designated by the selling unitholder served during such directors tenure on the compensation committee of the board of directors of our general partner.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Board Observer Rights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For so long as Vulcan, Inc. and its affiliates (Vulcan) hold in excess of 12 million of our common units, the selling unitholder may send an individual (who must be a senior member of Vulcans management) to attend board meetings in an observer capacity. If at any time after December 23, 2015 the number of common units held by Vulcan is less than 5% of our outstanding common units, we have the right to terminate the selling unitholders board observer rights. Effective on June 17, 2011, the selling unitholder waived its board observer rights and since then has been restricted from receiving the information provided to our board of directors. Subject to the continued satisfaction of the ownership requirement, the selling unitholder could exercise its board observer rights in the future. However, this offering will reduce Vulcans ownership below the required ownership threshold, thus terminating the selling unitholders board observer rights.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Board Affiliation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John T. Raymond, a member of the board of directors of our general partner, serves as a director of, and owns approximately 7% of the outstanding equity interests in, the selling unitholder.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Concurrently with or shortly after this offering, we expect that Mr. Raymond will use a portion of the after-tax net proceeds attributable to his interest in the selling unitholder to purchase an additional number of common units in a direct registered transaction with the selling unitholder.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Other Transactions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On October 14, 2005, Plains All American GP LLC (GP LLC) and the selling unitholder entered into an Administrative Services Agreement, effective as of September 1, 2005 (the Services Agreement). Pursuant to the Services Agreement, GP LLC provided administrative services to the selling unitholder for consideration of an annual fee of $1 million, plus certain expenses. The Services Agreement was terminated in December 2010 in connection with the sale by the selling unitholder of its interest in our general partner. However, we agreed to provide transition services and assistance to the selling unitholder until June 2011 for consideration of a $1 million fee.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In 2001, in connection with the transfer of interests in our general partner, the selling unitholder (as successor in interest to the owner of our former general partner) agreed to indemnify us for (i) any claims relating to securities laws or regulations in connection with the upstream or midstream businesses, based on acts or omissions, or alleged acts or omissions, occurring on or prior to June 8, 2001, or (ii) any claims relating to the operation of the upstream business, whenever arising. In addition, we agreed to indemnify the selling unitholder for any claims relating to the operation of the midstream business, whenever arising.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S-6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360" w:after="283"/>
        <w:rPr/>
      </w:pPr>
      <w:bookmarkStart w:id="13" w:name="H84049127"/>
      <w:bookmarkEnd w:id="13"/>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MATERIAL U.S. FEDERAL INCOME TAX CONSEQUENCES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tax consequences to you of an investment in our common units will depend in part on your own tax circumstances. For a discussion of the material U.S. federal income tax consequences associated with our operations and the purchase, ownership and disposition of our common units, please read Material Income Tax Considerations in the accompanying prospectus, as updated and supplemented by the discussion included herein. You are urged to consult with your own tax advisor about the federal, state, local and foreign tax consequences particular to your circumstances.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Tax Consequences of Unit Ownership</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Ratio of Taxable Income to Distributions.</w:t>
      </w:r>
      <w:r>
        <w:rPr>
          <w:rFonts w:ascii="Times New Roman;Times" w:hAnsi="Times New Roman;Times"/>
          <w:color w:val="000000"/>
          <w:sz w:val="17"/>
        </w:rPr>
        <w:t xml:space="preserve">  We estimate that a purchaser of common units in this offering who holds those common units from the date of closing of this offering through the record date for the period ending December 31, 2013 will be allocated an amount of federal taxable income for that period that will be less than 20% of the cash distributed to the unitholder with respect to that period. Thereafter, we anticipate that the ratio of allocable taxable income to cash distributions to the unitholders will increase. These estimates are based upon the assumption that gross income from operations will approximate the amount required to make the current quarterly distribution on all units and other assumptions with respect to capital expenditures, cash flow, net working capital and anticipated cash distributions. These estimates and assumptions are subject to, among other things, numerous business, economic, regulatory, legislative, competitive and political uncertainties beyond our control. Further, the estimates are based on current tax law and tax reporting positions that we will adopt and with which the Internal Revenue Service could disagree. Accordingly, we cannot assure you that these estimates will prove to be correct. The ratio of taxable income to distributions could be higher or lower than expected, and any differences could be material and could materially affect the value of the common units. For example, the ratio of taxable income to cash distributions to a purchaser of common units in this offering will be higher, and perhaps substantially higher, than our estimate with respect to the period described above if our gross income from operations exceeds the amount required to maintain the current distribution level on all units, yet we only distribute the current distribution amount on all units; or we make a future offering of common units and use the proceeds of the offering in a manner that does not produce substantial additional deductions during the period described above, such as to repay indebtedness outstanding at the time of this offering or to acquire property that is not eligible for depreciation or amortization for federal income tax purposes or that is depreciable or amortizable at a rate significantly slower than the rate applicable to our assets at the time of this offering.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addition, our interest in PNG and our other operations are generally required to be treated as separate activities for purposes of applying the passive loss limitations. Income from one activity may not be offset with losses from the other activity. This inability to treat our interest in PNG and our other operations as a single activity could result in a higher than expected ratio of taxable income to distributions.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Tax Rates.</w:t>
      </w:r>
      <w:r>
        <w:rPr>
          <w:rFonts w:ascii="Times New Roman;Times" w:hAnsi="Times New Roman;Times"/>
          <w:color w:val="000000"/>
          <w:sz w:val="17"/>
        </w:rPr>
        <w:t xml:space="preserve">  Under current law, the highest marginal federal income tax rate applicable to ordinary income of individuals is 35% and the highest marginal federal income tax rate applicable to long-term capital gains (generally, capital gains on certain assets held for more than 12 months) of individuals is 15%. However, absent new legislation extending the current rates, beginning January 1, 2013, the highest marginal federal income tax rate applicable to ordinary income and long-term capital gains of individuals will increase to 39.6% and 20%, respectively. Moreover, these rates are subject to change by new legislation at any time.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A 3.8% Medicare tax on certain investment income earned by individuals, estates, and trusts is scheduled to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(in any other case). In the case of an estate or trust, the tax will be imposed on the lesser of (i) undistributed net investment income, or (ii) the excess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S-7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adjusted gross income over the dollar amount at which the highest income tax bracket applicable to an estate or trust begins.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Tax-Exempt Organizations and Other Investors.</w:t>
      </w:r>
      <w:r>
        <w:rPr>
          <w:rFonts w:ascii="Times New Roman;Times" w:hAnsi="Times New Roman;Times"/>
          <w:color w:val="000000"/>
          <w:sz w:val="17"/>
        </w:rPr>
        <w:t xml:space="preserve">  Ownership of common units by tax-exempt entities and non-U.S. investors raises issues unique to such persons. Tax-exempt entities and non-U.S. investors are encouraged to consult with your own tax advisor about the federal, state, local and foreign tax consequences particular to your circumstances before investing. Please read Material Income Tax Considerations  Tax-Exempt Organizations and Other Investors in the accompanying prospectus.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Administrative Matters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Nominee Reporting.</w:t>
      </w:r>
      <w:r>
        <w:rPr>
          <w:rFonts w:ascii="Times New Roman;Times" w:hAnsi="Times New Roman;Times"/>
          <w:color w:val="000000"/>
          <w:sz w:val="17"/>
        </w:rPr>
        <w:t xml:space="preserve">  Persons who hold an interest in us as a nominee for another person are required to furnish to us: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the name, address and taxpayer identification number of the beneficial owner and the nominee;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(b) a statement regarding whether the beneficial owner is: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 a person that is not a U.S. person;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ii. a foreign government, an international organization or any wholly-owned agency or instrumentality of either of the foregoing; or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iii. a tax-exempt entity;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(c) the amount and description of common units held, acquired or transferred for the beneficial owner; and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(d) specific information including the dates of acquisitions and transfers, means of acquisitions and transfers, and acquisition cost for purchases, as well as the amount of net proceeds from sales.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Brokers and financial institutions are required to furnish additional information, including whether they are U.S. persons and specific information on common units they acquire, hold or transfer for their own account. A penalty of $100 per failure, up to a maximum of $1,500,000 per calendar year, is imposed by the Internal Revenue Code of 1986, as amended, for failure to report that information to us. The nominee is required to supply the beneficial owner of the common units with the information furnished by us.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S-8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360" w:after="283"/>
        <w:rPr/>
      </w:pPr>
      <w:bookmarkStart w:id="14" w:name="H84049128"/>
      <w:bookmarkEnd w:id="14"/>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UNDERWRITING</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Citigroup Global Markets Inc., Barclays Capital Inc., Merrill Lynch, Pierce, Fenner &amp; Smith Incorporated, J.P. Morgan Securities LLC and UBS Securities LLC are acting as joint book-running managers of the underwritten offering and representatives of the underwriters named below. Subject to the terms and conditions stated in the underwriting agreement dated the date of this prospectus supplement, each underwriter named below has agreed to purchase from the selling unitholder, and the selling unitholder has agreed to sell to that underwriter, the number of common units set forth opposite the underwriters name.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8455"/>
        <w:gridCol w:w="205"/>
        <w:gridCol w:w="278"/>
        <w:gridCol w:w="683"/>
        <w:gridCol w:w="584"/>
      </w:tblGrid>
      <w:tr>
        <w:trPr/>
        <w:tc>
          <w:tcPr>
            <w:tcW w:w="84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right"/>
              <w:rPr/>
            </w:pPr>
            <w:r>
              <w:rPr/>
              <w:t> </w:t>
            </w:r>
          </w:p>
        </w:tc>
        <w:tc>
          <w:tcPr>
            <w:tcW w:w="683" w:type="dxa"/>
            <w:tcBorders/>
            <w:shd w:fill="auto" w:val="clear"/>
            <w:vAlign w:val="bottom"/>
          </w:tcPr>
          <w:p>
            <w:pPr>
              <w:pStyle w:val="TableContents"/>
              <w:spacing w:before="0" w:after="283"/>
              <w:jc w:val="right"/>
              <w:rPr/>
            </w:pPr>
            <w:r>
              <w:rPr/>
              <w:t> </w:t>
            </w:r>
          </w:p>
        </w:tc>
        <w:tc>
          <w:tcPr>
            <w:tcW w:w="584" w:type="dxa"/>
            <w:tcBorders/>
            <w:shd w:fill="auto" w:val="clear"/>
            <w:vAlign w:val="bottom"/>
          </w:tcPr>
          <w:p>
            <w:pPr>
              <w:pStyle w:val="TableContents"/>
              <w:spacing w:before="0" w:after="283"/>
              <w:jc w:val="left"/>
              <w:rPr/>
            </w:pPr>
            <w:r>
              <w:rPr/>
              <w:t> </w:t>
            </w:r>
          </w:p>
        </w:tc>
      </w:tr>
      <w:tr>
        <w:trPr/>
        <w:tc>
          <w:tcPr>
            <w:tcW w:w="8455" w:type="dxa"/>
            <w:tcBorders/>
            <w:shd w:fill="auto" w:val="clear"/>
            <w:vAlign w:val="bottom"/>
          </w:tcPr>
          <w:p>
            <w:pPr>
              <w:pStyle w:val="TableContents"/>
              <w:spacing w:before="0" w:after="283"/>
              <w:jc w:val="left"/>
              <w:rPr/>
            </w:pPr>
            <w:r>
              <w:rPr/>
              <w:t xml:space="preserve">  </w:t>
            </w:r>
          </w:p>
        </w:tc>
        <w:tc>
          <w:tcPr>
            <w:tcW w:w="205" w:type="dxa"/>
            <w:tcBorders/>
            <w:shd w:fill="auto" w:val="clear"/>
            <w:vAlign w:val="bottom"/>
          </w:tcPr>
          <w:p>
            <w:pPr>
              <w:pStyle w:val="TableContents"/>
              <w:spacing w:before="0" w:after="283"/>
              <w:jc w:val="center"/>
              <w:rPr/>
            </w:pPr>
            <w:r>
              <w:rPr/>
              <w:t xml:space="preserve">  </w:t>
            </w:r>
          </w:p>
        </w:tc>
        <w:tc>
          <w:tcPr>
            <w:tcW w:w="1545" w:type="dxa"/>
            <w:gridSpan w:val="3"/>
            <w:tcBorders/>
            <w:shd w:fill="auto" w:val="clear"/>
            <w:vAlign w:val="bottom"/>
          </w:tcPr>
          <w:p>
            <w:pPr>
              <w:pStyle w:val="TableContents"/>
              <w:spacing w:before="0" w:after="283"/>
              <w:jc w:val="center"/>
              <w:rPr>
                <w:b/>
              </w:rPr>
            </w:pPr>
            <w:r>
              <w:rPr>
                <w:b/>
              </w:rPr>
              <w:t>Number of</w:t>
            </w:r>
          </w:p>
        </w:tc>
      </w:tr>
      <w:tr>
        <w:trPr/>
        <w:tc>
          <w:tcPr>
            <w:tcW w:w="8455" w:type="dxa"/>
            <w:tcBorders/>
            <w:shd w:fill="auto" w:val="clear"/>
            <w:vAlign w:val="bottom"/>
          </w:tcPr>
          <w:p>
            <w:pPr>
              <w:pStyle w:val="TableContents"/>
              <w:spacing w:before="0" w:after="283"/>
              <w:jc w:val="left"/>
              <w:rPr/>
            </w:pPr>
            <w:r>
              <w:rPr/>
              <w:t xml:space="preserve">  </w:t>
            </w:r>
          </w:p>
        </w:tc>
        <w:tc>
          <w:tcPr>
            <w:tcW w:w="205" w:type="dxa"/>
            <w:tcBorders/>
            <w:shd w:fill="auto" w:val="clear"/>
            <w:vAlign w:val="bottom"/>
          </w:tcPr>
          <w:p>
            <w:pPr>
              <w:pStyle w:val="TableContents"/>
              <w:spacing w:before="0" w:after="283"/>
              <w:jc w:val="center"/>
              <w:rPr/>
            </w:pPr>
            <w:r>
              <w:rPr/>
              <w:t xml:space="preserve">  </w:t>
            </w:r>
          </w:p>
        </w:tc>
        <w:tc>
          <w:tcPr>
            <w:tcW w:w="1545" w:type="dxa"/>
            <w:gridSpan w:val="3"/>
            <w:tcBorders/>
            <w:shd w:fill="auto" w:val="clear"/>
            <w:vAlign w:val="bottom"/>
          </w:tcPr>
          <w:p>
            <w:pPr>
              <w:pStyle w:val="TableContents"/>
              <w:spacing w:before="0" w:after="283"/>
              <w:jc w:val="center"/>
              <w:rPr>
                <w:b/>
              </w:rPr>
            </w:pPr>
            <w:r>
              <w:rPr>
                <w:b/>
              </w:rPr>
              <w:t>Common</w:t>
            </w:r>
          </w:p>
        </w:tc>
      </w:tr>
      <w:tr>
        <w:trPr/>
        <w:tc>
          <w:tcPr>
            <w:tcW w:w="8455" w:type="dxa"/>
            <w:tcBorders/>
            <w:shd w:fill="auto" w:val="clear"/>
            <w:vAlign w:val="bottom"/>
          </w:tcPr>
          <w:p>
            <w:pPr>
              <w:pStyle w:val="TableContents"/>
              <w:spacing w:before="0" w:after="0"/>
              <w:jc w:val="left"/>
              <w:rPr>
                <w:bdr w:val="single" w:sz="2" w:space="1" w:color="000000"/>
              </w:rPr>
            </w:pPr>
            <w:r>
              <w:rPr>
                <w:b/>
                <w:bdr w:val="single" w:sz="2" w:space="1" w:color="000000"/>
              </w:rPr>
              <w:t>Underwriter</w:t>
            </w:r>
            <w:r>
              <w:rPr>
                <w:bdr w:val="single" w:sz="2" w:space="1" w:color="000000"/>
              </w:rPr>
              <w:t xml:space="preserve"> </w:t>
            </w:r>
          </w:p>
        </w:tc>
        <w:tc>
          <w:tcPr>
            <w:tcW w:w="205" w:type="dxa"/>
            <w:tcBorders/>
            <w:shd w:fill="auto" w:val="clear"/>
            <w:vAlign w:val="bottom"/>
          </w:tcPr>
          <w:p>
            <w:pPr>
              <w:pStyle w:val="TableContents"/>
              <w:spacing w:before="0" w:after="283"/>
              <w:jc w:val="center"/>
              <w:rPr/>
            </w:pPr>
            <w:r>
              <w:rPr/>
              <w:t xml:space="preserve">  </w:t>
            </w:r>
          </w:p>
        </w:tc>
        <w:tc>
          <w:tcPr>
            <w:tcW w:w="1545"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Units</w:t>
            </w:r>
            <w:r>
              <w:rPr/>
              <w:t xml:space="preserve"> </w:t>
            </w:r>
          </w:p>
        </w:tc>
      </w:tr>
      <w:tr>
        <w:trPr/>
        <w:tc>
          <w:tcPr>
            <w:tcW w:w="8455" w:type="dxa"/>
            <w:tcBorders/>
            <w:shd w:fill="auto" w:val="clear"/>
            <w:vAlign w:val="center"/>
          </w:tcPr>
          <w:p>
            <w:pPr>
              <w:pStyle w:val="TableContents"/>
              <w:spacing w:before="0" w:after="283"/>
              <w:rPr/>
            </w:pPr>
            <w:r>
              <w:rPr/>
              <w:t xml:space="preserve">  </w:t>
            </w:r>
          </w:p>
        </w:tc>
        <w:tc>
          <w:tcPr>
            <w:tcW w:w="1750" w:type="dxa"/>
            <w:gridSpan w:val="4"/>
            <w:tcBorders/>
            <w:shd w:fill="auto" w:val="clear"/>
          </w:tcPr>
          <w:p>
            <w:pPr>
              <w:pStyle w:val="TableContents"/>
              <w:spacing w:before="0" w:after="283"/>
              <w:rPr>
                <w:sz w:val="4"/>
                <w:szCs w:val="4"/>
              </w:rPr>
            </w:pPr>
            <w:r>
              <w:rPr>
                <w:sz w:val="4"/>
                <w:szCs w:val="4"/>
              </w:rPr>
            </w:r>
          </w:p>
        </w:tc>
      </w:tr>
      <w:tr>
        <w:trPr/>
        <w:tc>
          <w:tcPr>
            <w:tcW w:w="8455" w:type="dxa"/>
            <w:tcBorders/>
            <w:shd w:fill="CCEEFF" w:val="clear"/>
          </w:tcPr>
          <w:p>
            <w:pPr>
              <w:pStyle w:val="TableContents"/>
              <w:spacing w:before="0" w:after="0"/>
              <w:ind w:left="200" w:right="0" w:hanging="200"/>
              <w:jc w:val="left"/>
              <w:rPr/>
            </w:pPr>
            <w:r>
              <w:rPr/>
              <w:t xml:space="preserve">Citigroup Global Markets Inc.  </w:t>
            </w:r>
          </w:p>
        </w:tc>
        <w:tc>
          <w:tcPr>
            <w:tcW w:w="205" w:type="dxa"/>
            <w:tcBorders/>
            <w:shd w:fill="CCEEFF" w:val="clear"/>
            <w:vAlign w:val="bottom"/>
          </w:tcPr>
          <w:p>
            <w:pPr>
              <w:pStyle w:val="TableContents"/>
              <w:spacing w:before="0" w:after="283"/>
              <w:rPr/>
            </w:pPr>
            <w:r>
              <w:rPr/>
              <w:t xml:space="preserve">  </w:t>
            </w:r>
          </w:p>
        </w:tc>
        <w:tc>
          <w:tcPr>
            <w:tcW w:w="278" w:type="dxa"/>
            <w:tcBorders/>
            <w:shd w:fill="CCEEFF" w:val="clear"/>
          </w:tcPr>
          <w:p>
            <w:pPr>
              <w:pStyle w:val="TableContents"/>
              <w:spacing w:before="0" w:after="283"/>
              <w:jc w:val="right"/>
              <w:rPr/>
            </w:pPr>
            <w:r>
              <w:rPr/>
              <w:t xml:space="preserve">  </w:t>
            </w:r>
          </w:p>
        </w:tc>
        <w:tc>
          <w:tcPr>
            <w:tcW w:w="683" w:type="dxa"/>
            <w:tcBorders/>
            <w:shd w:fill="CCEEFF" w:val="clear"/>
          </w:tcPr>
          <w:p>
            <w:pPr>
              <w:pStyle w:val="TableContents"/>
              <w:spacing w:before="0" w:after="283"/>
              <w:jc w:val="right"/>
              <w:rPr/>
            </w:pPr>
            <w:r>
              <w:rPr/>
              <w:t xml:space="preserve">   </w:t>
            </w:r>
          </w:p>
        </w:tc>
        <w:tc>
          <w:tcPr>
            <w:tcW w:w="584" w:type="dxa"/>
            <w:tcBorders/>
            <w:shd w:fill="CCEEFF" w:val="clear"/>
          </w:tcPr>
          <w:p>
            <w:pPr>
              <w:pStyle w:val="TableContents"/>
              <w:spacing w:before="0" w:after="283"/>
              <w:jc w:val="left"/>
              <w:rPr/>
            </w:pPr>
            <w:r>
              <w:rPr/>
              <w:t xml:space="preserve">  </w:t>
            </w:r>
          </w:p>
        </w:tc>
      </w:tr>
      <w:tr>
        <w:trPr/>
        <w:tc>
          <w:tcPr>
            <w:tcW w:w="8455" w:type="dxa"/>
            <w:tcBorders/>
            <w:shd w:fill="auto" w:val="clear"/>
          </w:tcPr>
          <w:p>
            <w:pPr>
              <w:pStyle w:val="TableContents"/>
              <w:spacing w:before="0" w:after="0"/>
              <w:ind w:left="200" w:right="0" w:hanging="200"/>
              <w:jc w:val="left"/>
              <w:rPr/>
            </w:pPr>
            <w:r>
              <w:rPr/>
              <w:t xml:space="preserve">Barclays Capital Inc.  </w:t>
            </w:r>
          </w:p>
        </w:tc>
        <w:tc>
          <w:tcPr>
            <w:tcW w:w="205" w:type="dxa"/>
            <w:tcBorders/>
            <w:shd w:fill="auto" w:val="clear"/>
            <w:vAlign w:val="bottom"/>
          </w:tcPr>
          <w:p>
            <w:pPr>
              <w:pStyle w:val="TableContents"/>
              <w:spacing w:before="0" w:after="283"/>
              <w:rPr/>
            </w:pPr>
            <w:r>
              <w:rPr/>
              <w:t xml:space="preserve">  </w:t>
            </w:r>
          </w:p>
        </w:tc>
        <w:tc>
          <w:tcPr>
            <w:tcW w:w="278" w:type="dxa"/>
            <w:tcBorders/>
            <w:shd w:fill="auto" w:val="clear"/>
          </w:tcPr>
          <w:p>
            <w:pPr>
              <w:pStyle w:val="TableContents"/>
              <w:spacing w:before="0" w:after="283"/>
              <w:jc w:val="right"/>
              <w:rPr/>
            </w:pPr>
            <w:r>
              <w:rPr/>
              <w:t xml:space="preserve">  </w:t>
            </w:r>
          </w:p>
        </w:tc>
        <w:tc>
          <w:tcPr>
            <w:tcW w:w="683" w:type="dxa"/>
            <w:tcBorders/>
            <w:shd w:fill="auto" w:val="clear"/>
          </w:tcPr>
          <w:p>
            <w:pPr>
              <w:pStyle w:val="TableContents"/>
              <w:spacing w:before="0" w:after="283"/>
              <w:jc w:val="right"/>
              <w:rPr/>
            </w:pPr>
            <w:r>
              <w:rPr/>
              <w:t xml:space="preserve">  </w:t>
            </w:r>
          </w:p>
        </w:tc>
        <w:tc>
          <w:tcPr>
            <w:tcW w:w="584" w:type="dxa"/>
            <w:tcBorders/>
            <w:shd w:fill="auto" w:val="clear"/>
          </w:tcPr>
          <w:p>
            <w:pPr>
              <w:pStyle w:val="TableContents"/>
              <w:spacing w:before="0" w:after="283"/>
              <w:jc w:val="left"/>
              <w:rPr/>
            </w:pPr>
            <w:r>
              <w:rPr/>
              <w:t xml:space="preserve">  </w:t>
            </w:r>
          </w:p>
        </w:tc>
      </w:tr>
      <w:tr>
        <w:trPr/>
        <w:tc>
          <w:tcPr>
            <w:tcW w:w="8455" w:type="dxa"/>
            <w:tcBorders/>
            <w:shd w:fill="CCEEFF" w:val="clear"/>
          </w:tcPr>
          <w:p>
            <w:pPr>
              <w:pStyle w:val="TableContents"/>
              <w:spacing w:before="0" w:after="0"/>
              <w:ind w:left="1020" w:right="0" w:hanging="1020"/>
              <w:jc w:val="left"/>
              <w:rPr/>
            </w:pPr>
            <w:r>
              <w:rPr/>
              <w:t>Merrill Lynch, Pierce, Fenner &amp; Smith</w:t>
              <w:br/>
              <w:t xml:space="preserve">Incorporated </w:t>
            </w:r>
          </w:p>
        </w:tc>
        <w:tc>
          <w:tcPr>
            <w:tcW w:w="205" w:type="dxa"/>
            <w:tcBorders/>
            <w:shd w:fill="CCEEFF" w:val="clear"/>
            <w:vAlign w:val="bottom"/>
          </w:tcPr>
          <w:p>
            <w:pPr>
              <w:pStyle w:val="TableContents"/>
              <w:spacing w:before="0" w:after="283"/>
              <w:rPr/>
            </w:pPr>
            <w:r>
              <w:rPr/>
              <w:t xml:space="preserve">  </w:t>
            </w:r>
          </w:p>
        </w:tc>
        <w:tc>
          <w:tcPr>
            <w:tcW w:w="278" w:type="dxa"/>
            <w:tcBorders/>
            <w:shd w:fill="CCEEFF" w:val="clear"/>
          </w:tcPr>
          <w:p>
            <w:pPr>
              <w:pStyle w:val="TableContents"/>
              <w:spacing w:before="0" w:after="283"/>
              <w:jc w:val="right"/>
              <w:rPr/>
            </w:pPr>
            <w:r>
              <w:rPr/>
              <w:t xml:space="preserve">  </w:t>
            </w:r>
          </w:p>
        </w:tc>
        <w:tc>
          <w:tcPr>
            <w:tcW w:w="683" w:type="dxa"/>
            <w:tcBorders/>
            <w:shd w:fill="CCEEFF" w:val="clear"/>
          </w:tcPr>
          <w:p>
            <w:pPr>
              <w:pStyle w:val="TableContents"/>
              <w:spacing w:before="0" w:after="283"/>
              <w:jc w:val="right"/>
              <w:rPr/>
            </w:pPr>
            <w:r>
              <w:rPr/>
              <w:t xml:space="preserve">  </w:t>
            </w:r>
          </w:p>
        </w:tc>
        <w:tc>
          <w:tcPr>
            <w:tcW w:w="584" w:type="dxa"/>
            <w:tcBorders/>
            <w:shd w:fill="CCEEFF" w:val="clear"/>
          </w:tcPr>
          <w:p>
            <w:pPr>
              <w:pStyle w:val="TableContents"/>
              <w:spacing w:before="0" w:after="283"/>
              <w:jc w:val="left"/>
              <w:rPr/>
            </w:pPr>
            <w:r>
              <w:rPr/>
              <w:t xml:space="preserve">  </w:t>
            </w:r>
          </w:p>
        </w:tc>
      </w:tr>
      <w:tr>
        <w:trPr/>
        <w:tc>
          <w:tcPr>
            <w:tcW w:w="8455" w:type="dxa"/>
            <w:tcBorders/>
            <w:shd w:fill="auto" w:val="clear"/>
          </w:tcPr>
          <w:p>
            <w:pPr>
              <w:pStyle w:val="TableContents"/>
              <w:spacing w:before="0" w:after="0"/>
              <w:ind w:left="200" w:right="0" w:hanging="200"/>
              <w:jc w:val="left"/>
              <w:rPr/>
            </w:pPr>
            <w:r>
              <w:rPr/>
              <w:t xml:space="preserve">J.P. Morgan Securities LLC </w:t>
            </w:r>
          </w:p>
        </w:tc>
        <w:tc>
          <w:tcPr>
            <w:tcW w:w="205" w:type="dxa"/>
            <w:tcBorders/>
            <w:shd w:fill="auto" w:val="clear"/>
            <w:vAlign w:val="bottom"/>
          </w:tcPr>
          <w:p>
            <w:pPr>
              <w:pStyle w:val="TableContents"/>
              <w:spacing w:before="0" w:after="283"/>
              <w:rPr/>
            </w:pPr>
            <w:r>
              <w:rPr/>
              <w:t xml:space="preserve">  </w:t>
            </w:r>
          </w:p>
        </w:tc>
        <w:tc>
          <w:tcPr>
            <w:tcW w:w="278" w:type="dxa"/>
            <w:tcBorders/>
            <w:shd w:fill="auto" w:val="clear"/>
          </w:tcPr>
          <w:p>
            <w:pPr>
              <w:pStyle w:val="TableContents"/>
              <w:spacing w:before="0" w:after="283"/>
              <w:jc w:val="right"/>
              <w:rPr/>
            </w:pPr>
            <w:r>
              <w:rPr/>
              <w:t xml:space="preserve">  </w:t>
            </w:r>
          </w:p>
        </w:tc>
        <w:tc>
          <w:tcPr>
            <w:tcW w:w="683" w:type="dxa"/>
            <w:tcBorders/>
            <w:shd w:fill="auto" w:val="clear"/>
          </w:tcPr>
          <w:p>
            <w:pPr>
              <w:pStyle w:val="TableContents"/>
              <w:spacing w:before="0" w:after="283"/>
              <w:jc w:val="right"/>
              <w:rPr/>
            </w:pPr>
            <w:r>
              <w:rPr/>
              <w:t xml:space="preserve">  </w:t>
            </w:r>
          </w:p>
        </w:tc>
        <w:tc>
          <w:tcPr>
            <w:tcW w:w="584" w:type="dxa"/>
            <w:tcBorders/>
            <w:shd w:fill="auto" w:val="clear"/>
          </w:tcPr>
          <w:p>
            <w:pPr>
              <w:pStyle w:val="TableContents"/>
              <w:spacing w:before="0" w:after="283"/>
              <w:jc w:val="left"/>
              <w:rPr/>
            </w:pPr>
            <w:r>
              <w:rPr/>
              <w:t xml:space="preserve">  </w:t>
            </w:r>
          </w:p>
        </w:tc>
      </w:tr>
      <w:tr>
        <w:trPr/>
        <w:tc>
          <w:tcPr>
            <w:tcW w:w="8455" w:type="dxa"/>
            <w:tcBorders/>
            <w:shd w:fill="CCEEFF" w:val="clear"/>
          </w:tcPr>
          <w:p>
            <w:pPr>
              <w:pStyle w:val="TableContents"/>
              <w:spacing w:before="0" w:after="0"/>
              <w:ind w:left="200" w:right="0" w:hanging="200"/>
              <w:jc w:val="left"/>
              <w:rPr/>
            </w:pPr>
            <w:r>
              <w:rPr/>
              <w:t xml:space="preserve">UBS Securities LLC </w:t>
            </w:r>
          </w:p>
        </w:tc>
        <w:tc>
          <w:tcPr>
            <w:tcW w:w="205" w:type="dxa"/>
            <w:tcBorders/>
            <w:shd w:fill="CCEEFF" w:val="clear"/>
            <w:vAlign w:val="bottom"/>
          </w:tcPr>
          <w:p>
            <w:pPr>
              <w:pStyle w:val="TableContents"/>
              <w:spacing w:before="0" w:after="283"/>
              <w:rPr/>
            </w:pPr>
            <w:r>
              <w:rPr/>
              <w:t xml:space="preserve">  </w:t>
            </w:r>
          </w:p>
        </w:tc>
        <w:tc>
          <w:tcPr>
            <w:tcW w:w="278" w:type="dxa"/>
            <w:tcBorders/>
            <w:shd w:fill="CCEEFF" w:val="clear"/>
          </w:tcPr>
          <w:p>
            <w:pPr>
              <w:pStyle w:val="TableContents"/>
              <w:spacing w:before="0" w:after="283"/>
              <w:jc w:val="right"/>
              <w:rPr/>
            </w:pPr>
            <w:r>
              <w:rPr/>
              <w:t xml:space="preserve">  </w:t>
            </w:r>
          </w:p>
        </w:tc>
        <w:tc>
          <w:tcPr>
            <w:tcW w:w="683" w:type="dxa"/>
            <w:tcBorders/>
            <w:shd w:fill="CCEEFF" w:val="clear"/>
          </w:tcPr>
          <w:p>
            <w:pPr>
              <w:pStyle w:val="TableContents"/>
              <w:spacing w:before="0" w:after="283"/>
              <w:jc w:val="right"/>
              <w:rPr/>
            </w:pPr>
            <w:r>
              <w:rPr/>
              <w:t xml:space="preserve">  </w:t>
            </w:r>
          </w:p>
        </w:tc>
        <w:tc>
          <w:tcPr>
            <w:tcW w:w="584" w:type="dxa"/>
            <w:tcBorders/>
            <w:shd w:fill="CCEEFF" w:val="clear"/>
          </w:tcPr>
          <w:p>
            <w:pPr>
              <w:pStyle w:val="TableContents"/>
              <w:spacing w:before="0" w:after="283"/>
              <w:jc w:val="left"/>
              <w:rPr/>
            </w:pPr>
            <w:r>
              <w:rPr/>
              <w:t xml:space="preserve">  </w:t>
            </w:r>
          </w:p>
        </w:tc>
      </w:tr>
      <w:tr>
        <w:trPr/>
        <w:tc>
          <w:tcPr>
            <w:tcW w:w="8455" w:type="dxa"/>
            <w:tcBorders/>
            <w:shd w:fill="auto" w:val="clear"/>
          </w:tcPr>
          <w:p>
            <w:pPr>
              <w:pStyle w:val="TableContents"/>
              <w:spacing w:before="0" w:after="0"/>
              <w:ind w:left="200" w:right="0" w:hanging="200"/>
              <w:jc w:val="left"/>
              <w:rPr/>
            </w:pPr>
            <w:r>
              <w:rPr/>
              <w:t xml:space="preserve">Raymond James &amp; Associates, Inc.  </w:t>
            </w:r>
          </w:p>
        </w:tc>
        <w:tc>
          <w:tcPr>
            <w:tcW w:w="205" w:type="dxa"/>
            <w:tcBorders/>
            <w:shd w:fill="auto" w:val="clear"/>
            <w:vAlign w:val="bottom"/>
          </w:tcPr>
          <w:p>
            <w:pPr>
              <w:pStyle w:val="TableContents"/>
              <w:spacing w:before="0" w:after="283"/>
              <w:rPr/>
            </w:pPr>
            <w:r>
              <w:rPr/>
              <w:t xml:space="preserve">  </w:t>
            </w:r>
          </w:p>
        </w:tc>
        <w:tc>
          <w:tcPr>
            <w:tcW w:w="278" w:type="dxa"/>
            <w:tcBorders/>
            <w:shd w:fill="auto" w:val="clear"/>
          </w:tcPr>
          <w:p>
            <w:pPr>
              <w:pStyle w:val="TableContents"/>
              <w:spacing w:before="0" w:after="283"/>
              <w:jc w:val="right"/>
              <w:rPr/>
            </w:pPr>
            <w:r>
              <w:rPr/>
              <w:t xml:space="preserve">  </w:t>
            </w:r>
          </w:p>
        </w:tc>
        <w:tc>
          <w:tcPr>
            <w:tcW w:w="683" w:type="dxa"/>
            <w:tcBorders/>
            <w:shd w:fill="auto" w:val="clear"/>
          </w:tcPr>
          <w:p>
            <w:pPr>
              <w:pStyle w:val="TableContents"/>
              <w:spacing w:before="0" w:after="283"/>
              <w:jc w:val="right"/>
              <w:rPr/>
            </w:pPr>
            <w:r>
              <w:rPr/>
              <w:t xml:space="preserve">  </w:t>
            </w:r>
          </w:p>
        </w:tc>
        <w:tc>
          <w:tcPr>
            <w:tcW w:w="584" w:type="dxa"/>
            <w:tcBorders/>
            <w:shd w:fill="auto" w:val="clear"/>
          </w:tcPr>
          <w:p>
            <w:pPr>
              <w:pStyle w:val="TableContents"/>
              <w:spacing w:before="0" w:after="283"/>
              <w:jc w:val="left"/>
              <w:rPr/>
            </w:pPr>
            <w:r>
              <w:rPr/>
              <w:t xml:space="preserve">  </w:t>
            </w:r>
          </w:p>
        </w:tc>
      </w:tr>
      <w:tr>
        <w:trPr/>
        <w:tc>
          <w:tcPr>
            <w:tcW w:w="8455" w:type="dxa"/>
            <w:tcBorders/>
            <w:shd w:fill="CCEEFF" w:val="clear"/>
          </w:tcPr>
          <w:p>
            <w:pPr>
              <w:pStyle w:val="TableContents"/>
              <w:spacing w:before="0" w:after="0"/>
              <w:ind w:left="200" w:right="0" w:hanging="200"/>
              <w:jc w:val="left"/>
              <w:rPr/>
            </w:pPr>
            <w:r>
              <w:rPr/>
              <w:t xml:space="preserve">RBC Capital Markets LLC </w:t>
            </w:r>
          </w:p>
        </w:tc>
        <w:tc>
          <w:tcPr>
            <w:tcW w:w="205" w:type="dxa"/>
            <w:tcBorders/>
            <w:shd w:fill="CCEEFF" w:val="clear"/>
            <w:vAlign w:val="bottom"/>
          </w:tcPr>
          <w:p>
            <w:pPr>
              <w:pStyle w:val="TableContents"/>
              <w:spacing w:before="0" w:after="283"/>
              <w:rPr/>
            </w:pPr>
            <w:r>
              <w:rPr/>
              <w:t xml:space="preserve">  </w:t>
            </w:r>
          </w:p>
        </w:tc>
        <w:tc>
          <w:tcPr>
            <w:tcW w:w="278" w:type="dxa"/>
            <w:tcBorders/>
            <w:shd w:fill="CCEEFF" w:val="clear"/>
          </w:tcPr>
          <w:p>
            <w:pPr>
              <w:pStyle w:val="TableContents"/>
              <w:spacing w:before="0" w:after="283"/>
              <w:jc w:val="right"/>
              <w:rPr/>
            </w:pPr>
            <w:r>
              <w:rPr/>
              <w:t xml:space="preserve">  </w:t>
            </w:r>
          </w:p>
        </w:tc>
        <w:tc>
          <w:tcPr>
            <w:tcW w:w="683" w:type="dxa"/>
            <w:tcBorders/>
            <w:shd w:fill="CCEEFF" w:val="clear"/>
          </w:tcPr>
          <w:p>
            <w:pPr>
              <w:pStyle w:val="TableContents"/>
              <w:spacing w:before="0" w:after="283"/>
              <w:jc w:val="right"/>
              <w:rPr/>
            </w:pPr>
            <w:r>
              <w:rPr/>
              <w:t xml:space="preserve">  </w:t>
            </w:r>
          </w:p>
        </w:tc>
        <w:tc>
          <w:tcPr>
            <w:tcW w:w="584" w:type="dxa"/>
            <w:tcBorders/>
            <w:shd w:fill="CCEEFF" w:val="clear"/>
          </w:tcPr>
          <w:p>
            <w:pPr>
              <w:pStyle w:val="TableContents"/>
              <w:spacing w:before="0" w:after="283"/>
              <w:jc w:val="left"/>
              <w:rPr/>
            </w:pPr>
            <w:r>
              <w:rPr/>
              <w:t xml:space="preserve">  </w:t>
            </w:r>
          </w:p>
        </w:tc>
      </w:tr>
      <w:tr>
        <w:trPr/>
        <w:tc>
          <w:tcPr>
            <w:tcW w:w="8455" w:type="dxa"/>
            <w:tcBorders/>
            <w:shd w:fill="auto" w:val="clear"/>
          </w:tcPr>
          <w:p>
            <w:pPr>
              <w:pStyle w:val="TableContents"/>
              <w:spacing w:before="0" w:after="0"/>
              <w:ind w:left="200" w:right="0" w:hanging="200"/>
              <w:jc w:val="left"/>
              <w:rPr/>
            </w:pPr>
            <w:r>
              <w:rPr/>
              <w:t xml:space="preserve">Sanders Morris Harris Inc. </w:t>
            </w:r>
          </w:p>
        </w:tc>
        <w:tc>
          <w:tcPr>
            <w:tcW w:w="205" w:type="dxa"/>
            <w:tcBorders/>
            <w:shd w:fill="auto" w:val="clear"/>
            <w:vAlign w:val="bottom"/>
          </w:tcPr>
          <w:p>
            <w:pPr>
              <w:pStyle w:val="TableContents"/>
              <w:spacing w:before="0" w:after="283"/>
              <w:rPr/>
            </w:pPr>
            <w:r>
              <w:rPr/>
              <w:t xml:space="preserve">  </w:t>
            </w:r>
          </w:p>
        </w:tc>
        <w:tc>
          <w:tcPr>
            <w:tcW w:w="278" w:type="dxa"/>
            <w:tcBorders/>
            <w:shd w:fill="auto" w:val="clear"/>
          </w:tcPr>
          <w:p>
            <w:pPr>
              <w:pStyle w:val="TableContents"/>
              <w:spacing w:before="0" w:after="283"/>
              <w:jc w:val="right"/>
              <w:rPr/>
            </w:pPr>
            <w:r>
              <w:rPr/>
              <w:t xml:space="preserve">  </w:t>
            </w:r>
          </w:p>
        </w:tc>
        <w:tc>
          <w:tcPr>
            <w:tcW w:w="683" w:type="dxa"/>
            <w:tcBorders/>
            <w:shd w:fill="auto" w:val="clear"/>
          </w:tcPr>
          <w:p>
            <w:pPr>
              <w:pStyle w:val="TableContents"/>
              <w:spacing w:before="0" w:after="283"/>
              <w:jc w:val="right"/>
              <w:rPr/>
            </w:pPr>
            <w:r>
              <w:rPr/>
              <w:t xml:space="preserve">  </w:t>
            </w:r>
          </w:p>
        </w:tc>
        <w:tc>
          <w:tcPr>
            <w:tcW w:w="584" w:type="dxa"/>
            <w:tcBorders/>
            <w:shd w:fill="auto" w:val="clear"/>
          </w:tcPr>
          <w:p>
            <w:pPr>
              <w:pStyle w:val="TableContents"/>
              <w:spacing w:before="0" w:after="283"/>
              <w:jc w:val="left"/>
              <w:rPr/>
            </w:pPr>
            <w:r>
              <w:rPr/>
              <w:t xml:space="preserve">  </w:t>
            </w:r>
          </w:p>
        </w:tc>
      </w:tr>
      <w:tr>
        <w:trPr/>
        <w:tc>
          <w:tcPr>
            <w:tcW w:w="8455" w:type="dxa"/>
            <w:tcBorders/>
            <w:shd w:fill="CCEEFF" w:val="clear"/>
          </w:tcPr>
          <w:p>
            <w:pPr>
              <w:pStyle w:val="TableContents"/>
              <w:spacing w:before="0" w:after="0"/>
              <w:ind w:left="200" w:right="0" w:hanging="200"/>
              <w:jc w:val="left"/>
              <w:rPr/>
            </w:pPr>
            <w:r>
              <w:rPr/>
              <w:t xml:space="preserve">Tudor, Pickering, Holt &amp; Co. Securities, Inc.  </w:t>
            </w:r>
          </w:p>
        </w:tc>
        <w:tc>
          <w:tcPr>
            <w:tcW w:w="205" w:type="dxa"/>
            <w:tcBorders/>
            <w:shd w:fill="CCEEFF" w:val="clear"/>
            <w:vAlign w:val="bottom"/>
          </w:tcPr>
          <w:p>
            <w:pPr>
              <w:pStyle w:val="TableContents"/>
              <w:spacing w:before="0" w:after="283"/>
              <w:rPr/>
            </w:pPr>
            <w:r>
              <w:rPr/>
              <w:t xml:space="preserve">  </w:t>
            </w:r>
          </w:p>
        </w:tc>
        <w:tc>
          <w:tcPr>
            <w:tcW w:w="278" w:type="dxa"/>
            <w:tcBorders/>
            <w:shd w:fill="CCEEFF" w:val="clear"/>
          </w:tcPr>
          <w:p>
            <w:pPr>
              <w:pStyle w:val="TableContents"/>
              <w:spacing w:before="0" w:after="283"/>
              <w:jc w:val="right"/>
              <w:rPr/>
            </w:pPr>
            <w:r>
              <w:rPr/>
              <w:t xml:space="preserve">  </w:t>
            </w:r>
          </w:p>
        </w:tc>
        <w:tc>
          <w:tcPr>
            <w:tcW w:w="683" w:type="dxa"/>
            <w:tcBorders/>
            <w:shd w:fill="CCEEFF" w:val="clear"/>
          </w:tcPr>
          <w:p>
            <w:pPr>
              <w:pStyle w:val="TableContents"/>
              <w:spacing w:before="0" w:after="283"/>
              <w:jc w:val="right"/>
              <w:rPr/>
            </w:pPr>
            <w:r>
              <w:rPr/>
              <w:t xml:space="preserve">  </w:t>
            </w:r>
          </w:p>
        </w:tc>
        <w:tc>
          <w:tcPr>
            <w:tcW w:w="584" w:type="dxa"/>
            <w:tcBorders/>
            <w:shd w:fill="CCEEFF" w:val="clear"/>
          </w:tcPr>
          <w:p>
            <w:pPr>
              <w:pStyle w:val="TableContents"/>
              <w:spacing w:before="0" w:after="283"/>
              <w:jc w:val="left"/>
              <w:rPr/>
            </w:pPr>
            <w:r>
              <w:rPr/>
              <w:t xml:space="preserve">  </w:t>
            </w:r>
          </w:p>
        </w:tc>
      </w:tr>
      <w:tr>
        <w:trPr/>
        <w:tc>
          <w:tcPr>
            <w:tcW w:w="8455" w:type="dxa"/>
            <w:tcBorders/>
            <w:shd w:fill="auto" w:val="clear"/>
          </w:tcPr>
          <w:p>
            <w:pPr>
              <w:pStyle w:val="TableContents"/>
              <w:spacing w:before="0" w:after="0"/>
              <w:ind w:left="200" w:right="0" w:hanging="200"/>
              <w:jc w:val="left"/>
              <w:rPr/>
            </w:pPr>
            <w:r>
              <w:rPr/>
              <w:t xml:space="preserve">BMO Capital Markets Corp.  </w:t>
            </w:r>
          </w:p>
        </w:tc>
        <w:tc>
          <w:tcPr>
            <w:tcW w:w="205" w:type="dxa"/>
            <w:tcBorders/>
            <w:shd w:fill="auto" w:val="clear"/>
            <w:vAlign w:val="bottom"/>
          </w:tcPr>
          <w:p>
            <w:pPr>
              <w:pStyle w:val="TableContents"/>
              <w:spacing w:before="0" w:after="283"/>
              <w:rPr/>
            </w:pPr>
            <w:r>
              <w:rPr/>
              <w:t xml:space="preserve">  </w:t>
            </w:r>
          </w:p>
        </w:tc>
        <w:tc>
          <w:tcPr>
            <w:tcW w:w="278" w:type="dxa"/>
            <w:tcBorders/>
            <w:shd w:fill="auto" w:val="clear"/>
          </w:tcPr>
          <w:p>
            <w:pPr>
              <w:pStyle w:val="TableContents"/>
              <w:spacing w:before="0" w:after="283"/>
              <w:jc w:val="right"/>
              <w:rPr/>
            </w:pPr>
            <w:r>
              <w:rPr/>
              <w:t xml:space="preserve">  </w:t>
            </w:r>
          </w:p>
        </w:tc>
        <w:tc>
          <w:tcPr>
            <w:tcW w:w="683" w:type="dxa"/>
            <w:tcBorders/>
            <w:shd w:fill="auto" w:val="clear"/>
          </w:tcPr>
          <w:p>
            <w:pPr>
              <w:pStyle w:val="TableContents"/>
              <w:spacing w:before="0" w:after="283"/>
              <w:jc w:val="right"/>
              <w:rPr/>
            </w:pPr>
            <w:r>
              <w:rPr/>
              <w:t xml:space="preserve">  </w:t>
            </w:r>
          </w:p>
        </w:tc>
        <w:tc>
          <w:tcPr>
            <w:tcW w:w="584" w:type="dxa"/>
            <w:tcBorders/>
            <w:shd w:fill="auto" w:val="clear"/>
          </w:tcPr>
          <w:p>
            <w:pPr>
              <w:pStyle w:val="TableContents"/>
              <w:spacing w:before="0" w:after="283"/>
              <w:jc w:val="left"/>
              <w:rPr/>
            </w:pPr>
            <w:r>
              <w:rPr/>
              <w:t xml:space="preserve">  </w:t>
            </w:r>
          </w:p>
        </w:tc>
      </w:tr>
      <w:tr>
        <w:trPr/>
        <w:tc>
          <w:tcPr>
            <w:tcW w:w="8455" w:type="dxa"/>
            <w:tcBorders/>
            <w:shd w:fill="CCEEFF" w:val="clear"/>
          </w:tcPr>
          <w:p>
            <w:pPr>
              <w:pStyle w:val="TableContents"/>
              <w:spacing w:before="0" w:after="0"/>
              <w:ind w:left="200" w:right="0" w:hanging="200"/>
              <w:jc w:val="left"/>
              <w:rPr/>
            </w:pPr>
            <w:r>
              <w:rPr/>
              <w:t xml:space="preserve">Janney Montgomery Scott LLC </w:t>
            </w:r>
          </w:p>
        </w:tc>
        <w:tc>
          <w:tcPr>
            <w:tcW w:w="205" w:type="dxa"/>
            <w:tcBorders/>
            <w:shd w:fill="CCEEFF" w:val="clear"/>
            <w:vAlign w:val="bottom"/>
          </w:tcPr>
          <w:p>
            <w:pPr>
              <w:pStyle w:val="TableContents"/>
              <w:spacing w:before="0" w:after="283"/>
              <w:rPr/>
            </w:pPr>
            <w:r>
              <w:rPr/>
              <w:t xml:space="preserve">  </w:t>
            </w:r>
          </w:p>
        </w:tc>
        <w:tc>
          <w:tcPr>
            <w:tcW w:w="278" w:type="dxa"/>
            <w:tcBorders/>
            <w:shd w:fill="CCEEFF" w:val="clear"/>
          </w:tcPr>
          <w:p>
            <w:pPr>
              <w:pStyle w:val="TableContents"/>
              <w:spacing w:before="0" w:after="283"/>
              <w:jc w:val="right"/>
              <w:rPr/>
            </w:pPr>
            <w:r>
              <w:rPr/>
              <w:t xml:space="preserve">  </w:t>
            </w:r>
          </w:p>
        </w:tc>
        <w:tc>
          <w:tcPr>
            <w:tcW w:w="683" w:type="dxa"/>
            <w:tcBorders/>
            <w:shd w:fill="CCEEFF" w:val="clear"/>
          </w:tcPr>
          <w:p>
            <w:pPr>
              <w:pStyle w:val="TableContents"/>
              <w:spacing w:before="0" w:after="283"/>
              <w:jc w:val="right"/>
              <w:rPr/>
            </w:pPr>
            <w:r>
              <w:rPr/>
              <w:t xml:space="preserve">  </w:t>
            </w:r>
          </w:p>
        </w:tc>
        <w:tc>
          <w:tcPr>
            <w:tcW w:w="584" w:type="dxa"/>
            <w:tcBorders/>
            <w:shd w:fill="CCEEFF" w:val="clear"/>
          </w:tcPr>
          <w:p>
            <w:pPr>
              <w:pStyle w:val="TableContents"/>
              <w:spacing w:before="0" w:after="283"/>
              <w:jc w:val="left"/>
              <w:rPr/>
            </w:pPr>
            <w:r>
              <w:rPr/>
              <w:t xml:space="preserve">  </w:t>
            </w:r>
          </w:p>
        </w:tc>
      </w:tr>
      <w:tr>
        <w:trPr/>
        <w:tc>
          <w:tcPr>
            <w:tcW w:w="8455" w:type="dxa"/>
            <w:tcBorders/>
            <w:shd w:fill="auto" w:val="clear"/>
            <w:vAlign w:val="bottom"/>
          </w:tcPr>
          <w:p>
            <w:pPr>
              <w:pStyle w:val="TableContents"/>
              <w:spacing w:before="0" w:after="283"/>
              <w:rPr/>
            </w:pPr>
            <w:r>
              <w:rPr/>
              <w:t xml:space="preserve">  </w:t>
            </w:r>
          </w:p>
        </w:tc>
        <w:tc>
          <w:tcPr>
            <w:tcW w:w="205" w:type="dxa"/>
            <w:tcBorders/>
            <w:shd w:fill="auto" w:val="clear"/>
            <w:vAlign w:val="bottom"/>
          </w:tcPr>
          <w:p>
            <w:pPr>
              <w:pStyle w:val="TableContents"/>
              <w:spacing w:before="0" w:after="283"/>
              <w:rPr/>
            </w:pPr>
            <w:r>
              <w:rPr/>
              <w:t xml:space="preserve">  </w:t>
            </w:r>
          </w:p>
        </w:tc>
        <w:tc>
          <w:tcPr>
            <w:tcW w:w="278" w:type="dxa"/>
            <w:tcBorders/>
            <w:shd w:fill="auto" w:val="clear"/>
            <w:vAlign w:val="bottom"/>
          </w:tcPr>
          <w:p>
            <w:pPr>
              <w:pStyle w:val="TableContents"/>
              <w:spacing w:before="0" w:after="283"/>
              <w:rPr/>
            </w:pPr>
            <w:r>
              <w:rPr/>
              <w:t xml:space="preserve">  </w:t>
            </w:r>
          </w:p>
        </w:tc>
        <w:tc>
          <w:tcPr>
            <w:tcW w:w="68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584" w:type="dxa"/>
            <w:tcBorders/>
            <w:shd w:fill="auto" w:val="clear"/>
            <w:vAlign w:val="bottom"/>
          </w:tcPr>
          <w:p>
            <w:pPr>
              <w:pStyle w:val="TableContents"/>
              <w:spacing w:before="0" w:after="283"/>
              <w:rPr/>
            </w:pPr>
            <w:r>
              <w:rPr/>
              <w:t xml:space="preserve">  </w:t>
            </w:r>
          </w:p>
        </w:tc>
      </w:tr>
      <w:tr>
        <w:trPr/>
        <w:tc>
          <w:tcPr>
            <w:tcW w:w="8455" w:type="dxa"/>
            <w:tcBorders/>
            <w:shd w:fill="auto" w:val="clear"/>
          </w:tcPr>
          <w:p>
            <w:pPr>
              <w:pStyle w:val="TableContents"/>
              <w:spacing w:before="0" w:after="0"/>
              <w:ind w:left="400" w:right="0" w:hanging="200"/>
              <w:jc w:val="left"/>
              <w:rPr/>
            </w:pPr>
            <w:r>
              <w:rPr/>
              <w:t xml:space="preserve">Total </w:t>
            </w:r>
          </w:p>
        </w:tc>
        <w:tc>
          <w:tcPr>
            <w:tcW w:w="205" w:type="dxa"/>
            <w:tcBorders/>
            <w:shd w:fill="auto" w:val="clear"/>
            <w:vAlign w:val="bottom"/>
          </w:tcPr>
          <w:p>
            <w:pPr>
              <w:pStyle w:val="TableContents"/>
              <w:spacing w:before="0" w:after="283"/>
              <w:rPr/>
            </w:pPr>
            <w:r>
              <w:rPr/>
              <w:t xml:space="preserve">  </w:t>
            </w:r>
          </w:p>
        </w:tc>
        <w:tc>
          <w:tcPr>
            <w:tcW w:w="278" w:type="dxa"/>
            <w:tcBorders/>
            <w:shd w:fill="auto" w:val="clear"/>
          </w:tcPr>
          <w:p>
            <w:pPr>
              <w:pStyle w:val="TableContents"/>
              <w:spacing w:before="0" w:after="283"/>
              <w:jc w:val="right"/>
              <w:rPr/>
            </w:pPr>
            <w:r>
              <w:rPr/>
              <w:t xml:space="preserve">  </w:t>
            </w:r>
          </w:p>
        </w:tc>
        <w:tc>
          <w:tcPr>
            <w:tcW w:w="683" w:type="dxa"/>
            <w:tcBorders/>
            <w:shd w:fill="auto" w:val="clear"/>
          </w:tcPr>
          <w:p>
            <w:pPr>
              <w:pStyle w:val="TableContents"/>
              <w:spacing w:before="0" w:after="283"/>
              <w:jc w:val="right"/>
              <w:rPr/>
            </w:pPr>
            <w:r>
              <w:rPr/>
              <w:t xml:space="preserve">      </w:t>
            </w:r>
          </w:p>
        </w:tc>
        <w:tc>
          <w:tcPr>
            <w:tcW w:w="584" w:type="dxa"/>
            <w:tcBorders/>
            <w:shd w:fill="auto" w:val="clear"/>
          </w:tcPr>
          <w:p>
            <w:pPr>
              <w:pStyle w:val="TableContents"/>
              <w:spacing w:before="0" w:after="283"/>
              <w:jc w:val="left"/>
              <w:rPr/>
            </w:pPr>
            <w:r>
              <w:rPr/>
              <w:t xml:space="preserve">  </w:t>
            </w:r>
          </w:p>
        </w:tc>
      </w:tr>
      <w:tr>
        <w:trPr/>
        <w:tc>
          <w:tcPr>
            <w:tcW w:w="8455" w:type="dxa"/>
            <w:tcBorders/>
            <w:shd w:fill="auto" w:val="clear"/>
            <w:vAlign w:val="bottom"/>
          </w:tcPr>
          <w:p>
            <w:pPr>
              <w:pStyle w:val="TableContents"/>
              <w:spacing w:before="0" w:after="283"/>
              <w:rPr/>
            </w:pPr>
            <w:r>
              <w:rPr/>
              <w:t xml:space="preserve">  </w:t>
            </w:r>
          </w:p>
        </w:tc>
        <w:tc>
          <w:tcPr>
            <w:tcW w:w="205" w:type="dxa"/>
            <w:tcBorders/>
            <w:shd w:fill="auto" w:val="clear"/>
            <w:vAlign w:val="bottom"/>
          </w:tcPr>
          <w:p>
            <w:pPr>
              <w:pStyle w:val="TableContents"/>
              <w:spacing w:before="0" w:after="283"/>
              <w:rPr/>
            </w:pPr>
            <w:r>
              <w:rPr/>
              <w:t xml:space="preserve">  </w:t>
            </w:r>
          </w:p>
        </w:tc>
        <w:tc>
          <w:tcPr>
            <w:tcW w:w="278" w:type="dxa"/>
            <w:tcBorders/>
            <w:shd w:fill="auto" w:val="clear"/>
            <w:vAlign w:val="bottom"/>
          </w:tcPr>
          <w:p>
            <w:pPr>
              <w:pStyle w:val="TableContents"/>
              <w:spacing w:before="0" w:after="283"/>
              <w:rPr/>
            </w:pPr>
            <w:r>
              <w:rPr/>
              <w:t xml:space="preserve">  </w:t>
            </w:r>
          </w:p>
        </w:tc>
        <w:tc>
          <w:tcPr>
            <w:tcW w:w="683"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584" w:type="dxa"/>
            <w:tcBorders/>
            <w:shd w:fill="auto"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underwriting agreement provides that the obligations of the underwriters to purchase the common units included in this offering are subject to approval of legal matters by counsel and to other conditions. The underwriters are obligated to purchase all of the common units (other than those covered by the over-allotment option to purchase additional common units described below) if they purchase any of the common units.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underwriters propose to offer some of the common units directly to the public at the public offering price set forth on the cover page of this prospectus supplement and some of the common units to dealers at the public offering price less a concession not to exceed $      per common unit. If all of the common units are not sold at the initial offering price, the underwriters may change the public offering price and the other selling terms.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Overallotment Option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selling unitholder has granted to the underwriters an option, exercisable for 30 days from the date of this prospectus supplement, to purchase up to 1,125,000 additional common units at the public offering price less the underwriting discount. To the extent the option is exercised, each underwriter must purchase a number of additional common units approximately proportionate to that underwriters initial purchase commitment.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Lock-Up Agreements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We, our general partner, certain officers and directors of our general partner and certain of their affiliates and Vulcan Energy Corporation, Vulcan Capital Private Equity I LLC and Vulcan Capital Private Equity II LLC have agreed that, for a period of 45 days from the date of this prospectus supplement, we and they will not, without the prior written consent of Citigroup Global Markets Inc., offer, sell, contract to sell, pledge or otherwise dispose of any common units or any securities convertible into, or exercisable or exchangeable for or that represent the right to receive common units or any securities that are senior to or pari passu with common units, including, including, with respect to us and our controlled affiliates, the grant of any options or warrants to purchase common units. Certain Kayne Anderson entities, which collectively own approximately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S-9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5.6 million common units and which are affiliated with Robert V. Sinnott, a director of our general partner, are not subject to this agreement and may sell some or all of their common units during the lock-up period. With respect to us, our general partner, certain officers and directors of our general partner and certain of their affiliates, the agreement will not apply to grants under existing employee benefit plans (including long-term incentive plans adopted by our general partner, Plains AAP, L.P. or Plains All American GP LLC), to issuances of common units or any securities convertible or exchangeable into common units as payment of any part of the purchase price in connection with acquisitions by us and our affiliates or any third parties (with any transferees in such acquisitions agreeing to be bound by the lock-up agreement for the remainder of its term), to certain sales of common units by the officers or directors of the company that controls our general partner to pay tax liabilities associated with the vesting of units, or to issuances or deliveries of common units in connection with the conversion, vesting or exercise of securities (including long-term incentive plan awards, options and warrants) currently outstanding. With respect to Vulcan Energy Corporation, Vulcan Capital Private Equity I LLC and Vulcan Capital Private Equity II LLC, the agreement will not apply to distributions to stockholders or members of such entities, bona fide gifts or dispositions to any trust, family limited partnership or family limited liability company for the direct or indirect benefit of such entities and/or the immediate family of affiliates of such entities (in each such case, any transferees will agree to be bound by the lock-up agreement for the remainder of its term) or to the expected sale to Mr. Raymond and the other stockholder of the selling unitholder. Citigroup Global Markets Inc., in its sole discretion, may release any of the common units subject to these lock-up agreements at any time without notice.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addition, Vulcan Energy Corporation, Vulcan Capital Private Equity I LLC and Vulcan Capital Private Equity II LLC have entered into lock-up agreements with us, with restrictions similar to those set forth above, for terms of two years with respect to the units owned by Vulcan Energy Corporation and one year with respect to the units owned by Vulcan Capital Private Equity I LLC and Vulcan Capital Private Equity II LLC. We may waive these restrictions at any time or from time to time in our discretion.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Listing</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common units are listed on the New York Stock Exchange under the symbol PAA.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Commissions and Expenses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following table shows the underwriting discounts and commissions that the selling unitholder is to pay to the underwriters in connection with this offering. These amounts are shown assuming both no exercise and full exercise of the underwriters option to purchase additional common units.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6228"/>
        <w:gridCol w:w="195"/>
        <w:gridCol w:w="771"/>
        <w:gridCol w:w="360"/>
        <w:gridCol w:w="581"/>
        <w:gridCol w:w="269"/>
        <w:gridCol w:w="810"/>
        <w:gridCol w:w="382"/>
        <w:gridCol w:w="609"/>
      </w:tblGrid>
      <w:tr>
        <w:trPr/>
        <w:tc>
          <w:tcPr>
            <w:tcW w:w="622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jc w:val="right"/>
              <w:rPr/>
            </w:pPr>
            <w:r>
              <w:rPr/>
              <w:t> </w:t>
            </w:r>
          </w:p>
        </w:tc>
        <w:tc>
          <w:tcPr>
            <w:tcW w:w="581" w:type="dxa"/>
            <w:tcBorders/>
            <w:shd w:fill="auto" w:val="clear"/>
            <w:vAlign w:val="bottom"/>
          </w:tcPr>
          <w:p>
            <w:pPr>
              <w:pStyle w:val="TableContents"/>
              <w:spacing w:before="0" w:after="283"/>
              <w:jc w:val="left"/>
              <w:rPr/>
            </w:pPr>
            <w:r>
              <w:rPr/>
              <w:t> </w:t>
            </w:r>
          </w:p>
        </w:tc>
        <w:tc>
          <w:tcPr>
            <w:tcW w:w="269"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 </w:t>
            </w:r>
          </w:p>
        </w:tc>
        <w:tc>
          <w:tcPr>
            <w:tcW w:w="382" w:type="dxa"/>
            <w:tcBorders/>
            <w:shd w:fill="auto" w:val="clear"/>
            <w:vAlign w:val="bottom"/>
          </w:tcPr>
          <w:p>
            <w:pPr>
              <w:pStyle w:val="TableContents"/>
              <w:spacing w:before="0" w:after="283"/>
              <w:jc w:val="right"/>
              <w:rPr/>
            </w:pPr>
            <w:r>
              <w:rPr/>
              <w:t> </w:t>
            </w:r>
          </w:p>
        </w:tc>
        <w:tc>
          <w:tcPr>
            <w:tcW w:w="609" w:type="dxa"/>
            <w:tcBorders/>
            <w:shd w:fill="auto" w:val="clear"/>
            <w:vAlign w:val="bottom"/>
          </w:tcPr>
          <w:p>
            <w:pPr>
              <w:pStyle w:val="TableContents"/>
              <w:spacing w:before="0" w:after="283"/>
              <w:jc w:val="left"/>
              <w:rPr/>
            </w:pPr>
            <w:r>
              <w:rPr/>
              <w:t> </w:t>
            </w:r>
          </w:p>
        </w:tc>
      </w:tr>
      <w:tr>
        <w:trPr/>
        <w:tc>
          <w:tcPr>
            <w:tcW w:w="6228" w:type="dxa"/>
            <w:tcBorders/>
            <w:shd w:fill="auto" w:val="clear"/>
            <w:vAlign w:val="bottom"/>
          </w:tcPr>
          <w:p>
            <w:pPr>
              <w:pStyle w:val="TableContents"/>
              <w:spacing w:before="0" w:after="283"/>
              <w:jc w:val="center"/>
              <w:rPr/>
            </w:pPr>
            <w:r>
              <w:rPr/>
              <w:t xml:space="preserve">  </w:t>
            </w:r>
          </w:p>
        </w:tc>
        <w:tc>
          <w:tcPr>
            <w:tcW w:w="195" w:type="dxa"/>
            <w:tcBorders/>
            <w:shd w:fill="auto" w:val="clear"/>
            <w:vAlign w:val="bottom"/>
          </w:tcPr>
          <w:p>
            <w:pPr>
              <w:pStyle w:val="TableContents"/>
              <w:spacing w:before="0" w:after="283"/>
              <w:jc w:val="center"/>
              <w:rPr/>
            </w:pPr>
            <w:r>
              <w:rPr/>
              <w:t xml:space="preserve">  </w:t>
            </w:r>
          </w:p>
        </w:tc>
        <w:tc>
          <w:tcPr>
            <w:tcW w:w="1712"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No Exercise</w:t>
            </w:r>
            <w:r>
              <w:rPr/>
              <w:t xml:space="preserve"> </w:t>
            </w:r>
          </w:p>
        </w:tc>
        <w:tc>
          <w:tcPr>
            <w:tcW w:w="269" w:type="dxa"/>
            <w:tcBorders/>
            <w:shd w:fill="auto" w:val="clear"/>
            <w:vAlign w:val="bottom"/>
          </w:tcPr>
          <w:p>
            <w:pPr>
              <w:pStyle w:val="TableContents"/>
              <w:spacing w:before="0" w:after="283"/>
              <w:jc w:val="center"/>
              <w:rPr/>
            </w:pPr>
            <w:r>
              <w:rPr/>
              <w:t xml:space="preserve">  </w:t>
            </w:r>
          </w:p>
        </w:tc>
        <w:tc>
          <w:tcPr>
            <w:tcW w:w="1801"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Full Exercise</w:t>
            </w:r>
            <w:r>
              <w:rPr/>
              <w:t xml:space="preserve"> </w:t>
            </w:r>
          </w:p>
        </w:tc>
      </w:tr>
      <w:tr>
        <w:trPr/>
        <w:tc>
          <w:tcPr>
            <w:tcW w:w="6228" w:type="dxa"/>
            <w:tcBorders/>
            <w:shd w:fill="auto" w:val="clear"/>
            <w:vAlign w:val="center"/>
          </w:tcPr>
          <w:p>
            <w:pPr>
              <w:pStyle w:val="TableContents"/>
              <w:spacing w:before="0" w:after="283"/>
              <w:rPr/>
            </w:pPr>
            <w:r>
              <w:rPr/>
              <w:t xml:space="preserve">  </w:t>
            </w:r>
          </w:p>
        </w:tc>
        <w:tc>
          <w:tcPr>
            <w:tcW w:w="3977" w:type="dxa"/>
            <w:gridSpan w:val="8"/>
            <w:tcBorders/>
            <w:shd w:fill="auto" w:val="clear"/>
          </w:tcPr>
          <w:p>
            <w:pPr>
              <w:pStyle w:val="TableContents"/>
              <w:spacing w:before="0" w:after="283"/>
              <w:rPr>
                <w:sz w:val="4"/>
                <w:szCs w:val="4"/>
              </w:rPr>
            </w:pPr>
            <w:r>
              <w:rPr>
                <w:sz w:val="4"/>
                <w:szCs w:val="4"/>
              </w:rPr>
            </w:r>
          </w:p>
        </w:tc>
      </w:tr>
      <w:tr>
        <w:trPr/>
        <w:tc>
          <w:tcPr>
            <w:tcW w:w="6228" w:type="dxa"/>
            <w:tcBorders/>
            <w:shd w:fill="auto" w:val="clear"/>
            <w:vAlign w:val="bottom"/>
          </w:tcPr>
          <w:p>
            <w:pPr>
              <w:pStyle w:val="TableContents"/>
              <w:spacing w:before="0" w:after="0"/>
              <w:ind w:left="200" w:right="0" w:hanging="200"/>
              <w:jc w:val="left"/>
              <w:rPr/>
            </w:pPr>
            <w:r>
              <w:rPr/>
              <w:t xml:space="preserve">Per Common Unit </w:t>
            </w:r>
          </w:p>
        </w:tc>
        <w:tc>
          <w:tcPr>
            <w:tcW w:w="195" w:type="dxa"/>
            <w:tcBorders/>
            <w:shd w:fill="auto" w:val="clear"/>
            <w:vAlign w:val="bottom"/>
          </w:tcPr>
          <w:p>
            <w:pPr>
              <w:pStyle w:val="TableContents"/>
              <w:spacing w:before="0" w:after="283"/>
              <w:rPr/>
            </w:pPr>
            <w:r>
              <w:rPr/>
              <w:t xml:space="preserve">  </w:t>
            </w:r>
          </w:p>
        </w:tc>
        <w:tc>
          <w:tcPr>
            <w:tcW w:w="771" w:type="dxa"/>
            <w:tcBorders/>
            <w:shd w:fill="auto" w:val="clear"/>
            <w:vAlign w:val="bottom"/>
          </w:tcPr>
          <w:p>
            <w:pPr>
              <w:pStyle w:val="TableContents"/>
              <w:spacing w:before="0" w:after="283"/>
              <w:jc w:val="right"/>
              <w:rPr/>
            </w:pPr>
            <w:r>
              <w:rPr/>
              <w:t xml:space="preserve">$ </w:t>
            </w:r>
          </w:p>
        </w:tc>
        <w:tc>
          <w:tcPr>
            <w:tcW w:w="360" w:type="dxa"/>
            <w:tcBorders/>
            <w:shd w:fill="auto" w:val="clear"/>
            <w:vAlign w:val="bottom"/>
          </w:tcPr>
          <w:p>
            <w:pPr>
              <w:pStyle w:val="TableContents"/>
              <w:spacing w:before="0" w:after="283"/>
              <w:jc w:val="right"/>
              <w:rPr/>
            </w:pPr>
            <w:r>
              <w:rPr/>
              <w:t xml:space="preserve">  </w:t>
            </w:r>
          </w:p>
        </w:tc>
        <w:tc>
          <w:tcPr>
            <w:tcW w:w="581" w:type="dxa"/>
            <w:tcBorders/>
            <w:shd w:fill="auto" w:val="clear"/>
            <w:vAlign w:val="bottom"/>
          </w:tcPr>
          <w:p>
            <w:pPr>
              <w:pStyle w:val="TableContents"/>
              <w:spacing w:before="0" w:after="283"/>
              <w:jc w:val="left"/>
              <w:rPr/>
            </w:pPr>
            <w:r>
              <w:rPr/>
              <w:t xml:space="preserve">  </w:t>
            </w:r>
          </w:p>
        </w:tc>
        <w:tc>
          <w:tcPr>
            <w:tcW w:w="269" w:type="dxa"/>
            <w:tcBorders/>
            <w:shd w:fill="auto" w:val="clear"/>
            <w:vAlign w:val="bottom"/>
          </w:tcPr>
          <w:p>
            <w:pPr>
              <w:pStyle w:val="TableContents"/>
              <w:spacing w:before="0" w:after="283"/>
              <w:rPr/>
            </w:pPr>
            <w:r>
              <w:rPr/>
              <w:t xml:space="preserve">  </w:t>
            </w:r>
          </w:p>
        </w:tc>
        <w:tc>
          <w:tcPr>
            <w:tcW w:w="810" w:type="dxa"/>
            <w:tcBorders/>
            <w:shd w:fill="auto" w:val="clear"/>
            <w:vAlign w:val="bottom"/>
          </w:tcPr>
          <w:p>
            <w:pPr>
              <w:pStyle w:val="TableContents"/>
              <w:spacing w:before="0" w:after="283"/>
              <w:jc w:val="right"/>
              <w:rPr/>
            </w:pPr>
            <w:r>
              <w:rPr/>
              <w:t xml:space="preserve">$ </w:t>
            </w:r>
          </w:p>
        </w:tc>
        <w:tc>
          <w:tcPr>
            <w:tcW w:w="382" w:type="dxa"/>
            <w:tcBorders/>
            <w:shd w:fill="auto" w:val="clear"/>
            <w:vAlign w:val="bottom"/>
          </w:tcPr>
          <w:p>
            <w:pPr>
              <w:pStyle w:val="TableContents"/>
              <w:spacing w:before="0" w:after="283"/>
              <w:jc w:val="right"/>
              <w:rPr/>
            </w:pPr>
            <w:r>
              <w:rPr/>
              <w:t xml:space="preserve">  </w:t>
            </w:r>
          </w:p>
        </w:tc>
        <w:tc>
          <w:tcPr>
            <w:tcW w:w="609" w:type="dxa"/>
            <w:tcBorders/>
            <w:shd w:fill="auto" w:val="clear"/>
            <w:vAlign w:val="bottom"/>
          </w:tcPr>
          <w:p>
            <w:pPr>
              <w:pStyle w:val="TableContents"/>
              <w:spacing w:before="0" w:after="283"/>
              <w:jc w:val="left"/>
              <w:rPr/>
            </w:pPr>
            <w:r>
              <w:rPr/>
              <w:t xml:space="preserve">  </w:t>
            </w:r>
          </w:p>
        </w:tc>
      </w:tr>
      <w:tr>
        <w:trPr/>
        <w:tc>
          <w:tcPr>
            <w:tcW w:w="6228" w:type="dxa"/>
            <w:tcBorders/>
            <w:shd w:fill="auto" w:val="clear"/>
            <w:vAlign w:val="bottom"/>
          </w:tcPr>
          <w:p>
            <w:pPr>
              <w:pStyle w:val="TableContents"/>
              <w:spacing w:before="0" w:after="0"/>
              <w:ind w:left="200" w:right="0" w:hanging="200"/>
              <w:jc w:val="left"/>
              <w:rPr/>
            </w:pPr>
            <w:r>
              <w:rPr/>
              <w:t xml:space="preserve">Total </w:t>
            </w:r>
          </w:p>
        </w:tc>
        <w:tc>
          <w:tcPr>
            <w:tcW w:w="195" w:type="dxa"/>
            <w:tcBorders/>
            <w:shd w:fill="auto" w:val="clear"/>
            <w:vAlign w:val="bottom"/>
          </w:tcPr>
          <w:p>
            <w:pPr>
              <w:pStyle w:val="TableContents"/>
              <w:spacing w:before="0" w:after="283"/>
              <w:rPr/>
            </w:pPr>
            <w:r>
              <w:rPr/>
              <w:t xml:space="preserve">  </w:t>
            </w:r>
          </w:p>
        </w:tc>
        <w:tc>
          <w:tcPr>
            <w:tcW w:w="771" w:type="dxa"/>
            <w:tcBorders/>
            <w:shd w:fill="auto" w:val="clear"/>
            <w:vAlign w:val="bottom"/>
          </w:tcPr>
          <w:p>
            <w:pPr>
              <w:pStyle w:val="TableContents"/>
              <w:spacing w:before="0" w:after="283"/>
              <w:jc w:val="right"/>
              <w:rPr/>
            </w:pPr>
            <w:r>
              <w:rPr/>
              <w:t xml:space="preserve">$ </w:t>
            </w:r>
          </w:p>
        </w:tc>
        <w:tc>
          <w:tcPr>
            <w:tcW w:w="360" w:type="dxa"/>
            <w:tcBorders/>
            <w:shd w:fill="auto" w:val="clear"/>
            <w:vAlign w:val="bottom"/>
          </w:tcPr>
          <w:p>
            <w:pPr>
              <w:pStyle w:val="TableContents"/>
              <w:spacing w:before="0" w:after="283"/>
              <w:jc w:val="right"/>
              <w:rPr/>
            </w:pPr>
            <w:r>
              <w:rPr/>
              <w:t xml:space="preserve">  </w:t>
            </w:r>
          </w:p>
        </w:tc>
        <w:tc>
          <w:tcPr>
            <w:tcW w:w="581" w:type="dxa"/>
            <w:tcBorders/>
            <w:shd w:fill="auto" w:val="clear"/>
            <w:vAlign w:val="bottom"/>
          </w:tcPr>
          <w:p>
            <w:pPr>
              <w:pStyle w:val="TableContents"/>
              <w:spacing w:before="0" w:after="283"/>
              <w:jc w:val="left"/>
              <w:rPr/>
            </w:pPr>
            <w:r>
              <w:rPr/>
              <w:t xml:space="preserve">  </w:t>
            </w:r>
          </w:p>
        </w:tc>
        <w:tc>
          <w:tcPr>
            <w:tcW w:w="269" w:type="dxa"/>
            <w:tcBorders/>
            <w:shd w:fill="auto" w:val="clear"/>
            <w:vAlign w:val="bottom"/>
          </w:tcPr>
          <w:p>
            <w:pPr>
              <w:pStyle w:val="TableContents"/>
              <w:spacing w:before="0" w:after="283"/>
              <w:rPr/>
            </w:pPr>
            <w:r>
              <w:rPr/>
              <w:t xml:space="preserve">  </w:t>
            </w:r>
          </w:p>
        </w:tc>
        <w:tc>
          <w:tcPr>
            <w:tcW w:w="810" w:type="dxa"/>
            <w:tcBorders/>
            <w:shd w:fill="auto" w:val="clear"/>
            <w:vAlign w:val="bottom"/>
          </w:tcPr>
          <w:p>
            <w:pPr>
              <w:pStyle w:val="TableContents"/>
              <w:spacing w:before="0" w:after="283"/>
              <w:jc w:val="right"/>
              <w:rPr/>
            </w:pPr>
            <w:r>
              <w:rPr/>
              <w:t xml:space="preserve">$ </w:t>
            </w:r>
          </w:p>
        </w:tc>
        <w:tc>
          <w:tcPr>
            <w:tcW w:w="382" w:type="dxa"/>
            <w:tcBorders/>
            <w:shd w:fill="auto" w:val="clear"/>
            <w:vAlign w:val="bottom"/>
          </w:tcPr>
          <w:p>
            <w:pPr>
              <w:pStyle w:val="TableContents"/>
              <w:spacing w:before="0" w:after="283"/>
              <w:rPr>
                <w:sz w:val="4"/>
                <w:szCs w:val="4"/>
              </w:rPr>
            </w:pPr>
            <w:r>
              <w:rPr>
                <w:sz w:val="4"/>
                <w:szCs w:val="4"/>
              </w:rPr>
            </w:r>
          </w:p>
        </w:tc>
        <w:tc>
          <w:tcPr>
            <w:tcW w:w="609" w:type="dxa"/>
            <w:tcBorders/>
            <w:shd w:fill="auto" w:val="clear"/>
            <w:vAlign w:val="bottom"/>
          </w:tcPr>
          <w:p>
            <w:pPr>
              <w:pStyle w:val="TableContents"/>
              <w:spacing w:before="0" w:after="283"/>
              <w:jc w:val="left"/>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Price Stabilizations, Short Positions and Penalty Bids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In connection with the offering, the representatives, on behalf of the underwriters,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underwriters in the offering, which creates a syndicate short position. Covered short sales are sales of common units made in an amount up to the number of common units represented by the underwriters overallotment option. In determining the source of common units to close out the covered syndicate short position, the underwriters will consider, among other things, the price of common units available for purchase in the open market as compared to the price at which they may purchase units through the over-allotment option. Transactions to close out the covered syndicate short position involve either purchases of the common units in the open market after the distribution has been completed or the exercise of the overallotment option. The underwriters may also make naked short sales of common units in excess of the overallotment option. The underwriters must close out any naked short position by purchasing common units in the open market. A naked short position is more likely to be created if the underwriters are concerned that there may be downward pressure on the price of the common units in the open market after pricing that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S-10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could adversely affect investors who purchase in the offering. Stabilizing transactions consist of bids for or purchases of common units in the open market while the offering is in progress.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underwriters also may impose a penalty bid. Penalty bids permit the underwriters to reclaim a selling concession from a syndicate member when the representatives repurchase common units originally sold by that syndicate member in order to cover syndicate short positions or make stabilizing purchases.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Any of these activities may have the effect of preventing or retarding a decline in the market price of the common units. They may also cause the price of the common units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Partnership Expenses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estimate that our total expenses of this offering payable by us (which exclude underwriting discounts and commissions) will be approximately $230,000.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Conflicts of Interest</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Certain of the underwriters and their affiliates have performed investment and commercial banking and advisory services for us and our affiliates and for the selling unitholder and its affiliates from time to time for which they have received customary fees and expenses. The underwriters and their affiliates may, from time to time, engage in transactions with and perform services for us, the selling unitholder or our and the selling unitholders respective affiliates in the ordinary course of their business. In particular, affiliates of certain of the underwriters are lenders under our credit facilities.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Electronic Distribution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This prospectus supplement and the accompanying prospectus in electronic format may be made available on the websites maintained by one or more of the underwriters. The underwriters may agree to allocate a number of common units for sale to their online brokerage account holders. The common units will be allocated to underwriters that may make Internet distributions on the same basis as other allocations. In addition, common units may be sold by the underwriters to securities dealers who resell common units to online brokerage account holders.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Other than this prospectus supplement and the accompanying prospectus in electronic format, information contained in any website maintained by an underwriter is not part of this prospectus supplement or the accompanying prospectus or registration statement of which the accompanying prospectus forms a part, has not been endorsed by us and should not be relied on by investors in deciding whether to purchase common units. The underwriters are not responsible for information contained in websites that they do not maintain.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Indemnification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together with our subsidiary operating partnerships and their general partner, our general partner and the entities that control our general partner and the selling unitholder, have agreed to indemnify the underwriters against certain liabilities, including liabilities under the Securities Act of 1933, as amended, or to contribute to payments the underwriters may be required to make because of any of those liabilities.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FINRA Conduct Rule</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Because the Financial Industry Regulatory Authority views our common units as interests in a direct participation program, this offering is being made in compliance with Rule 2310 of the FINRA Rules. Investor suitability with respect to the common units will be judged similarly to the suitability with respect to other securities that are listed for trading on a national securities exchange.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S-11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0" w:after="0"/>
        <w:jc w:val="left"/>
        <w:rPr>
          <w:rFonts w:ascii="Arial;Helvetica" w:hAnsi="Arial;Helvetica"/>
          <w:color w:val="000000"/>
          <w:sz w:val="17"/>
        </w:rPr>
      </w:pPr>
      <w:r>
        <w:rPr>
          <w:rFonts w:ascii="Times New Roman;Times" w:hAnsi="Times New Roman;Times"/>
          <w:b/>
          <w:color w:val="000000"/>
          <w:sz w:val="17"/>
        </w:rPr>
        <w:t>Notice to Investors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the EEA</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71"/>
        <w:gridCol w:w="9529"/>
      </w:tblGrid>
      <w:tr>
        <w:trPr/>
        <w:tc>
          <w:tcPr>
            <w:tcW w:w="40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to any legal entity which is a qualified investor as defined in the Prospectus Directive;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in any other circumstances falling within Article 3(2) of the Prospectus Directive;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provided that no such offer of securities shall require us or any underwriter to publish a prospectus pursuant to Article 3 of the Prospectus Directive.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and includes any relevant implementing measure in each relevant member state. The expression 2010 PD Amending Directive means Directive 2010/73/EU.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the United Kingdom</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partnership may constitute a collective investment scheme as defined by section 235 of the Financial Services and Markets Act 2000 (FSMA) that is not a recognized collective investment scheme for the purposes of FSMA (CIS) and that has not been authorized or otherwise approved. As an unregulated scheme, it cannot be marketed in the United Kingdom to the general public, except in accordance with FSMA. This prospectus is only being distributed in the United Kingdom to, and is only directed at: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(1) if our partnership is a CIS and is marketed by a person who is an authorized person under FSMA, (a) investment professionals falling within Article 14(5) of the Financial Services and Markets Act 2000 (Promotion of Collective Investment Schemes) Order 2001, as amended (the CIS Promotion Order) or (b) high net worth companies and other persons falling within Article 22(2)(a) to (d) of the CIS Promotion Order; or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(2) otherwise, if marketed by a person who is not an authorized person under FSMA, (a) persons who fall within Article 19(5) of the Financial Services and Markets Act 2000 (Financial Promotion) Order 2005, as amended (the Financial Promotion Order) or (b) Article 49(2)(a) to (d) of the Financial Promotion Order; and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(3) in both cases (1) and (2) to any other person to whom it may otherwise lawfully be made (all such persons together being referred to as relevant persons).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S-12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Switzerland</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Germany</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This document has not been prepared in accordance with the requirements for a securities or sales prospectus under the German Securities Prospectus Act (</w:t>
      </w:r>
      <w:r>
        <w:rPr>
          <w:rFonts w:ascii="Times New Roman;Times" w:hAnsi="Times New Roman;Times"/>
          <w:i/>
          <w:color w:val="000000"/>
          <w:sz w:val="17"/>
        </w:rPr>
        <w:t>Wertpapierprospektgesetz</w:t>
      </w:r>
      <w:r>
        <w:rPr>
          <w:rFonts w:ascii="Times New Roman;Times" w:hAnsi="Times New Roman;Times"/>
          <w:color w:val="000000"/>
          <w:sz w:val="17"/>
        </w:rPr>
        <w:t>), the German Sales Prospectus Act (</w:t>
      </w:r>
      <w:r>
        <w:rPr>
          <w:rFonts w:ascii="Times New Roman;Times" w:hAnsi="Times New Roman;Times"/>
          <w:i/>
          <w:color w:val="000000"/>
          <w:sz w:val="17"/>
        </w:rPr>
        <w:t>Verkaufsprospektgesetz</w:t>
      </w:r>
      <w:r>
        <w:rPr>
          <w:rFonts w:ascii="Times New Roman;Times" w:hAnsi="Times New Roman;Times"/>
          <w:color w:val="000000"/>
          <w:sz w:val="17"/>
        </w:rPr>
        <w:t>), or the German Investment Act (</w:t>
      </w:r>
      <w:r>
        <w:rPr>
          <w:rFonts w:ascii="Times New Roman;Times" w:hAnsi="Times New Roman;Times"/>
          <w:i/>
          <w:color w:val="000000"/>
          <w:sz w:val="17"/>
        </w:rPr>
        <w:t>Investmentgesetz</w:t>
      </w:r>
      <w:r>
        <w:rPr>
          <w:rFonts w:ascii="Times New Roman;Times" w:hAnsi="Times New Roman;Times"/>
          <w:color w:val="000000"/>
          <w:sz w:val="17"/>
        </w:rPr>
        <w:t>). Neither the German Federal Financial Services Supervisory Authority (</w:t>
      </w:r>
      <w:r>
        <w:rPr>
          <w:rFonts w:ascii="Times New Roman;Times" w:hAnsi="Times New Roman;Times"/>
          <w:i/>
          <w:color w:val="000000"/>
          <w:sz w:val="17"/>
        </w:rPr>
        <w:t xml:space="preserve">Bundesanstalt für Finanzdienstleistungsaufsicht  </w:t>
      </w:r>
      <w:r>
        <w:rPr>
          <w:rFonts w:ascii="Times New Roman;Times" w:hAnsi="Times New Roman;Times"/>
          <w:color w:val="000000"/>
          <w:sz w:val="17"/>
        </w:rPr>
        <w:t xml:space="preserve">BaFin) nor any other German authority has been notified of the intention to distribute our common units in Germany. Consequently, our common units may not be distributed in Germany by way of public offering, public advertisement or in any similar manner and this document and any other document relating to the offering, as well as information or statements contained therein, may not be supplied to the public in Germany or used in connection with any offer for subscription of our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document is strictly for use of the person who has received it. It may not be forwarded to other persons or published in Germany.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offering does not constitute an offer to sell or the solicitation or an offer to buy our common units in any circumstances in which such offer or solicitation is unlawful.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the Netherlands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Our common units may not be offered or sold, directly or indirectly, in the Netherlands, other than to qualified investors (</w:t>
      </w:r>
      <w:r>
        <w:rPr>
          <w:rFonts w:ascii="Times New Roman;Times" w:hAnsi="Times New Roman;Times"/>
          <w:i/>
          <w:color w:val="000000"/>
          <w:sz w:val="17"/>
        </w:rPr>
        <w:t>gekwalificeerde beleggers</w:t>
      </w:r>
      <w:r>
        <w:rPr>
          <w:rFonts w:ascii="Times New Roman;Times" w:hAnsi="Times New Roman;Times"/>
          <w:color w:val="000000"/>
          <w:sz w:val="17"/>
        </w:rPr>
        <w:t>) within the meaning of Article 1:1 of the Dutch Financial Supervision Act (</w:t>
      </w:r>
      <w:r>
        <w:rPr>
          <w:rFonts w:ascii="Times New Roman;Times" w:hAnsi="Times New Roman;Times"/>
          <w:i/>
          <w:color w:val="000000"/>
          <w:sz w:val="17"/>
        </w:rPr>
        <w:t>Wet op het financieel toezicht</w:t>
      </w:r>
      <w:r>
        <w:rPr>
          <w:rFonts w:ascii="Times New Roman;Times" w:hAnsi="Times New Roman;Times"/>
          <w:color w:val="000000"/>
          <w:sz w:val="17"/>
        </w:rPr>
        <w:t xml:space="preserv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S-13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360" w:after="283"/>
        <w:rPr/>
      </w:pPr>
      <w:bookmarkStart w:id="15" w:name="H84049129"/>
      <w:bookmarkEnd w:id="15"/>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LEGAL MATTERS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Vinson &amp; Elkins L.L.P. will issue opinions about the validity of the common units offered hereby and various other legal matters in connection with the offering on our behalf. Baker Botts L.L.P., the underwriters counsel, will issue opinions about various legal matters in connection with the offering on behalf of the underwriters. Skadden, Arps, Slate, Meagher, &amp; Flom LLP, the selling unitholders counsel, will also issue opinions about various legal matters in connection with this offering on behalf of the selling unitholder. </w:t>
      </w:r>
    </w:p>
    <w:p>
      <w:pPr>
        <w:pStyle w:val="TextBody"/>
        <w:spacing w:before="360" w:after="283"/>
        <w:rPr/>
      </w:pPr>
      <w:bookmarkStart w:id="16" w:name="H84049130"/>
      <w:bookmarkEnd w:id="16"/>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EXPERTS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2010, have been incorporated in reliance on the report of PricewaterhouseCoopers LLP, an independent registered public accounting firm, given on the authority of said firm as experts in auditing and accounting. </w:t>
      </w:r>
    </w:p>
    <w:p>
      <w:pPr>
        <w:pStyle w:val="TextBody"/>
        <w:spacing w:before="360" w:after="283"/>
        <w:rPr/>
      </w:pPr>
      <w:bookmarkStart w:id="17" w:name="H84049131"/>
      <w:bookmarkEnd w:id="17"/>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WHERE YOU CAN FIND MORE INFORMATION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are incorporating by reference into this prospectus supplement information we file with the Securities and Exchange Commission, or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common units contemplated by this prospectus supplement are complete: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Annual Report on Form 10-K for the year ended December 31, 2010;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Quarterly Report on Form 10-Q for the quarter ended March 31, 2011;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Quarterly Report on Form 10-Q for the quarter ended June 30, 2011;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January 7, 2011 (documentation related to 364-day credit facility);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January 11, 2011 (documentation related to debt offering);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March 10, 2011 (documentation related to equity offering).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You may request a copy of these filings (other than any exhibits unless specifically incorporated by reference into this prospectus supplement and the accompanying prospectus) at no cost by making written or telephone requests for copies to: </w:t>
      </w:r>
    </w:p>
    <w:p>
      <w:pPr>
        <w:pStyle w:val="TextBody"/>
        <w:spacing w:before="120" w:after="283"/>
        <w:rPr/>
      </w:pPr>
      <w:r>
        <w:rPr/>
        <w:t> </w:t>
      </w:r>
    </w:p>
    <w:p>
      <w:pPr>
        <w:pStyle w:val="TextBody"/>
        <w:jc w:val="center"/>
        <w:rPr>
          <w:rFonts w:ascii="Times New Roman;Times" w:hAnsi="Times New Roman;Times"/>
          <w:color w:val="000000"/>
          <w:sz w:val="17"/>
        </w:rPr>
      </w:pPr>
      <w:r>
        <w:rPr>
          <w:rFonts w:ascii="Times New Roman;Times" w:hAnsi="Times New Roman;Times"/>
          <w:color w:val="000000"/>
          <w:sz w:val="17"/>
        </w:rPr>
        <w:t>Plains All American Pipeline, L.P.</w:t>
        <w:br/>
        <w:t>333 Clay Street, Suite 1600</w:t>
        <w:br/>
        <w:t>Houston, Texas 77002</w:t>
        <w:br/>
        <w:t>Attention: Tim Moore</w:t>
        <w:br/>
        <w:t xml:space="preserve">Telephone: (713) 646-4100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S-14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www.sec.gov.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prospectus is accurate as of any date other than its date.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S-15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PROSPECTUS</w:t>
      </w:r>
      <w:r>
        <w:rPr>
          <w:rFonts w:ascii="Times New Roman;Times" w:hAnsi="Times New Roman;Times"/>
          <w:color w:val="000000"/>
          <w:sz w:val="17"/>
        </w:rPr>
        <w:t xml:space="preserve"> </w:t>
      </w:r>
    </w:p>
    <w:p>
      <w:pPr>
        <w:pStyle w:val="TextBody"/>
        <w:spacing w:before="3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17,646,478 Common Units</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Representing Limited Partner Interests</w:t>
      </w:r>
      <w:r>
        <w:rPr>
          <w:rFonts w:ascii="Times New Roman;Times" w:hAnsi="Times New Roman;Times"/>
          <w:color w:val="000000"/>
          <w:sz w:val="17"/>
        </w:rPr>
        <w:t xml:space="preserve"> </w:t>
      </w:r>
    </w:p>
    <w:p>
      <w:pPr>
        <w:pStyle w:val="TextBody"/>
        <w:spacing w:before="3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40"/>
        </w:rPr>
        <w:t>Plains All American Pipeline, L.P.</w:t>
      </w:r>
      <w:r>
        <w:rPr>
          <w:rFonts w:ascii="Times New Roman;Times" w:hAnsi="Times New Roman;Times"/>
          <w:color w:val="000000"/>
          <w:sz w:val="17"/>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Up to 17,646,478 of our common units may be offered from time to time by the selling unitholders named in this prospectus. The selling unitholders may sell the common units at various times and in various types of transactions, including sales in the open market, sales in negotiated transactions and sales by a combination of methods. We will not receive any proceeds from the sale of common units by the selling unitholders.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common units are traded on the New York Stock Exchange under the symbol PAA.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20"/>
        </w:rPr>
      </w:pPr>
      <w:r>
        <w:rPr>
          <w:rFonts w:ascii="Times New Roman;Times" w:hAnsi="Times New Roman;Times"/>
          <w:b/>
          <w:color w:val="000000"/>
          <w:sz w:val="20"/>
        </w:rPr>
        <w:t>Investing in our common units involves risks. Limited partnerships are inherently different from corporations. You should carefully consider the factors described under Risk Factors beginning on page 5 of this prospectus before you make an investment in our securities.</w:t>
      </w:r>
      <w:r>
        <w:rPr>
          <w:rFonts w:ascii="Times New Roman;Times" w:hAnsi="Times New Roman;Times"/>
          <w:color w:val="000000"/>
          <w:sz w:val="20"/>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color w:val="000000"/>
          <w:sz w:val="17"/>
        </w:rPr>
        <w:t xml:space="preserve">The date of this prospectus is December 11, 2008.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p>
      <w:pPr>
        <w:pStyle w:val="Normal"/>
        <w:spacing w:before="0" w:after="0"/>
        <w:rPr>
          <w:sz w:val="4"/>
          <w:szCs w:val="4"/>
        </w:rPr>
      </w:pPr>
      <w:r>
        <w:rPr>
          <w:sz w:val="4"/>
          <w:szCs w:val="4"/>
        </w:rPr>
      </w:r>
      <w:bookmarkStart w:id="18" w:name="X84049tocpage"/>
      <w:bookmarkStart w:id="19" w:name="X84049tocpage"/>
      <w:bookmarkEnd w:id="19"/>
    </w:p>
    <w:tbl>
      <w:tblPr>
        <w:tblW w:w="5000" w:type="pct"/>
        <w:jc w:val="center"/>
        <w:tblInd w:w="0" w:type="dxa"/>
        <w:shd w:fill="FFFFFF" w:val="clear"/>
        <w:tblCellMar>
          <w:top w:w="0" w:type="dxa"/>
          <w:left w:w="0" w:type="dxa"/>
          <w:bottom w:w="0" w:type="dxa"/>
          <w:right w:w="0" w:type="dxa"/>
        </w:tblCellMar>
      </w:tblPr>
      <w:tblGrid>
        <w:gridCol w:w="9530"/>
        <w:gridCol w:w="197"/>
        <w:gridCol w:w="97"/>
        <w:gridCol w:w="320"/>
        <w:gridCol w:w="61"/>
      </w:tblGrid>
      <w:tr>
        <w:trPr/>
        <w:tc>
          <w:tcPr>
            <w:tcW w:w="953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97" w:type="dxa"/>
            <w:tcBorders/>
            <w:shd w:fill="FFFFFF" w:val="clear"/>
            <w:vAlign w:val="bottom"/>
          </w:tcPr>
          <w:p>
            <w:pPr>
              <w:pStyle w:val="TableContents"/>
              <w:spacing w:before="0" w:after="283"/>
              <w:rPr/>
            </w:pPr>
            <w:r>
              <w:rPr/>
              <w:t> </w:t>
            </w:r>
          </w:p>
        </w:tc>
        <w:tc>
          <w:tcPr>
            <w:tcW w:w="320"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r>
      <w:tr>
        <w:trPr/>
        <w:tc>
          <w:tcPr>
            <w:tcW w:w="9530" w:type="dxa"/>
            <w:tcBorders/>
            <w:shd w:fill="FFFFFF" w:val="clear"/>
            <w:vAlign w:val="bottom"/>
          </w:tcPr>
          <w:p>
            <w:pPr>
              <w:pStyle w:val="TableContents"/>
              <w:spacing w:before="0" w:after="0"/>
              <w:ind w:left="200" w:right="0" w:hanging="200"/>
              <w:jc w:val="left"/>
              <w:rPr/>
            </w:pPr>
            <w:hyperlink w:anchor="X84049101">
              <w:r>
                <w:rPr>
                  <w:rStyle w:val="InternetLink"/>
                </w:rPr>
                <w:t>ABOUT THIS PROSPECTUS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i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02">
              <w:r>
                <w:rPr>
                  <w:rStyle w:val="InternetLink"/>
                </w:rPr>
                <w:t>WHERE YOU CAN FIND MORE INFORMATION</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1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03">
              <w:r>
                <w:rPr>
                  <w:rStyle w:val="InternetLink"/>
                </w:rPr>
                <w:t>FORWARD-LOOKING STATEMENTS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3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04">
              <w:r>
                <w:rPr>
                  <w:rStyle w:val="InternetLink"/>
                </w:rPr>
                <w:t>WHO WE ARE</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4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05">
              <w:r>
                <w:rPr>
                  <w:rStyle w:val="InternetLink"/>
                </w:rPr>
                <w:t>RISK FACTORS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5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06">
              <w:r>
                <w:rPr>
                  <w:rStyle w:val="InternetLink"/>
                </w:rPr>
                <w:t>USE OF PROCEEDS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6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07">
              <w:r>
                <w:rPr>
                  <w:rStyle w:val="InternetLink"/>
                </w:rPr>
                <w:t>DESCRIPTION OF OUR COMMON UNITS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7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08">
              <w:r>
                <w:rPr>
                  <w:rStyle w:val="InternetLink"/>
                </w:rPr>
                <w:t>CASH DISTRIBUTION POLICY</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9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09">
              <w:r>
                <w:rPr>
                  <w:rStyle w:val="InternetLink"/>
                </w:rPr>
                <w:t>DESCRIPTION OF OUR PARTNERSHIP AGREEMENT</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13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10">
              <w:r>
                <w:rPr>
                  <w:rStyle w:val="InternetLink"/>
                </w:rPr>
                <w:t>MATERIAL INCOME TAX CONSIDERATIONS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16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11">
              <w:r>
                <w:rPr>
                  <w:rStyle w:val="InternetLink"/>
                </w:rPr>
                <w:t>SELLING UNITHOLDERS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30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12">
              <w:r>
                <w:rPr>
                  <w:rStyle w:val="InternetLink"/>
                </w:rPr>
                <w:t>PLAN OF DISTRIBUTION</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32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13">
              <w:r>
                <w:rPr>
                  <w:rStyle w:val="InternetLink"/>
                </w:rPr>
                <w:t>LEGAL MATTERS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34 </w:t>
            </w:r>
          </w:p>
        </w:tc>
        <w:tc>
          <w:tcPr>
            <w:tcW w:w="61" w:type="dxa"/>
            <w:tcBorders/>
            <w:shd w:fill="FFFFFF" w:val="clear"/>
            <w:vAlign w:val="bottom"/>
          </w:tcPr>
          <w:p>
            <w:pPr>
              <w:pStyle w:val="TableContents"/>
              <w:spacing w:before="0" w:after="283"/>
              <w:rPr/>
            </w:pPr>
            <w:r>
              <w:rPr/>
              <w:t xml:space="preserve">  </w:t>
            </w:r>
          </w:p>
        </w:tc>
      </w:tr>
      <w:tr>
        <w:trPr/>
        <w:tc>
          <w:tcPr>
            <w:tcW w:w="9530" w:type="dxa"/>
            <w:tcBorders/>
            <w:shd w:fill="FFFFFF" w:val="clear"/>
            <w:vAlign w:val="bottom"/>
          </w:tcPr>
          <w:p>
            <w:pPr>
              <w:pStyle w:val="TableContents"/>
              <w:spacing w:before="0" w:after="0"/>
              <w:ind w:left="200" w:right="0" w:hanging="200"/>
              <w:jc w:val="left"/>
              <w:rPr/>
            </w:pPr>
            <w:hyperlink w:anchor="X84049114">
              <w:r>
                <w:rPr>
                  <w:rStyle w:val="InternetLink"/>
                </w:rPr>
                <w:t>EXPERTS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0" w:type="dxa"/>
            <w:tcBorders/>
            <w:shd w:fill="FFFFFF" w:val="clear"/>
            <w:vAlign w:val="bottom"/>
          </w:tcPr>
          <w:p>
            <w:pPr>
              <w:pStyle w:val="TableContents"/>
              <w:spacing w:before="0" w:after="283"/>
              <w:jc w:val="right"/>
              <w:rPr/>
            </w:pPr>
            <w:r>
              <w:rPr/>
              <w:t xml:space="preserve">34 </w:t>
            </w:r>
          </w:p>
        </w:tc>
        <w:tc>
          <w:tcPr>
            <w:tcW w:w="6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r>
        <w:rPr>
          <w:rFonts w:ascii="Times New Roman;Times" w:hAnsi="Times New Roman;Times"/>
          <w:color w:val="000000"/>
          <w:sz w:val="17"/>
          <w:highlight w:val="white"/>
        </w:rPr>
        <w:t xml:space="preserve"> </w:t>
      </w:r>
    </w:p>
    <w:p>
      <w:pPr>
        <w:pStyle w:val="TextBody"/>
        <w:spacing w:before="360" w:after="283"/>
        <w:rPr/>
      </w:pPr>
      <w:bookmarkStart w:id="20" w:name="X84049101"/>
      <w:bookmarkEnd w:id="2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ABOUT THIS PROSPECTUS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is part of a registration statement that we have filed with the Securities and Exchange Commission using a shelf registration process. Under this shelf registration process, the selling unitholders may, over time, offer and sell up to 17,646,478 of our common units. In connection with certain sales of securities hereunder, a prospectus supplement may accompany this prospectus. The prospectus supplement may also add to, update or change information contained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i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21" w:name="X84049102"/>
      <w:bookmarkEnd w:id="2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filed a registration statement with the SEC under the Securities Act of 1933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Annual Report on Form 10-K for the year ended December 31, 2007;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Quarterly Reports on Form 10-Q for the quarters ended March 31, 2008, June 30, 2008 and September 30, 2008;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January 4, 2008 (amendment of the Limited Partnership Agreement of Plains AAP, L.P. and the Limited Liability Company Agreement of Plains All American GP LLC, modifications to the Class B Restricted Units Agreements and assignment of general partnership interest of the general partnership interest in Plains AAP, L.P.);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March 10, 2008 (audited balance sheet of PAA GP LLC as of December 31, 2007);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(other than Items 7.01 and 9.01, which were furnished) with the SEC on April 7, 2008 (execution of Rainbow Pipe Line Company Ltd. acquisition agreement);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with the SEC on April 15, 2008 (amendment of the Limited Partnership Agreement of Plains All American Pipeline, L.P.);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(other than Item 7.01, which was furnished) with the SEC on April 18, 2008 (announcement of debt offering);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(other than Items 7.01 and 9.01, which were furnished) with the SEC on April 18, 2008 (announcement of Rainbow IDR reduction);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(other than Item 7.01, which was furnished) with the SEC on April 23, 2008 (documentation related to debt offering);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Current Report on Form 8-K filed (other than Item 7.01, which was furnished) with the SEC on May 12, 2008 (execution of underwriting agreement related to equity offering);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SEC on May 20, 2008 (unaudited consolidated balance sheet of PAA GP LLC as of March 31, 2008);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SEC on May 30, 2008 (amendment of the Limited Partnership Agreement of Plains All American Pipeline, L.P.);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SEC on July 28, 2008 (officer title changes);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(other than Item 7.01, which was furnished) with the SEC on August 7, 2008 (amendment of the Limited Partnership Agreement of Plains AAP, L.P. and the Limited Liability Company Agreement of Plains All American GP LLC);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SEC on August 19, 2008 (unaudited consolidated balance sheet of PAA GP LLC as of June 30, 2008);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SEC on October 31, 2008 (extension of exchange offer of senior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SEC on November 7, 2008 (second restated credit agreement);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SEC on November 14, 2008 (unaudited consolidated balance sheet of PAA GP LLC as of September 30, 2008);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(other than Item 7.01, which was furnished) with the SEC on November 14, 2008 (board of director changes);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description of our common units contained in our Form 8-A/A dated November 3, 1998 and any subsequent amendment thereto filed for the purpose of updating such description.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333 Clay Street, Suite 1600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77002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Tim Moore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(713) 646-4100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22" w:name="X84049103"/>
      <w:bookmarkEnd w:id="2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failure to implement or capitalize on planned internal growth projects;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our counterparties, including financial institutions and trading companies with which we do business;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success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ability to obtain debt or equity financing on satisfactory terms to fund additional acquisitions, expansion projects, working capital requirements and the repayment or refinancing of indebtedness;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successful integration and future performance of acquired assets or businesses and the risks associated with operating in lines of business that are distinct and separate from our historical operations;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current and future laws, rulings, governmental regulations and interpretations;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effects of competition;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interruptions in service and fluctuations in tariffs or volumes on third-party pipelines;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increased costs or lack of availability of insurance;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weather interference with business operations or project construction;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9"/>
        <w:gridCol w:w="9533"/>
      </w:tblGrid>
      <w:tr>
        <w:trPr/>
        <w:tc>
          <w:tcPr>
            <w:tcW w:w="40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risks related to the development and operation of natural gas storage facilities;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future developments and circumstances at the time distributions are declared;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general economic, market or business conditions;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5 of this prospectus and in Item 1A. Risk Factors in our annual report on Form 10-K for the year ended December 31, 2007. Except as required by securities laws applicable to the documents incorporated by reference, we do not intend to update these forward-looking statements and information. </w:t>
      </w:r>
    </w:p>
    <w:p>
      <w:pPr>
        <w:pStyle w:val="TextBody"/>
        <w:spacing w:before="360" w:after="283"/>
        <w:rPr/>
      </w:pPr>
      <w:bookmarkStart w:id="23" w:name="X84049104"/>
      <w:bookmarkEnd w:id="2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WHO WE ARE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 Delaware limited partnership formed in September 1998. Our operations are conducted directly and indirectly through our operating subsidiaries. We are engaged in the transportation, storage, terminalling and marketing of crude oil, refined products and liquefied petroleum gas and other natural gas related petroleum products. We own an extensive network of pipeline transportation, terminalling, storage and gathering assets in key oil producing basins, transportation corridors and at major market hubs in the United States and Canada. In addition, through our 50% equity ownership in PAA/Vulcan Gas Storage, LLC, we are also engaged in the development and operation of natural gas storage facilities.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purposes of this prospectus, unless the context clearly indicates otherwise, we, us, our, Plains All American Pipeline and similar terms refer to Plains All American Pipeline, L.P. and its subsidiaries. References to our general partner, as the context requires, includes any or all of PAA GP LLC, Plains AAP, L.P. and Plains All American GP LLC.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executive offices are located at 333 Clay Street, Suite 1600, Houston, Texas 77002 and our telephone number is (713) 646-4100.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additional information as to our business, properties and financial condition, please refer to the documents cited in Where You Can Find More Information.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24" w:name="X84049105"/>
      <w:bookmarkEnd w:id="2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2007, in evaluating an investment in our securities. If any of these risks were to occur, our business, financial condition or results of operations could be adversely affected. In that case, the trading price of our common units could decline and you could lose all or part of your investment. When we offer and sell any securities pursuant to a prospectus supplement, we may include additional risk factors relevant to such securities in the prospectus supplement.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25" w:name="X84049106"/>
      <w:bookmarkEnd w:id="2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receive any proceeds from the sale of common units by the selling unitholders.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26" w:name="X84049107"/>
      <w:bookmarkEnd w:id="2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outstanding common units are listed on the NYSE under the symbol PAA. Any additional common units we issue will also be listed on the NYSE.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transfer agent and registrar for our common units is American Stock Transfer &amp; Trust Company.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Meetings/Voting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holder of common units is entitled to one vote for each common unit on all matters submitted to a vote of the unitholders.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Status as Limited Partner or Assignee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described below under  Limited Liability, the common units will be fully paid, and unitholders will not be required to make additional capital contributions to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Liability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Reports and Records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soon as practicable, but in no event later than 120 days after the close of each fiscal year, our general partner will furnish or make available to each unitholder of record (as of a record date selected by our general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limited partner can, for a purpose reasonably related to the limited partners interest as a limited partner, upon reasonable demand and at his own expense, have furnished to him: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current list of the name and last known address of each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copy of our tax returns;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information as to the amount of cash and a description and statement of the agreed value of any other property or services, contributed or to be contributed by each partner and the date on which each became a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copies of our partnership agreement, our certificate of limited partnership, amendments to either of them and powers of attorney which have been executed under our partnership agreement;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information regarding the status of our business and financial condition;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any other information regarding our affairs as is just and reasonable.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27" w:name="X84049108"/>
      <w:bookmarkEnd w:id="2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CASH DISTRIBUTION POLICY</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of Available Cash</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We will distribute to our unitholders, on a quarterly basis, all of our available cash in the manner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Available Cash.</w:t>
      </w:r>
      <w:r>
        <w:rPr>
          <w:rFonts w:ascii="Times New Roman;Times" w:hAnsi="Times New Roman;Times"/>
          <w:color w:val="000000"/>
          <w:sz w:val="17"/>
          <w:highlight w:val="white"/>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for the proper conduct of our business;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comply with applicable law or any partnership debt instrument or other agreement;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funds for distributions to unitholders and the general partner in respect of any one or more of the next four quarters.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Operating Surplus and Capital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Operating Surplus.</w:t>
      </w:r>
      <w:r>
        <w:rPr>
          <w:rFonts w:ascii="Times New Roman;Times" w:hAnsi="Times New Roman;Times"/>
          <w:color w:val="000000"/>
          <w:sz w:val="17"/>
          <w:highlight w:val="white"/>
        </w:rPr>
        <w:t xml:space="preserve">  Operating surplus refers generally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71"/>
        <w:gridCol w:w="9529"/>
      </w:tblGrid>
      <w:tr>
        <w:trPr/>
        <w:tc>
          <w:tcPr>
            <w:tcW w:w="40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our cash balances on the closing date of our initial public offering; plus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$25 million; plus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all of our cash receipts from operations, excluding cash that is capital surplus; less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Definition of Capital Surplus.</w:t>
      </w:r>
      <w:r>
        <w:rPr>
          <w:rFonts w:ascii="Times New Roman;Times" w:hAnsi="Times New Roman;Times"/>
          <w:color w:val="000000"/>
          <w:sz w:val="17"/>
          <w:highlight w:val="white"/>
        </w:rPr>
        <w:t xml:space="preserve">  Capital surplus will generally be generated only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borrowings other than working capital borrowings;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sales of debt and equity securities;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sales or other dispositions of assets for cash, other than inventory, accounts receivable and other assets in the ordinary course of business.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Incentive Distribution Rights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Effect of Issuance of Additional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Quarterly Distributions of Available Cash</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From Operating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make distributions of available cash from operating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First, 98% to all unitholders, pro rata, and 2% to the general partner, until we distribute for each unit an amount equal to the minimum quarterly distribution for that quarter;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Thereafter, in the manner described in  Incentive Distribution Rights below.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Incentive Distribution Rights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2"/>
        <w:gridCol w:w="9537"/>
      </w:tblGrid>
      <w:tr>
        <w:trPr/>
        <w:tc>
          <w:tcPr>
            <w:tcW w:w="4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First, 85% to all unitholders, pro rata, and 15% to the general partner, until each unitholder receives a total of $0.495 for that quarter for each outstanding unit (the first target distribution);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Second, 75% to all unitholders, pro rata, and 25% to the general partner, until each unitholder receives a total of $0.675 for that quarter for each outstanding unit (the second target distribution);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Thereafter, 50% to all unitholders, pro rata, and 50% to the general partner.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Adjustments to Incentive Distribution Rights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closing of the Pacific and Rainbow acquisitions, our general partner agreed to reduce the amounts due it as incentive distributions. The total reduction in incentive distributions related to these acquisitions will be $75 million. Following our distribution in November 2008, the remaining incentive distribution reductions related to Pacific and Rainbow totaled approximately $38 million.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Distributions from Capital Surplus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How Distributions from Capital Surplus Will Be Made.</w:t>
      </w:r>
      <w:r>
        <w:rPr>
          <w:rFonts w:ascii="Times New Roman;Times" w:hAnsi="Times New Roman;Times"/>
          <w:color w:val="000000"/>
          <w:sz w:val="17"/>
          <w:highlight w:val="white"/>
        </w:rPr>
        <w:t xml:space="preserve">  We will make distributions of available cash from capital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Thereafter, we will make all distributions of available cash from capital surplus as if they were from operating surplus.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Effect of a Distribution from Capital Surplus.</w:t>
      </w:r>
      <w:r>
        <w:rPr>
          <w:rFonts w:ascii="Times New Roman;Times" w:hAnsi="Times New Roman;Times"/>
          <w:color w:val="000000"/>
          <w:sz w:val="17"/>
          <w:highlight w:val="white"/>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When Payback Occurs.</w:t>
      </w:r>
      <w:r>
        <w:rPr>
          <w:rFonts w:ascii="Times New Roman;Times" w:hAnsi="Times New Roman;Times"/>
          <w:color w:val="000000"/>
          <w:sz w:val="17"/>
          <w:highlight w:val="white"/>
        </w:rPr>
        <w:t xml:space="preserve">  When payback of the reduced initial unit price has occurred, i.e., when the unrecovered capital of the common units is zero, then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minimum quarterly distribution and the target distribution levels will be reduced to zero for subsequent quarters;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all distributions of available cash will be treated as operating surplus;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general partner will be entitled to receive 50% of distributions of available cash in its capacities as general partner and as holder of the incentive distribution rights.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Distributions of available cash from capital surplus will not reduce the minimum quarterly distribution or target distribution levels for the quarter in which they are distributed.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Adjustment to the Minimum Quarterly Distribution and Target Distribution Levels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How We Adjust the Minimum Quarterly Distribution and Target Distribution Levels.</w:t>
      </w:r>
      <w:r>
        <w:rPr>
          <w:rFonts w:ascii="Times New Roman;Times" w:hAnsi="Times New Roman;Times"/>
          <w:color w:val="000000"/>
          <w:sz w:val="17"/>
          <w:highlight w:val="white"/>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minimum quarterly distribution;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target distribution levels;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unrecovered capital;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other amounts calculated on a per unit basis.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If We Became Subject to Taxation.</w:t>
      </w:r>
      <w:r>
        <w:rPr>
          <w:rFonts w:ascii="Times New Roman;Times" w:hAnsi="Times New Roman;Times"/>
          <w:color w:val="000000"/>
          <w:sz w:val="17"/>
          <w:highlight w:val="white"/>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77"/>
        <w:gridCol w:w="9519"/>
      </w:tblGrid>
      <w:tr>
        <w:trPr/>
        <w:tc>
          <w:tcPr>
            <w:tcW w:w="4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519"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77" w:type="dxa"/>
            <w:tcBorders/>
            <w:shd w:fill="FFFFFF" w:val="clear"/>
          </w:tcPr>
          <w:p>
            <w:pPr>
              <w:pStyle w:val="TableContents"/>
              <w:spacing w:before="0" w:after="283"/>
              <w:rPr/>
            </w:pPr>
            <w:r>
              <w:rPr/>
              <w:t xml:space="preserve">  </w:t>
            </w:r>
          </w:p>
        </w:tc>
        <w:tc>
          <w:tcPr>
            <w:tcW w:w="9519" w:type="dxa"/>
            <w:tcBorders/>
            <w:shd w:fill="FFFFFF" w:val="clear"/>
          </w:tcPr>
          <w:p>
            <w:pPr>
              <w:pStyle w:val="TableContents"/>
              <w:spacing w:before="0" w:after="283"/>
              <w:jc w:val="left"/>
              <w:rPr/>
            </w:pPr>
            <w:r>
              <w:rPr/>
              <w:t xml:space="preserve">one minus the sum of (x) the maximum effective federal income tax rate to which we as an entity were subject plus (y) any increase in state and local income taxes to which we are subject for the taxable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3"/>
        <w:gridCol w:w="202"/>
        <w:gridCol w:w="9600"/>
      </w:tblGrid>
      <w:tr>
        <w:trPr/>
        <w:tc>
          <w:tcPr>
            <w:tcW w:w="40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600"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sz w:val="4"/>
                <w:szCs w:val="4"/>
              </w:rPr>
            </w:pPr>
            <w:r>
              <w:rPr>
                <w:sz w:val="4"/>
                <w:szCs w:val="4"/>
              </w:rPr>
            </w:r>
          </w:p>
        </w:tc>
        <w:tc>
          <w:tcPr>
            <w:tcW w:w="9600" w:type="dxa"/>
            <w:tcBorders/>
            <w:shd w:fill="FFFFFF" w:val="clear"/>
          </w:tcPr>
          <w:p>
            <w:pPr>
              <w:pStyle w:val="TableContents"/>
              <w:spacing w:before="0" w:after="283"/>
              <w:jc w:val="left"/>
              <w:rPr/>
            </w:pPr>
            <w:r>
              <w:rPr/>
              <w:t xml:space="preserve">year of the event, after adjusting for any allowable deductions for federal income tax purposes for the payment of state and local income taxes.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Distribution of Cash Upon Liquidation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Manner of Adjustment.</w:t>
      </w:r>
      <w:r>
        <w:rPr>
          <w:rFonts w:ascii="Times New Roman;Times" w:hAnsi="Times New Roman;Times"/>
          <w:color w:val="000000"/>
          <w:sz w:val="17"/>
          <w:highlight w:val="white"/>
        </w:rPr>
        <w:t xml:space="preserve">  If we liquidate, we would allocate any loss to the general partner and each unitholder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Thereafter, 100% to the general partner.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Interim Adjustments to Capital Accounts.</w:t>
      </w:r>
      <w:r>
        <w:rPr>
          <w:rFonts w:ascii="Times New Roman;Times" w:hAnsi="Times New Roman;Times"/>
          <w:color w:val="000000"/>
          <w:sz w:val="17"/>
          <w:highlight w:val="white"/>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28" w:name="X84049109"/>
      <w:bookmarkEnd w:id="2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OUR PARTNERSHIP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is a summary of the material provisions of our partnership agreement. The following provisions of our partnership agreement are summarized elsewhere in this prospectus: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distributions of our available cash are described under Cash Distribution Policy;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allocations of taxable income and other tax matters are described under Material Income Tax Considerations;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rights of holders of common units are described under Description of Our Common Units.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Purpose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Power of Attorney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Reimbursements of Our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Issuance of Additional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Amendments to Our Partnership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Withdrawal or Removal of Our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Liquidation and Distribution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9"/>
        <w:gridCol w:w="9531"/>
      </w:tblGrid>
      <w:tr>
        <w:trPr/>
        <w:tc>
          <w:tcPr>
            <w:tcW w:w="4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first, towards the payment of all of our creditors and the creation of a reserve for contingent liabilities;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then, to all partners in accordance with the positive balance in the respective capital accounts.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Change of Management Provisions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partnership agreement contains the following specific provisions that are intended to discourage a person or group from attempting to remove our general partner or otherwise change management: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generally, if a person acquires 20% or more of any class of units then outstanding other than from our general partner or its affiliates, the units owned by such person cannot be voted on any matter;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Call Right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Indemnification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Registration Rights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29" w:name="X84049110"/>
      <w:bookmarkEnd w:id="2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MATERIAL INCOME 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existing and proposed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as to matters of law and legal conclusions, but not as to factual matters, contained in this section, unless otherwise noted, are the opinion of Vinson &amp; Elkins L.L.P. and are based on the accuracy of the representations made by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Partnership Status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rendering its opinion, Vinson &amp; Elkins L.L.P. has relied on factual representations made by us and our general partner. The representations made by us and our general partner upon which Vinson &amp; Elkins L.L.P. has relied are: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Neither we nor the operating partnerships have elected or will elect to be treated as a corporation;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For each taxable year, more than 90% of our gross income has been and will be income that Vinson &amp; Elkins L.L.P. has opined or will opine is qualifying income within the meaning of Section 7704(d) of the Internal Revenue Code; and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discussion below is based on Vinson &amp; Elkins L.L.P.s opinion that we will be classified as a partnership for federal income tax purposes.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Limited Partner Status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Unitholders who have become limited partners of Plains All American Pipeline, L.P. will be treated as partners of Plains All American Pipeline, L.P. for federal income tax purposes. Also, unitholders whose common units are held in street name or by a nominee and who have the right to direct the nominee in the exercise of all substantive rights attendant to the ownership of their common units will be treated as partners of Plains All American Pipeline, L.P. for federal income tax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references to unitholders in the discussion that follows are to persons who are treated as partners in Plains All American Pipeline, L.P. for federal income tax purposes.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Consequences of Unit Ownership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Flow-Through of Taxable Income.</w:t>
      </w:r>
      <w:r>
        <w:rPr>
          <w:rFonts w:ascii="Times New Roman;Times" w:hAnsi="Times New Roman;Times"/>
          <w:color w:val="000000"/>
          <w:sz w:val="17"/>
          <w:highlight w:val="white"/>
        </w:rPr>
        <w:t xml:space="preserve">  We will not pay any federal income tax. Instead, each unitholder will be required to report on his 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Treatment of Distributions.</w:t>
      </w:r>
      <w:r>
        <w:rPr>
          <w:rFonts w:ascii="Times New Roman;Times" w:hAnsi="Times New Roman;Times"/>
          <w:color w:val="000000"/>
          <w:sz w:val="17"/>
          <w:highlight w:val="white"/>
        </w:rPr>
        <w:t xml:space="preserve">  Distributions by us to a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 Limitations on Deductibility of Losses.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Basis of Common Units.</w:t>
      </w:r>
      <w:r>
        <w:rPr>
          <w:rFonts w:ascii="Times New Roman;Times" w:hAnsi="Times New Roman;Times"/>
          <w:color w:val="000000"/>
          <w:sz w:val="17"/>
          <w:highlight w:val="white"/>
        </w:rPr>
        <w:t xml:space="preserve">  A unitholders initial tax basis for his common units will be the amount he paid for our common units plus his share of our nonrecourse liabilities. That basis will be increased by his share of our income and by any increases in his share of our nonrecourse liabilities. That basis will be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Limitations on Deductibility of Losses.</w:t>
      </w:r>
      <w:r>
        <w:rPr>
          <w:rFonts w:ascii="Times New Roman;Times" w:hAnsi="Times New Roman;Times"/>
          <w:color w:val="000000"/>
          <w:sz w:val="17"/>
          <w:highlight w:val="white"/>
        </w:rPr>
        <w:t xml:space="preserve">  The deduction by a unitholder of his share of our losses will be limited to the tax basis in his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unitholders share of our net income may be offset by any of our suspended passive losses, but it may not be offset by any other current or carryover losses from other passive activities, including those attributable to other publicly traded partnerships.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Limitations on Interest Deductions.</w:t>
      </w:r>
      <w:r>
        <w:rPr>
          <w:rFonts w:ascii="Times New Roman;Times" w:hAnsi="Times New Roman;Times"/>
          <w:color w:val="000000"/>
          <w:sz w:val="17"/>
          <w:highlight w:val="white"/>
        </w:rPr>
        <w:t xml:space="preserve">  The deductibility of a non-corporate taxpayers investment interest expense is generally limited to the amount of that taxpayers net investment income. Investment interest expense includes: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interest on indebtedness properly allocable to property held for investment;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our interest expense attributed to portfolio income;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the portion of interest expense incurred to purchase or carry an interest in a passive activity to the extent attributable to portfolio income.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Entity-Level Collections.</w:t>
      </w:r>
      <w:r>
        <w:rPr>
          <w:rFonts w:ascii="Times New Roman;Times" w:hAnsi="Times New Roman;Times"/>
          <w:color w:val="000000"/>
          <w:sz w:val="17"/>
          <w:highlight w:val="white"/>
        </w:rPr>
        <w:t xml:space="preserve">  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Allocation of Income, Gain, Loss and Deduction.</w:t>
      </w:r>
      <w:r>
        <w:rPr>
          <w:rFonts w:ascii="Times New Roman;Times" w:hAnsi="Times New Roman;Times"/>
          <w:color w:val="000000"/>
          <w:sz w:val="17"/>
          <w:highlight w:val="white"/>
        </w:rPr>
        <w:t xml:space="preserve">  In general, if we have a net profit, our items of income, gain, loss and deduction 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Specified items of our income, gain, loss and deduction will be allocated to account for the difference between the tax basis and fair market value of our assets at the time of an offering,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his relative contributions to us;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interests of all the partners in profits and losses;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interest of all the partners in cash flow;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rights of all the partners to distributions of capital upon liquidation.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Vinson &amp; Elkins L.L.P. is of the opinion that, with the exception of the issues described in  Section 754 Election and  Disposition of Common Units  Allocations Between Transferors and Transferees, allocations under our partnership agreement will be given effect for federal income tax purposes in determining a partners share of an item of income, gain, loss or deduction.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Treatment of Short Sales.</w:t>
      </w:r>
      <w:r>
        <w:rPr>
          <w:rFonts w:ascii="Times New Roman;Times" w:hAnsi="Times New Roman;Times"/>
          <w:color w:val="000000"/>
          <w:sz w:val="17"/>
          <w:highlight w:val="white"/>
        </w:rPr>
        <w:t xml:space="preserve">  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any of our income, gain, loss or deduction with respect to those units would not be reportable by the unitholder;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any cash distributions received by the unitholder as to those units would be fully taxable;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all of these distributions would appear to be ordinary income.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Alternative Minimum Tax.</w:t>
      </w:r>
      <w:r>
        <w:rPr>
          <w:rFonts w:ascii="Times New Roman;Times" w:hAnsi="Times New Roman;Times"/>
          <w:color w:val="000000"/>
          <w:sz w:val="17"/>
          <w:highlight w:val="white"/>
        </w:rPr>
        <w:t xml:space="preserve">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Tax Rates.</w:t>
      </w:r>
      <w:r>
        <w:rPr>
          <w:rFonts w:ascii="Times New Roman;Times" w:hAnsi="Times New Roman;Times"/>
          <w:color w:val="000000"/>
          <w:sz w:val="17"/>
          <w:highlight w:val="white"/>
        </w:rPr>
        <w:t xml:space="preserve">  Under current law, the highest marginal U.S. federal income tax rate applicable to ordinary income of individuals is 35% 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Section 754 Election.</w:t>
      </w:r>
      <w:r>
        <w:rPr>
          <w:rFonts w:ascii="Times New Roman;Times" w:hAnsi="Times New Roman;Times"/>
          <w:color w:val="000000"/>
          <w:sz w:val="17"/>
          <w:highlight w:val="white"/>
        </w:rPr>
        <w:t xml:space="preserve">  We will make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Where the remedial allocation method is adopted (which we have generally adopted as to all of our properties), the Treasury Regulations under Section 743 of the Internal Revenue Code require a portion of the Section 743(b) adjustment that is attributable to recovery property under Section 168 of the Internal Revenue Code whose book basis is in excess of its tax basis to be depreciated over the remaining cost recovery period for the Section 704(c) built in gain. Under Treasury Regulation Section 1.167(c)-1(a)(6), a Section 743(b)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 Uniformity of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permission from the IRS to revoke our Section 754 election. If permission is granted, a subsequent purchaser of units may be allocated more income than he would have been allocated had the election not been revoked.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Treatment of Operations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Accounting Method and Taxable Year.</w:t>
      </w:r>
      <w:r>
        <w:rPr>
          <w:rFonts w:ascii="Times New Roman;Times" w:hAnsi="Times New Roman;Times"/>
          <w:color w:val="000000"/>
          <w:sz w:val="17"/>
          <w:highlight w:val="white"/>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Initial Tax Basis, Depreciation and Amortization.</w:t>
      </w:r>
      <w:r>
        <w:rPr>
          <w:rFonts w:ascii="Times New Roman;Times" w:hAnsi="Times New Roman;Times"/>
          <w:color w:val="000000"/>
          <w:sz w:val="17"/>
          <w:highlight w:val="white"/>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 Tax Consequences of Unit Ownership  Allocation of Income, Gain, Loss and Deduction.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Valuation and Tax Basis of Our Properties.</w:t>
      </w:r>
      <w:r>
        <w:rPr>
          <w:rFonts w:ascii="Times New Roman;Times" w:hAnsi="Times New Roman;Times"/>
          <w:color w:val="000000"/>
          <w:sz w:val="17"/>
          <w:highlight w:val="white"/>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Disposition of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Recognition of Gain or Loss.</w:t>
      </w:r>
      <w:r>
        <w:rPr>
          <w:rFonts w:ascii="Times New Roman;Times" w:hAnsi="Times New Roman;Times"/>
          <w:color w:val="000000"/>
          <w:sz w:val="17"/>
          <w:highlight w:val="white"/>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 short sale;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an offsetting notional principal contract;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 futures or forward contract with respect to the partnership interest or substantially identical property.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Allocations Between Transferors and Transferees.</w:t>
      </w:r>
      <w:r>
        <w:rPr>
          <w:rFonts w:ascii="Times New Roman;Times" w:hAnsi="Times New Roman;Times"/>
          <w:color w:val="000000"/>
          <w:sz w:val="17"/>
          <w:highlight w:val="white"/>
        </w:rPr>
        <w:t xml:space="preserve">  In general, our taxable income and losses will be determined annually, will be 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simplifying conventions are contemplated by the Internal Revenue Code and most publicly traded partnerships use similar simplifying conventions, the use of this method may not be permitted under existing Treasury Regulations.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Notification Requirements.</w:t>
      </w:r>
      <w:r>
        <w:rPr>
          <w:rFonts w:ascii="Times New Roman;Times" w:hAnsi="Times New Roman;Times"/>
          <w:color w:val="000000"/>
          <w:sz w:val="17"/>
          <w:highlight w:val="white"/>
        </w:rPr>
        <w:t xml:space="preserve">  A unitholder who sells any of his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Constructive Termination.</w:t>
      </w:r>
      <w:r>
        <w:rPr>
          <w:rFonts w:ascii="Times New Roman;Times" w:hAnsi="Times New Roman;Times"/>
          <w:color w:val="000000"/>
          <w:sz w:val="17"/>
          <w:highlight w:val="white"/>
        </w:rPr>
        <w:t xml:space="preserve">  We will be considered to have been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Uniformity of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Tax-Exempt Organizations and Other Investors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Administrative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Information Returns and Audit Procedures.</w:t>
      </w:r>
      <w:r>
        <w:rPr>
          <w:rFonts w:ascii="Times New Roman;Times" w:hAnsi="Times New Roman;Times"/>
          <w:color w:val="000000"/>
          <w:sz w:val="17"/>
          <w:highlight w:val="white"/>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Tax Matters Partner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profits or by any group of unitholders having in the aggregate at least a 5% interest in profits. However, only one action for judicial review will go forward, and each unitholder with an interest in the outcome may participate.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the name, address and taxpayer identification number of the beneficial owner and the nominee;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whether the beneficial owner is: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98"/>
        <w:gridCol w:w="264"/>
        <w:gridCol w:w="9343"/>
      </w:tblGrid>
      <w:tr>
        <w:trPr/>
        <w:tc>
          <w:tcPr>
            <w:tcW w:w="59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343" w:type="dxa"/>
            <w:tcBorders/>
            <w:shd w:fill="auto" w:val="clear"/>
            <w:vAlign w:val="center"/>
          </w:tcPr>
          <w:p>
            <w:pPr>
              <w:pStyle w:val="TableContents"/>
              <w:spacing w:before="0" w:after="283"/>
              <w:rPr>
                <w:sz w:val="4"/>
                <w:szCs w:val="4"/>
              </w:rPr>
            </w:pPr>
            <w:r>
              <w:rPr>
                <w:sz w:val="4"/>
                <w:szCs w:val="4"/>
              </w:rPr>
            </w:r>
          </w:p>
        </w:tc>
      </w:tr>
      <w:tr>
        <w:trPr/>
        <w:tc>
          <w:tcPr>
            <w:tcW w:w="598"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343" w:type="dxa"/>
            <w:tcBorders/>
            <w:shd w:fill="FFFFFF" w:val="clear"/>
          </w:tcPr>
          <w:p>
            <w:pPr>
              <w:pStyle w:val="TableContents"/>
              <w:spacing w:before="0" w:after="283"/>
              <w:jc w:val="left"/>
              <w:rPr/>
            </w:pPr>
            <w:r>
              <w:rPr/>
              <w:t xml:space="preserve">a person that is not a United States person; </w:t>
            </w:r>
          </w:p>
        </w:tc>
      </w:tr>
      <w:tr>
        <w:trPr/>
        <w:tc>
          <w:tcPr>
            <w:tcW w:w="598" w:type="dxa"/>
            <w:tcBorders/>
            <w:shd w:fill="auto" w:val="clear"/>
            <w:vAlign w:val="center"/>
          </w:tcPr>
          <w:p>
            <w:pPr>
              <w:pStyle w:val="TableContents"/>
              <w:spacing w:before="0" w:after="283"/>
              <w:rPr/>
            </w:pPr>
            <w:r>
              <w:rPr/>
              <w:t> </w:t>
            </w:r>
          </w:p>
        </w:tc>
        <w:tc>
          <w:tcPr>
            <w:tcW w:w="9607" w:type="dxa"/>
            <w:gridSpan w:val="2"/>
            <w:tcBorders/>
            <w:shd w:fill="auto" w:val="clear"/>
          </w:tcPr>
          <w:p>
            <w:pPr>
              <w:pStyle w:val="TableContents"/>
              <w:spacing w:before="0" w:after="283"/>
              <w:rPr>
                <w:sz w:val="4"/>
                <w:szCs w:val="4"/>
              </w:rPr>
            </w:pPr>
            <w:r>
              <w:rPr>
                <w:sz w:val="4"/>
                <w:szCs w:val="4"/>
              </w:rPr>
            </w:r>
          </w:p>
        </w:tc>
      </w:tr>
      <w:tr>
        <w:trPr/>
        <w:tc>
          <w:tcPr>
            <w:tcW w:w="598"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343" w:type="dxa"/>
            <w:tcBorders/>
            <w:shd w:fill="FFFFFF" w:val="clear"/>
          </w:tcPr>
          <w:p>
            <w:pPr>
              <w:pStyle w:val="TableContents"/>
              <w:spacing w:before="0" w:after="283"/>
              <w:jc w:val="left"/>
              <w:rPr/>
            </w:pPr>
            <w:r>
              <w:rPr/>
              <w:t xml:space="preserve">a foreign government, an international organization or any wholly owned agency or instrumentality of either of the foregoing; or </w:t>
            </w:r>
          </w:p>
        </w:tc>
      </w:tr>
      <w:tr>
        <w:trPr/>
        <w:tc>
          <w:tcPr>
            <w:tcW w:w="598" w:type="dxa"/>
            <w:tcBorders/>
            <w:shd w:fill="auto" w:val="clear"/>
            <w:vAlign w:val="center"/>
          </w:tcPr>
          <w:p>
            <w:pPr>
              <w:pStyle w:val="TableContents"/>
              <w:spacing w:before="0" w:after="283"/>
              <w:rPr/>
            </w:pPr>
            <w:r>
              <w:rPr/>
              <w:t> </w:t>
            </w:r>
          </w:p>
        </w:tc>
        <w:tc>
          <w:tcPr>
            <w:tcW w:w="9607" w:type="dxa"/>
            <w:gridSpan w:val="2"/>
            <w:tcBorders/>
            <w:shd w:fill="auto" w:val="clear"/>
          </w:tcPr>
          <w:p>
            <w:pPr>
              <w:pStyle w:val="TableContents"/>
              <w:spacing w:before="0" w:after="283"/>
              <w:rPr>
                <w:sz w:val="4"/>
                <w:szCs w:val="4"/>
              </w:rPr>
            </w:pPr>
            <w:r>
              <w:rPr>
                <w:sz w:val="4"/>
                <w:szCs w:val="4"/>
              </w:rPr>
            </w:r>
          </w:p>
        </w:tc>
      </w:tr>
      <w:tr>
        <w:trPr/>
        <w:tc>
          <w:tcPr>
            <w:tcW w:w="598"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343" w:type="dxa"/>
            <w:tcBorders/>
            <w:shd w:fill="FFFFFF" w:val="clear"/>
          </w:tcPr>
          <w:p>
            <w:pPr>
              <w:pStyle w:val="TableContents"/>
              <w:spacing w:before="0" w:after="283"/>
              <w:jc w:val="left"/>
              <w:rPr/>
            </w:pPr>
            <w:r>
              <w:rPr/>
              <w:t xml:space="preserve">a tax-exempt entity;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2"/>
        <w:gridCol w:w="9536"/>
      </w:tblGrid>
      <w:tr>
        <w:trPr/>
        <w:tc>
          <w:tcPr>
            <w:tcW w:w="40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amount and description of units held, acquired or transferred for the beneficial owner;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Accuracy-Related Penalties.</w:t>
      </w:r>
      <w:r>
        <w:rPr>
          <w:rFonts w:ascii="Times New Roman;Times" w:hAnsi="Times New Roman;Times"/>
          <w:color w:val="000000"/>
          <w:sz w:val="17"/>
          <w:highlight w:val="white"/>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6"/>
        <w:gridCol w:w="9531"/>
      </w:tblGrid>
      <w:tr>
        <w:trPr/>
        <w:tc>
          <w:tcPr>
            <w:tcW w:w="4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for which there is, or was, substantial authority;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as to which there is a reasonable basis and the pertinent facts of that position are disclosed on the return.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substantial valuation misstatement exists if the value of any property, or the adjusted basis of any property, claimed on a tax return is 150% or more of the amount determined to be the correct amount of the valuation or adjusted basis. No penalty is imposed unless the portion of the underpayment attributable to a substantial valuation misstatement exceeds $5,000 ($10,000 for most corporations). If the valuation claimed 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return is 200% or more than the correct valuation, the penalty imposed increases to 40%. We do not anticipate making any valuation misstatements.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Reportable Transactions.</w:t>
      </w:r>
      <w:r>
        <w:rPr>
          <w:rFonts w:ascii="Times New Roman;Times" w:hAnsi="Times New Roman;Times"/>
          <w:color w:val="000000"/>
          <w:sz w:val="17"/>
          <w:highlight w:val="white"/>
        </w:rPr>
        <w:t xml:space="preserve">  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 Information Returns and Audit Procedures.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0"/>
        <w:gridCol w:w="9549"/>
      </w:tblGrid>
      <w:tr>
        <w:trPr/>
        <w:tc>
          <w:tcPr>
            <w:tcW w:w="39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9"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9" w:type="dxa"/>
            <w:tcBorders/>
            <w:shd w:fill="FFFFFF" w:val="clear"/>
          </w:tcPr>
          <w:p>
            <w:pPr>
              <w:pStyle w:val="TableContents"/>
              <w:spacing w:before="0" w:after="283"/>
              <w:jc w:val="left"/>
              <w:rPr/>
            </w:pPr>
            <w:r>
              <w:rPr/>
              <w:t xml:space="preserve">accuracy-related penalties with a broader scope, significantly narrower exceptions, and potentially greater amounts than described above at  Accuracy-Related Penalties;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9" w:type="dxa"/>
            <w:tcBorders/>
            <w:shd w:fill="FFFFFF" w:val="clear"/>
          </w:tcPr>
          <w:p>
            <w:pPr>
              <w:pStyle w:val="TableContents"/>
              <w:spacing w:before="0" w:after="283"/>
              <w:jc w:val="left"/>
              <w:rPr/>
            </w:pPr>
            <w:r>
              <w:rPr/>
              <w:t xml:space="preserve">for those persons otherwise entitled to deduct interest on federal tax deficiencies, nondeductibility of interest on any resulting tax liability;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9" w:type="dxa"/>
            <w:tcBorders/>
            <w:shd w:fill="FFFFFF" w:val="clear"/>
          </w:tcPr>
          <w:p>
            <w:pPr>
              <w:pStyle w:val="TableContents"/>
              <w:spacing w:before="0" w:after="283"/>
              <w:jc w:val="left"/>
              <w:rPr/>
            </w:pPr>
            <w:r>
              <w:rPr/>
              <w:t xml:space="preserve">in the case of a listed transaction, an extended statute of limitations.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do not expect to engage in any reportable transactions.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State, Local, Foreign and Other 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7"/>
          <w:highlight w:val="white"/>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r>
        <w:rPr>
          <w:rFonts w:ascii="Times New Roman;Times" w:hAnsi="Times New Roman;Times"/>
          <w:color w:val="000000"/>
          <w:sz w:val="17"/>
          <w:highlight w:val="white"/>
        </w:rPr>
        <w:t xml:space="preserv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30" w:name="X84049111"/>
      <w:bookmarkEnd w:id="3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SELLING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covers the offering for resale of up to 17,646,478 common units by selling unitholders identified below. No offer or sale may occur unless the registration statement that includes this prospectus has been declared effective by the SEC, and remains effective at the time such selling unitholder offers or sells such common units. We are required (under certain circumstances) to update this prospectus to reflect material developments in our business, financial position and results of operations. The following table sets forth information relating to the selling unitholders beneficial ownership of our common units as of November 3, 2008 and is based on information provided by the selling unitholders: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317"/>
        <w:gridCol w:w="114"/>
        <w:gridCol w:w="160"/>
        <w:gridCol w:w="1567"/>
        <w:gridCol w:w="137"/>
        <w:gridCol w:w="144"/>
        <w:gridCol w:w="160"/>
        <w:gridCol w:w="1567"/>
        <w:gridCol w:w="137"/>
        <w:gridCol w:w="144"/>
        <w:gridCol w:w="137"/>
        <w:gridCol w:w="1139"/>
        <w:gridCol w:w="136"/>
        <w:gridCol w:w="144"/>
        <w:gridCol w:w="251"/>
        <w:gridCol w:w="666"/>
        <w:gridCol w:w="285"/>
      </w:tblGrid>
      <w:tr>
        <w:trPr/>
        <w:tc>
          <w:tcPr>
            <w:tcW w:w="3317" w:type="dxa"/>
            <w:tcBorders/>
            <w:shd w:fill="FFFFFF" w:val="clear"/>
            <w:vAlign w:val="bottom"/>
          </w:tcPr>
          <w:p>
            <w:pPr>
              <w:pStyle w:val="TableContents"/>
              <w:spacing w:before="0" w:after="283"/>
              <w:rPr/>
            </w:pPr>
            <w:r>
              <w:rPr/>
              <w:t> </w:t>
            </w:r>
          </w:p>
        </w:tc>
        <w:tc>
          <w:tcPr>
            <w:tcW w:w="114"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pPr>
            <w:r>
              <w:rPr/>
              <w:t> </w:t>
            </w:r>
          </w:p>
        </w:tc>
        <w:tc>
          <w:tcPr>
            <w:tcW w:w="1567"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jc w:val="left"/>
              <w:rPr/>
            </w:pPr>
            <w:r>
              <w:rPr/>
              <w:t> </w:t>
            </w:r>
          </w:p>
        </w:tc>
        <w:tc>
          <w:tcPr>
            <w:tcW w:w="144"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jc w:val="right"/>
              <w:rPr/>
            </w:pPr>
            <w:r>
              <w:rPr/>
              <w:t> </w:t>
            </w:r>
          </w:p>
        </w:tc>
        <w:tc>
          <w:tcPr>
            <w:tcW w:w="1567"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jc w:val="left"/>
              <w:rPr/>
            </w:pPr>
            <w:r>
              <w:rPr/>
              <w:t> </w:t>
            </w:r>
          </w:p>
        </w:tc>
        <w:tc>
          <w:tcPr>
            <w:tcW w:w="144"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jc w:val="right"/>
              <w:rPr/>
            </w:pPr>
            <w:r>
              <w:rPr/>
              <w:t> </w:t>
            </w:r>
          </w:p>
        </w:tc>
        <w:tc>
          <w:tcPr>
            <w:tcW w:w="1139"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44" w:type="dxa"/>
            <w:tcBorders/>
            <w:shd w:fill="FFFFFF" w:val="clear"/>
            <w:vAlign w:val="bottom"/>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666" w:type="dxa"/>
            <w:tcBorders/>
            <w:shd w:fill="FFFFFF" w:val="clear"/>
            <w:vAlign w:val="bottom"/>
          </w:tcPr>
          <w:p>
            <w:pPr>
              <w:pStyle w:val="TableContents"/>
              <w:spacing w:before="0" w:after="283"/>
              <w:jc w:val="right"/>
              <w:rPr/>
            </w:pPr>
            <w:r>
              <w:rPr/>
              <w:t> </w:t>
            </w:r>
          </w:p>
        </w:tc>
        <w:tc>
          <w:tcPr>
            <w:tcW w:w="285" w:type="dxa"/>
            <w:tcBorders/>
            <w:shd w:fill="FFFFFF" w:val="clear"/>
            <w:vAlign w:val="bottom"/>
          </w:tcPr>
          <w:p>
            <w:pPr>
              <w:pStyle w:val="TableContents"/>
              <w:spacing w:before="0" w:after="283"/>
              <w:jc w:val="left"/>
              <w:rPr/>
            </w:pPr>
            <w:r>
              <w:rPr/>
              <w:t> </w:t>
            </w:r>
          </w:p>
        </w:tc>
      </w:tr>
      <w:tr>
        <w:trPr/>
        <w:tc>
          <w:tcPr>
            <w:tcW w:w="3317" w:type="dxa"/>
            <w:tcBorders/>
            <w:shd w:fill="FFFFFF" w:val="clear"/>
            <w:vAlign w:val="bottom"/>
          </w:tcPr>
          <w:p>
            <w:pPr>
              <w:pStyle w:val="TableContents"/>
              <w:spacing w:before="0" w:after="283"/>
              <w:jc w:val="left"/>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1727" w:type="dxa"/>
            <w:gridSpan w:val="2"/>
            <w:tcBorders/>
            <w:shd w:fill="FFFFFF" w:val="clear"/>
            <w:vAlign w:val="bottom"/>
          </w:tcPr>
          <w:p>
            <w:pPr>
              <w:pStyle w:val="TableContents"/>
              <w:spacing w:before="0" w:after="283"/>
              <w:jc w:val="center"/>
              <w:rPr>
                <w:b/>
              </w:rPr>
            </w:pPr>
            <w:r>
              <w:rPr>
                <w:b/>
              </w:rPr>
              <w:t>Common Units</w:t>
            </w:r>
          </w:p>
        </w:tc>
        <w:tc>
          <w:tcPr>
            <w:tcW w:w="137"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727" w:type="dxa"/>
            <w:gridSpan w:val="2"/>
            <w:tcBorders/>
            <w:shd w:fill="FFFFFF" w:val="clear"/>
            <w:vAlign w:val="bottom"/>
          </w:tcPr>
          <w:p>
            <w:pPr>
              <w:pStyle w:val="TableContents"/>
              <w:spacing w:before="0" w:after="283"/>
              <w:jc w:val="center"/>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247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Common Units Owned After Offering</w:t>
            </w:r>
            <w:r>
              <w:rPr/>
              <w:t xml:space="preserve"> </w:t>
            </w:r>
          </w:p>
        </w:tc>
        <w:tc>
          <w:tcPr>
            <w:tcW w:w="285" w:type="dxa"/>
            <w:tcBorders/>
            <w:shd w:fill="FFFFFF" w:val="clear"/>
            <w:vAlign w:val="bottom"/>
          </w:tcPr>
          <w:p>
            <w:pPr>
              <w:pStyle w:val="TableContents"/>
              <w:spacing w:before="0" w:after="283"/>
              <w:jc w:val="center"/>
              <w:rPr/>
            </w:pPr>
            <w:r>
              <w:rPr/>
              <w:t xml:space="preserve">  </w:t>
            </w:r>
          </w:p>
        </w:tc>
      </w:tr>
      <w:tr>
        <w:trPr/>
        <w:tc>
          <w:tcPr>
            <w:tcW w:w="3317" w:type="dxa"/>
            <w:tcBorders/>
            <w:shd w:fill="FFFFFF" w:val="clear"/>
            <w:vAlign w:val="bottom"/>
          </w:tcPr>
          <w:p>
            <w:pPr>
              <w:pStyle w:val="TableContents"/>
              <w:spacing w:before="0" w:after="283"/>
              <w:jc w:val="left"/>
              <w:rPr/>
            </w:pPr>
            <w:r>
              <w:rPr/>
              <w:t xml:space="preserve">  </w:t>
            </w:r>
          </w:p>
        </w:tc>
        <w:tc>
          <w:tcPr>
            <w:tcW w:w="114" w:type="dxa"/>
            <w:tcBorders/>
            <w:shd w:fill="FFFFFF" w:val="clear"/>
            <w:vAlign w:val="bottom"/>
          </w:tcPr>
          <w:p>
            <w:pPr>
              <w:pStyle w:val="TableContents"/>
              <w:spacing w:before="0" w:after="283"/>
              <w:jc w:val="center"/>
              <w:rPr/>
            </w:pPr>
            <w:r>
              <w:rPr/>
              <w:t xml:space="preserve">  </w:t>
            </w:r>
          </w:p>
        </w:tc>
        <w:tc>
          <w:tcPr>
            <w:tcW w:w="1727" w:type="dxa"/>
            <w:gridSpan w:val="2"/>
            <w:tcBorders/>
            <w:shd w:fill="FFFFFF" w:val="clear"/>
            <w:vAlign w:val="bottom"/>
          </w:tcPr>
          <w:p>
            <w:pPr>
              <w:pStyle w:val="TableContents"/>
              <w:spacing w:before="0" w:after="283"/>
              <w:jc w:val="center"/>
              <w:rPr>
                <w:b/>
              </w:rPr>
            </w:pPr>
            <w:r>
              <w:rPr>
                <w:b/>
              </w:rPr>
              <w:t>Owned Prior</w:t>
            </w:r>
          </w:p>
        </w:tc>
        <w:tc>
          <w:tcPr>
            <w:tcW w:w="137"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727" w:type="dxa"/>
            <w:gridSpan w:val="2"/>
            <w:tcBorders/>
            <w:shd w:fill="FFFFFF" w:val="clear"/>
            <w:vAlign w:val="bottom"/>
          </w:tcPr>
          <w:p>
            <w:pPr>
              <w:pStyle w:val="TableContents"/>
              <w:spacing w:before="0" w:after="283"/>
              <w:jc w:val="center"/>
              <w:rPr>
                <w:b/>
              </w:rPr>
            </w:pPr>
            <w:r>
              <w:rPr>
                <w:b/>
              </w:rPr>
              <w:t>Common Units</w:t>
            </w:r>
          </w:p>
        </w:tc>
        <w:tc>
          <w:tcPr>
            <w:tcW w:w="137"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276" w:type="dxa"/>
            <w:gridSpan w:val="2"/>
            <w:tcBorders/>
            <w:shd w:fill="FFFFFF" w:val="clear"/>
            <w:vAlign w:val="bottom"/>
          </w:tcPr>
          <w:p>
            <w:pPr>
              <w:pStyle w:val="TableContents"/>
              <w:spacing w:before="0" w:after="283"/>
              <w:jc w:val="center"/>
              <w:rPr>
                <w:b/>
              </w:rPr>
            </w:pPr>
            <w:r>
              <w:rPr>
                <w:b/>
              </w:rPr>
              <w:t>Number of</w:t>
            </w:r>
          </w:p>
        </w:tc>
        <w:tc>
          <w:tcPr>
            <w:tcW w:w="136"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917" w:type="dxa"/>
            <w:gridSpan w:val="2"/>
            <w:tcBorders/>
            <w:shd w:fill="FFFFFF" w:val="clear"/>
            <w:vAlign w:val="bottom"/>
          </w:tcPr>
          <w:p>
            <w:pPr>
              <w:pStyle w:val="TableContents"/>
              <w:spacing w:before="0" w:after="283"/>
              <w:jc w:val="center"/>
              <w:rPr/>
            </w:pPr>
            <w:r>
              <w:rPr/>
              <w:t xml:space="preserve">  </w:t>
            </w:r>
          </w:p>
        </w:tc>
        <w:tc>
          <w:tcPr>
            <w:tcW w:w="285" w:type="dxa"/>
            <w:tcBorders/>
            <w:shd w:fill="FFFFFF" w:val="clear"/>
            <w:vAlign w:val="bottom"/>
          </w:tcPr>
          <w:p>
            <w:pPr>
              <w:pStyle w:val="TableContents"/>
              <w:spacing w:before="0" w:after="283"/>
              <w:jc w:val="center"/>
              <w:rPr/>
            </w:pPr>
            <w:r>
              <w:rPr/>
              <w:t xml:space="preserve">  </w:t>
            </w:r>
          </w:p>
        </w:tc>
      </w:tr>
      <w:tr>
        <w:trPr/>
        <w:tc>
          <w:tcPr>
            <w:tcW w:w="3317" w:type="dxa"/>
            <w:tcBorders/>
            <w:shd w:fill="FFFFFF" w:val="clear"/>
            <w:vAlign w:val="bottom"/>
          </w:tcPr>
          <w:p>
            <w:pPr>
              <w:pStyle w:val="TableContents"/>
              <w:spacing w:before="0" w:after="0"/>
              <w:jc w:val="left"/>
              <w:rPr>
                <w:bdr w:val="single" w:sz="2" w:space="1" w:color="000000"/>
              </w:rPr>
            </w:pPr>
            <w:r>
              <w:rPr>
                <w:b/>
                <w:bdr w:val="single" w:sz="2" w:space="1" w:color="000000"/>
              </w:rPr>
              <w:t>Selling Unitholders</w:t>
            </w:r>
            <w:r>
              <w:rPr>
                <w:bdr w:val="single" w:sz="2" w:space="1" w:color="000000"/>
              </w:rPr>
              <w:t xml:space="preserve"> </w:t>
            </w:r>
          </w:p>
        </w:tc>
        <w:tc>
          <w:tcPr>
            <w:tcW w:w="114" w:type="dxa"/>
            <w:tcBorders/>
            <w:shd w:fill="FFFFFF" w:val="clear"/>
            <w:vAlign w:val="bottom"/>
          </w:tcPr>
          <w:p>
            <w:pPr>
              <w:pStyle w:val="TableContents"/>
              <w:spacing w:before="0" w:after="283"/>
              <w:jc w:val="center"/>
              <w:rPr/>
            </w:pPr>
            <w:r>
              <w:rPr/>
              <w:t xml:space="preserve">  </w:t>
            </w:r>
          </w:p>
        </w:tc>
        <w:tc>
          <w:tcPr>
            <w:tcW w:w="172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 Offering</w:t>
            </w: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72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Being Offered</w:t>
            </w: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27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36" w:type="dxa"/>
            <w:tcBorders/>
            <w:shd w:fill="FFFFFF" w:val="clear"/>
            <w:vAlign w:val="bottom"/>
          </w:tcPr>
          <w:p>
            <w:pPr>
              <w:pStyle w:val="TableContents"/>
              <w:spacing w:before="0" w:after="283"/>
              <w:jc w:val="center"/>
              <w:rPr/>
            </w:pP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91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Percent</w:t>
            </w:r>
            <w:r>
              <w:rPr/>
              <w:t xml:space="preserve"> </w:t>
            </w:r>
          </w:p>
        </w:tc>
        <w:tc>
          <w:tcPr>
            <w:tcW w:w="285" w:type="dxa"/>
            <w:tcBorders/>
            <w:shd w:fill="FFFFFF" w:val="clear"/>
            <w:vAlign w:val="bottom"/>
          </w:tcPr>
          <w:p>
            <w:pPr>
              <w:pStyle w:val="TableContents"/>
              <w:spacing w:before="0" w:after="283"/>
              <w:jc w:val="center"/>
              <w:rPr/>
            </w:pPr>
            <w:r>
              <w:rPr/>
              <w:t xml:space="preserve">  </w:t>
            </w:r>
          </w:p>
        </w:tc>
      </w:tr>
      <w:tr>
        <w:trPr/>
        <w:tc>
          <w:tcPr>
            <w:tcW w:w="3317" w:type="dxa"/>
            <w:tcBorders/>
            <w:shd w:fill="FFFFFF" w:val="clear"/>
            <w:vAlign w:val="center"/>
          </w:tcPr>
          <w:p>
            <w:pPr>
              <w:pStyle w:val="TableContents"/>
              <w:spacing w:before="0" w:after="283"/>
              <w:rPr/>
            </w:pPr>
            <w:r>
              <w:rPr/>
              <w:t xml:space="preserve">  </w:t>
            </w:r>
          </w:p>
        </w:tc>
        <w:tc>
          <w:tcPr>
            <w:tcW w:w="6888" w:type="dxa"/>
            <w:gridSpan w:val="16"/>
            <w:tcBorders/>
            <w:shd w:fill="FFFFFF" w:val="clear"/>
          </w:tcPr>
          <w:p>
            <w:pPr>
              <w:pStyle w:val="TableContents"/>
              <w:spacing w:before="0" w:after="283"/>
              <w:rPr>
                <w:sz w:val="4"/>
                <w:szCs w:val="4"/>
              </w:rPr>
            </w:pPr>
            <w:r>
              <w:rPr>
                <w:sz w:val="4"/>
                <w:szCs w:val="4"/>
              </w:rPr>
            </w:r>
          </w:p>
        </w:tc>
      </w:tr>
      <w:tr>
        <w:trPr/>
        <w:tc>
          <w:tcPr>
            <w:tcW w:w="3317" w:type="dxa"/>
            <w:tcBorders/>
            <w:shd w:fill="CCEEFF" w:val="clear"/>
            <w:vAlign w:val="bottom"/>
          </w:tcPr>
          <w:p>
            <w:pPr>
              <w:pStyle w:val="TableContents"/>
              <w:spacing w:before="0" w:after="0"/>
              <w:ind w:left="200" w:right="0" w:hanging="200"/>
              <w:jc w:val="left"/>
              <w:rPr/>
            </w:pPr>
            <w:r>
              <w:rPr/>
              <w:t xml:space="preserve">Vulcan Energy Corporation(1) </w:t>
            </w:r>
          </w:p>
        </w:tc>
        <w:tc>
          <w:tcPr>
            <w:tcW w:w="11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12,390,120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12,390,120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37" w:type="dxa"/>
            <w:tcBorders/>
            <w:shd w:fill="CCEEFF" w:val="clear"/>
            <w:vAlign w:val="bottom"/>
          </w:tcPr>
          <w:p>
            <w:pPr>
              <w:pStyle w:val="TableContents"/>
              <w:spacing w:before="0" w:after="283"/>
              <w:jc w:val="left"/>
              <w:rPr/>
            </w:pPr>
            <w:r>
              <w:rPr/>
              <w:t xml:space="preserve">  </w:t>
            </w:r>
          </w:p>
        </w:tc>
        <w:tc>
          <w:tcPr>
            <w:tcW w:w="1139" w:type="dxa"/>
            <w:tcBorders/>
            <w:shd w:fill="CCEEFF" w:val="clear"/>
            <w:vAlign w:val="bottom"/>
          </w:tcPr>
          <w:p>
            <w:pPr>
              <w:pStyle w:val="TableContents"/>
              <w:spacing w:before="0" w:after="283"/>
              <w:jc w:val="right"/>
              <w:rPr/>
            </w:pPr>
            <w:r>
              <w:rPr/>
              <w:t xml:space="preserve">0 </w:t>
            </w:r>
          </w:p>
        </w:tc>
        <w:tc>
          <w:tcPr>
            <w:tcW w:w="136"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666" w:type="dxa"/>
            <w:tcBorders/>
            <w:shd w:fill="CCEEFF" w:val="clear"/>
            <w:vAlign w:val="bottom"/>
          </w:tcPr>
          <w:p>
            <w:pPr>
              <w:pStyle w:val="TableContents"/>
              <w:spacing w:before="0" w:after="283"/>
              <w:jc w:val="right"/>
              <w:rPr/>
            </w:pPr>
            <w:r>
              <w:rPr/>
              <w:t xml:space="preserve"> </w:t>
            </w:r>
          </w:p>
        </w:tc>
        <w:tc>
          <w:tcPr>
            <w:tcW w:w="285" w:type="dxa"/>
            <w:tcBorders/>
            <w:shd w:fill="CCEEFF" w:val="clear"/>
            <w:vAlign w:val="bottom"/>
          </w:tcPr>
          <w:p>
            <w:pPr>
              <w:pStyle w:val="TableContents"/>
              <w:spacing w:before="0" w:after="283"/>
              <w:jc w:val="left"/>
              <w:rPr/>
            </w:pPr>
            <w:r>
              <w:rPr/>
              <w:t xml:space="preserve">  </w:t>
            </w:r>
          </w:p>
        </w:tc>
      </w:tr>
      <w:tr>
        <w:trPr/>
        <w:tc>
          <w:tcPr>
            <w:tcW w:w="3317" w:type="dxa"/>
            <w:tcBorders/>
            <w:shd w:fill="FFFFFF" w:val="clear"/>
            <w:vAlign w:val="bottom"/>
          </w:tcPr>
          <w:p>
            <w:pPr>
              <w:pStyle w:val="TableContents"/>
              <w:spacing w:before="0" w:after="0"/>
              <w:ind w:left="200" w:right="0" w:hanging="200"/>
              <w:jc w:val="left"/>
              <w:rPr/>
            </w:pPr>
            <w:r>
              <w:rPr/>
              <w:t xml:space="preserve">Vulcan Capital Private Equity I LLC(1) </w:t>
            </w:r>
          </w:p>
        </w:tc>
        <w:tc>
          <w:tcPr>
            <w:tcW w:w="11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1,995,954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1,298,280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37" w:type="dxa"/>
            <w:tcBorders/>
            <w:shd w:fill="FFFFFF" w:val="clear"/>
            <w:vAlign w:val="bottom"/>
          </w:tcPr>
          <w:p>
            <w:pPr>
              <w:pStyle w:val="TableContents"/>
              <w:spacing w:before="0" w:after="283"/>
              <w:jc w:val="left"/>
              <w:rPr/>
            </w:pPr>
            <w:r>
              <w:rPr/>
              <w:t xml:space="preserve">  </w:t>
            </w:r>
          </w:p>
        </w:tc>
        <w:tc>
          <w:tcPr>
            <w:tcW w:w="1139" w:type="dxa"/>
            <w:tcBorders/>
            <w:shd w:fill="FFFFFF" w:val="clear"/>
            <w:vAlign w:val="bottom"/>
          </w:tcPr>
          <w:p>
            <w:pPr>
              <w:pStyle w:val="TableContents"/>
              <w:spacing w:before="0" w:after="283"/>
              <w:jc w:val="right"/>
              <w:rPr/>
            </w:pPr>
            <w:r>
              <w:rPr/>
              <w:t xml:space="preserve">697,674 </w:t>
            </w:r>
          </w:p>
        </w:tc>
        <w:tc>
          <w:tcPr>
            <w:tcW w:w="136"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666" w:type="dxa"/>
            <w:tcBorders/>
            <w:shd w:fill="FFFFFF" w:val="clear"/>
            <w:vAlign w:val="bottom"/>
          </w:tcPr>
          <w:p>
            <w:pPr>
              <w:pStyle w:val="TableContents"/>
              <w:spacing w:before="0" w:after="283"/>
              <w:jc w:val="right"/>
              <w:rPr/>
            </w:pPr>
            <w:r>
              <w:rPr/>
              <w:t xml:space="preserve">* </w:t>
            </w:r>
          </w:p>
        </w:tc>
        <w:tc>
          <w:tcPr>
            <w:tcW w:w="285" w:type="dxa"/>
            <w:tcBorders/>
            <w:shd w:fill="FFFFFF" w:val="clear"/>
            <w:vAlign w:val="bottom"/>
          </w:tcPr>
          <w:p>
            <w:pPr>
              <w:pStyle w:val="TableContents"/>
              <w:spacing w:before="0" w:after="283"/>
              <w:jc w:val="left"/>
              <w:rPr/>
            </w:pPr>
            <w:r>
              <w:rPr/>
              <w:t xml:space="preserve">  </w:t>
            </w:r>
          </w:p>
        </w:tc>
      </w:tr>
      <w:tr>
        <w:trPr/>
        <w:tc>
          <w:tcPr>
            <w:tcW w:w="3317" w:type="dxa"/>
            <w:tcBorders/>
            <w:shd w:fill="CCEEFF" w:val="clear"/>
            <w:vAlign w:val="bottom"/>
          </w:tcPr>
          <w:p>
            <w:pPr>
              <w:pStyle w:val="TableContents"/>
              <w:spacing w:before="0" w:after="0"/>
              <w:ind w:left="200" w:right="0" w:hanging="200"/>
              <w:jc w:val="left"/>
              <w:rPr/>
            </w:pPr>
            <w:r>
              <w:rPr/>
              <w:t xml:space="preserve">KAFU Holdings, L.P.(2) </w:t>
            </w:r>
          </w:p>
        </w:tc>
        <w:tc>
          <w:tcPr>
            <w:tcW w:w="11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8,739,470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1,540,349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37" w:type="dxa"/>
            <w:tcBorders/>
            <w:shd w:fill="CCEEFF" w:val="clear"/>
            <w:vAlign w:val="bottom"/>
          </w:tcPr>
          <w:p>
            <w:pPr>
              <w:pStyle w:val="TableContents"/>
              <w:spacing w:before="0" w:after="283"/>
              <w:jc w:val="left"/>
              <w:rPr/>
            </w:pPr>
            <w:r>
              <w:rPr/>
              <w:t xml:space="preserve">  </w:t>
            </w:r>
          </w:p>
        </w:tc>
        <w:tc>
          <w:tcPr>
            <w:tcW w:w="1139" w:type="dxa"/>
            <w:tcBorders/>
            <w:shd w:fill="CCEEFF" w:val="clear"/>
            <w:vAlign w:val="bottom"/>
          </w:tcPr>
          <w:p>
            <w:pPr>
              <w:pStyle w:val="TableContents"/>
              <w:spacing w:before="0" w:after="283"/>
              <w:jc w:val="right"/>
              <w:rPr/>
            </w:pPr>
            <w:r>
              <w:rPr/>
              <w:t xml:space="preserve">5,738,556 </w:t>
            </w:r>
          </w:p>
        </w:tc>
        <w:tc>
          <w:tcPr>
            <w:tcW w:w="136"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666" w:type="dxa"/>
            <w:tcBorders/>
            <w:shd w:fill="CCEEFF" w:val="clear"/>
            <w:vAlign w:val="bottom"/>
          </w:tcPr>
          <w:p>
            <w:pPr>
              <w:pStyle w:val="TableContents"/>
              <w:spacing w:before="0" w:after="283"/>
              <w:jc w:val="right"/>
              <w:rPr/>
            </w:pPr>
            <w:r>
              <w:rPr/>
              <w:t xml:space="preserve">4.7 </w:t>
            </w:r>
          </w:p>
        </w:tc>
        <w:tc>
          <w:tcPr>
            <w:tcW w:w="285" w:type="dxa"/>
            <w:tcBorders/>
            <w:shd w:fill="CCEEFF" w:val="clear"/>
            <w:vAlign w:val="bottom"/>
          </w:tcPr>
          <w:p>
            <w:pPr>
              <w:pStyle w:val="TableContents"/>
              <w:spacing w:before="0" w:after="283"/>
              <w:jc w:val="left"/>
              <w:rPr/>
            </w:pPr>
            <w:r>
              <w:rPr/>
              <w:t xml:space="preserve">% </w:t>
            </w:r>
          </w:p>
        </w:tc>
      </w:tr>
      <w:tr>
        <w:trPr/>
        <w:tc>
          <w:tcPr>
            <w:tcW w:w="3317" w:type="dxa"/>
            <w:tcBorders/>
            <w:shd w:fill="FFFFFF" w:val="clear"/>
            <w:vAlign w:val="bottom"/>
          </w:tcPr>
          <w:p>
            <w:pPr>
              <w:pStyle w:val="TableContents"/>
              <w:spacing w:before="0" w:after="0"/>
              <w:ind w:left="200" w:right="0" w:hanging="200"/>
              <w:jc w:val="left"/>
              <w:rPr/>
            </w:pPr>
            <w:r>
              <w:rPr/>
              <w:t xml:space="preserve">Kayne Anderson MLP Fund LLP(2) </w:t>
            </w:r>
          </w:p>
        </w:tc>
        <w:tc>
          <w:tcPr>
            <w:tcW w:w="11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8,739,470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421,941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37" w:type="dxa"/>
            <w:tcBorders/>
            <w:shd w:fill="FFFFFF" w:val="clear"/>
            <w:vAlign w:val="bottom"/>
          </w:tcPr>
          <w:p>
            <w:pPr>
              <w:pStyle w:val="TableContents"/>
              <w:spacing w:before="0" w:after="283"/>
              <w:jc w:val="left"/>
              <w:rPr/>
            </w:pPr>
            <w:r>
              <w:rPr/>
              <w:t xml:space="preserve">  </w:t>
            </w:r>
          </w:p>
        </w:tc>
        <w:tc>
          <w:tcPr>
            <w:tcW w:w="1139" w:type="dxa"/>
            <w:tcBorders/>
            <w:shd w:fill="FFFFFF" w:val="clear"/>
            <w:vAlign w:val="bottom"/>
          </w:tcPr>
          <w:p>
            <w:pPr>
              <w:pStyle w:val="TableContents"/>
              <w:spacing w:before="0" w:after="283"/>
              <w:jc w:val="right"/>
              <w:rPr/>
            </w:pPr>
            <w:r>
              <w:rPr/>
              <w:t xml:space="preserve">5,738,556 </w:t>
            </w:r>
          </w:p>
        </w:tc>
        <w:tc>
          <w:tcPr>
            <w:tcW w:w="136"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666" w:type="dxa"/>
            <w:tcBorders/>
            <w:shd w:fill="FFFFFF" w:val="clear"/>
            <w:vAlign w:val="bottom"/>
          </w:tcPr>
          <w:p>
            <w:pPr>
              <w:pStyle w:val="TableContents"/>
              <w:spacing w:before="0" w:after="283"/>
              <w:jc w:val="right"/>
              <w:rPr/>
            </w:pPr>
            <w:r>
              <w:rPr/>
              <w:t xml:space="preserve">4.7 </w:t>
            </w:r>
          </w:p>
        </w:tc>
        <w:tc>
          <w:tcPr>
            <w:tcW w:w="285" w:type="dxa"/>
            <w:tcBorders/>
            <w:shd w:fill="FFFFFF" w:val="clear"/>
            <w:vAlign w:val="bottom"/>
          </w:tcPr>
          <w:p>
            <w:pPr>
              <w:pStyle w:val="TableContents"/>
              <w:spacing w:before="0" w:after="283"/>
              <w:jc w:val="left"/>
              <w:rPr/>
            </w:pPr>
            <w:r>
              <w:rPr/>
              <w:t xml:space="preserve">% </w:t>
            </w:r>
          </w:p>
        </w:tc>
      </w:tr>
      <w:tr>
        <w:trPr/>
        <w:tc>
          <w:tcPr>
            <w:tcW w:w="3317" w:type="dxa"/>
            <w:tcBorders/>
            <w:shd w:fill="CCEEFF" w:val="clear"/>
            <w:vAlign w:val="bottom"/>
          </w:tcPr>
          <w:p>
            <w:pPr>
              <w:pStyle w:val="TableContents"/>
              <w:spacing w:before="0" w:after="0"/>
              <w:ind w:left="200" w:right="0" w:hanging="200"/>
              <w:jc w:val="left"/>
              <w:rPr/>
            </w:pPr>
            <w:r>
              <w:rPr/>
              <w:t xml:space="preserve">Kayne Anderson Energy Fund II, L.P.(2) </w:t>
            </w:r>
          </w:p>
        </w:tc>
        <w:tc>
          <w:tcPr>
            <w:tcW w:w="11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8,739,470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973,710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37" w:type="dxa"/>
            <w:tcBorders/>
            <w:shd w:fill="CCEEFF" w:val="clear"/>
            <w:vAlign w:val="bottom"/>
          </w:tcPr>
          <w:p>
            <w:pPr>
              <w:pStyle w:val="TableContents"/>
              <w:spacing w:before="0" w:after="283"/>
              <w:jc w:val="left"/>
              <w:rPr/>
            </w:pPr>
            <w:r>
              <w:rPr/>
              <w:t xml:space="preserve">  </w:t>
            </w:r>
          </w:p>
        </w:tc>
        <w:tc>
          <w:tcPr>
            <w:tcW w:w="1139" w:type="dxa"/>
            <w:tcBorders/>
            <w:shd w:fill="CCEEFF" w:val="clear"/>
            <w:vAlign w:val="bottom"/>
          </w:tcPr>
          <w:p>
            <w:pPr>
              <w:pStyle w:val="TableContents"/>
              <w:spacing w:before="0" w:after="283"/>
              <w:jc w:val="right"/>
              <w:rPr/>
            </w:pPr>
            <w:r>
              <w:rPr/>
              <w:t xml:space="preserve">5,738,556 </w:t>
            </w:r>
          </w:p>
        </w:tc>
        <w:tc>
          <w:tcPr>
            <w:tcW w:w="136"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666" w:type="dxa"/>
            <w:tcBorders/>
            <w:shd w:fill="CCEEFF" w:val="clear"/>
            <w:vAlign w:val="bottom"/>
          </w:tcPr>
          <w:p>
            <w:pPr>
              <w:pStyle w:val="TableContents"/>
              <w:spacing w:before="0" w:after="283"/>
              <w:jc w:val="right"/>
              <w:rPr/>
            </w:pPr>
            <w:r>
              <w:rPr/>
              <w:t xml:space="preserve">4.7 </w:t>
            </w:r>
          </w:p>
        </w:tc>
        <w:tc>
          <w:tcPr>
            <w:tcW w:w="285" w:type="dxa"/>
            <w:tcBorders/>
            <w:shd w:fill="CCEEFF" w:val="clear"/>
            <w:vAlign w:val="bottom"/>
          </w:tcPr>
          <w:p>
            <w:pPr>
              <w:pStyle w:val="TableContents"/>
              <w:spacing w:before="0" w:after="283"/>
              <w:jc w:val="left"/>
              <w:rPr/>
            </w:pPr>
            <w:r>
              <w:rPr/>
              <w:t xml:space="preserve">% </w:t>
            </w:r>
          </w:p>
        </w:tc>
      </w:tr>
      <w:tr>
        <w:trPr/>
        <w:tc>
          <w:tcPr>
            <w:tcW w:w="3317" w:type="dxa"/>
            <w:tcBorders/>
            <w:shd w:fill="FFFFFF" w:val="clear"/>
            <w:vAlign w:val="bottom"/>
          </w:tcPr>
          <w:p>
            <w:pPr>
              <w:pStyle w:val="TableContents"/>
              <w:spacing w:before="0" w:after="0"/>
              <w:ind w:left="200" w:right="0" w:hanging="200"/>
              <w:jc w:val="left"/>
              <w:rPr/>
            </w:pPr>
            <w:r>
              <w:rPr/>
              <w:t xml:space="preserve">Kayne Anderson Capital Income Partners QP, L.P.(2) </w:t>
            </w:r>
          </w:p>
        </w:tc>
        <w:tc>
          <w:tcPr>
            <w:tcW w:w="11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8,739,470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64,914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37" w:type="dxa"/>
            <w:tcBorders/>
            <w:shd w:fill="FFFFFF" w:val="clear"/>
            <w:vAlign w:val="bottom"/>
          </w:tcPr>
          <w:p>
            <w:pPr>
              <w:pStyle w:val="TableContents"/>
              <w:spacing w:before="0" w:after="283"/>
              <w:jc w:val="left"/>
              <w:rPr/>
            </w:pPr>
            <w:r>
              <w:rPr/>
              <w:t xml:space="preserve">  </w:t>
            </w:r>
          </w:p>
        </w:tc>
        <w:tc>
          <w:tcPr>
            <w:tcW w:w="1139" w:type="dxa"/>
            <w:tcBorders/>
            <w:shd w:fill="FFFFFF" w:val="clear"/>
            <w:vAlign w:val="bottom"/>
          </w:tcPr>
          <w:p>
            <w:pPr>
              <w:pStyle w:val="TableContents"/>
              <w:spacing w:before="0" w:after="283"/>
              <w:jc w:val="right"/>
              <w:rPr/>
            </w:pPr>
            <w:r>
              <w:rPr/>
              <w:t xml:space="preserve">5,738,556 </w:t>
            </w:r>
          </w:p>
        </w:tc>
        <w:tc>
          <w:tcPr>
            <w:tcW w:w="136"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666" w:type="dxa"/>
            <w:tcBorders/>
            <w:shd w:fill="FFFFFF" w:val="clear"/>
            <w:vAlign w:val="bottom"/>
          </w:tcPr>
          <w:p>
            <w:pPr>
              <w:pStyle w:val="TableContents"/>
              <w:spacing w:before="0" w:after="283"/>
              <w:jc w:val="right"/>
              <w:rPr/>
            </w:pPr>
            <w:r>
              <w:rPr/>
              <w:t xml:space="preserve">4.7 </w:t>
            </w:r>
          </w:p>
        </w:tc>
        <w:tc>
          <w:tcPr>
            <w:tcW w:w="285" w:type="dxa"/>
            <w:tcBorders/>
            <w:shd w:fill="FFFFFF" w:val="clear"/>
            <w:vAlign w:val="bottom"/>
          </w:tcPr>
          <w:p>
            <w:pPr>
              <w:pStyle w:val="TableContents"/>
              <w:spacing w:before="0" w:after="283"/>
              <w:jc w:val="left"/>
              <w:rPr/>
            </w:pPr>
            <w:r>
              <w:rPr/>
              <w:t xml:space="preserve">% </w:t>
            </w:r>
          </w:p>
        </w:tc>
      </w:tr>
      <w:tr>
        <w:trPr/>
        <w:tc>
          <w:tcPr>
            <w:tcW w:w="3317" w:type="dxa"/>
            <w:tcBorders/>
            <w:shd w:fill="CCEEFF" w:val="clear"/>
            <w:vAlign w:val="bottom"/>
          </w:tcPr>
          <w:p>
            <w:pPr>
              <w:pStyle w:val="TableContents"/>
              <w:spacing w:before="0" w:after="0"/>
              <w:ind w:left="200" w:right="0" w:hanging="200"/>
              <w:jc w:val="left"/>
              <w:rPr/>
            </w:pPr>
            <w:r>
              <w:rPr/>
              <w:t xml:space="preserve">Wachovia Investors, Inc.  </w:t>
            </w:r>
          </w:p>
        </w:tc>
        <w:tc>
          <w:tcPr>
            <w:tcW w:w="11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262,934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262,934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37" w:type="dxa"/>
            <w:tcBorders/>
            <w:shd w:fill="CCEEFF" w:val="clear"/>
            <w:vAlign w:val="bottom"/>
          </w:tcPr>
          <w:p>
            <w:pPr>
              <w:pStyle w:val="TableContents"/>
              <w:spacing w:before="0" w:after="283"/>
              <w:jc w:val="left"/>
              <w:rPr/>
            </w:pPr>
            <w:r>
              <w:rPr/>
              <w:t xml:space="preserve">  </w:t>
            </w:r>
          </w:p>
        </w:tc>
        <w:tc>
          <w:tcPr>
            <w:tcW w:w="1139" w:type="dxa"/>
            <w:tcBorders/>
            <w:shd w:fill="CCEEFF" w:val="clear"/>
            <w:vAlign w:val="bottom"/>
          </w:tcPr>
          <w:p>
            <w:pPr>
              <w:pStyle w:val="TableContents"/>
              <w:spacing w:before="0" w:after="283"/>
              <w:jc w:val="right"/>
              <w:rPr/>
            </w:pPr>
            <w:r>
              <w:rPr/>
              <w:t xml:space="preserve">0 </w:t>
            </w:r>
          </w:p>
        </w:tc>
        <w:tc>
          <w:tcPr>
            <w:tcW w:w="136"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666" w:type="dxa"/>
            <w:tcBorders/>
            <w:shd w:fill="CCEEFF" w:val="clear"/>
            <w:vAlign w:val="bottom"/>
          </w:tcPr>
          <w:p>
            <w:pPr>
              <w:pStyle w:val="TableContents"/>
              <w:spacing w:before="0" w:after="283"/>
              <w:jc w:val="right"/>
              <w:rPr/>
            </w:pPr>
            <w:r>
              <w:rPr/>
              <w:t xml:space="preserve"> </w:t>
            </w:r>
          </w:p>
        </w:tc>
        <w:tc>
          <w:tcPr>
            <w:tcW w:w="285" w:type="dxa"/>
            <w:tcBorders/>
            <w:shd w:fill="CCEEFF" w:val="clear"/>
            <w:vAlign w:val="bottom"/>
          </w:tcPr>
          <w:p>
            <w:pPr>
              <w:pStyle w:val="TableContents"/>
              <w:spacing w:before="0" w:after="283"/>
              <w:jc w:val="left"/>
              <w:rPr/>
            </w:pPr>
            <w:r>
              <w:rPr/>
              <w:t xml:space="preserve">  </w:t>
            </w:r>
          </w:p>
        </w:tc>
      </w:tr>
      <w:tr>
        <w:trPr/>
        <w:tc>
          <w:tcPr>
            <w:tcW w:w="3317" w:type="dxa"/>
            <w:tcBorders/>
            <w:shd w:fill="FFFFFF" w:val="clear"/>
            <w:vAlign w:val="bottom"/>
          </w:tcPr>
          <w:p>
            <w:pPr>
              <w:pStyle w:val="TableContents"/>
              <w:spacing w:before="0" w:after="0"/>
              <w:ind w:left="200" w:right="0" w:hanging="200"/>
              <w:jc w:val="left"/>
              <w:rPr/>
            </w:pPr>
            <w:r>
              <w:rPr/>
              <w:t xml:space="preserve">Flores Family Limited Partnership(3) </w:t>
            </w:r>
          </w:p>
        </w:tc>
        <w:tc>
          <w:tcPr>
            <w:tcW w:w="11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458,956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458,956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37" w:type="dxa"/>
            <w:tcBorders/>
            <w:shd w:fill="FFFFFF" w:val="clear"/>
            <w:vAlign w:val="bottom"/>
          </w:tcPr>
          <w:p>
            <w:pPr>
              <w:pStyle w:val="TableContents"/>
              <w:spacing w:before="0" w:after="283"/>
              <w:jc w:val="left"/>
              <w:rPr/>
            </w:pPr>
            <w:r>
              <w:rPr/>
              <w:t xml:space="preserve">  </w:t>
            </w:r>
          </w:p>
        </w:tc>
        <w:tc>
          <w:tcPr>
            <w:tcW w:w="1139" w:type="dxa"/>
            <w:tcBorders/>
            <w:shd w:fill="FFFFFF" w:val="clear"/>
            <w:vAlign w:val="bottom"/>
          </w:tcPr>
          <w:p>
            <w:pPr>
              <w:pStyle w:val="TableContents"/>
              <w:spacing w:before="0" w:after="283"/>
              <w:jc w:val="right"/>
              <w:rPr/>
            </w:pPr>
            <w:r>
              <w:rPr/>
              <w:t xml:space="preserve">0 </w:t>
            </w:r>
          </w:p>
        </w:tc>
        <w:tc>
          <w:tcPr>
            <w:tcW w:w="136"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666" w:type="dxa"/>
            <w:tcBorders/>
            <w:shd w:fill="FFFFFF" w:val="clear"/>
            <w:vAlign w:val="bottom"/>
          </w:tcPr>
          <w:p>
            <w:pPr>
              <w:pStyle w:val="TableContents"/>
              <w:spacing w:before="0" w:after="283"/>
              <w:jc w:val="right"/>
              <w:rPr/>
            </w:pPr>
            <w:r>
              <w:rPr/>
              <w:t xml:space="preserve"> </w:t>
            </w:r>
          </w:p>
        </w:tc>
        <w:tc>
          <w:tcPr>
            <w:tcW w:w="285" w:type="dxa"/>
            <w:tcBorders/>
            <w:shd w:fill="FFFFFF" w:val="clear"/>
            <w:vAlign w:val="bottom"/>
          </w:tcPr>
          <w:p>
            <w:pPr>
              <w:pStyle w:val="TableContents"/>
              <w:spacing w:before="0" w:after="283"/>
              <w:jc w:val="left"/>
              <w:rPr/>
            </w:pPr>
            <w:r>
              <w:rPr/>
              <w:t xml:space="preserve">  </w:t>
            </w:r>
          </w:p>
        </w:tc>
      </w:tr>
      <w:tr>
        <w:trPr/>
        <w:tc>
          <w:tcPr>
            <w:tcW w:w="3317" w:type="dxa"/>
            <w:tcBorders/>
            <w:shd w:fill="CCEEFF" w:val="clear"/>
            <w:vAlign w:val="bottom"/>
          </w:tcPr>
          <w:p>
            <w:pPr>
              <w:pStyle w:val="TableContents"/>
              <w:spacing w:before="0" w:after="0"/>
              <w:ind w:left="200" w:right="0" w:hanging="200"/>
              <w:jc w:val="left"/>
              <w:rPr/>
            </w:pPr>
            <w:r>
              <w:rPr/>
              <w:t xml:space="preserve">John T. Raymond(4) </w:t>
            </w:r>
          </w:p>
        </w:tc>
        <w:tc>
          <w:tcPr>
            <w:tcW w:w="11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433,617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97,171 </w:t>
            </w:r>
          </w:p>
        </w:tc>
        <w:tc>
          <w:tcPr>
            <w:tcW w:w="137"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137" w:type="dxa"/>
            <w:tcBorders/>
            <w:shd w:fill="CCEEFF" w:val="clear"/>
            <w:vAlign w:val="bottom"/>
          </w:tcPr>
          <w:p>
            <w:pPr>
              <w:pStyle w:val="TableContents"/>
              <w:spacing w:before="0" w:after="283"/>
              <w:jc w:val="left"/>
              <w:rPr/>
            </w:pPr>
            <w:r>
              <w:rPr/>
              <w:t xml:space="preserve">  </w:t>
            </w:r>
          </w:p>
        </w:tc>
        <w:tc>
          <w:tcPr>
            <w:tcW w:w="1139" w:type="dxa"/>
            <w:tcBorders/>
            <w:shd w:fill="CCEEFF" w:val="clear"/>
            <w:vAlign w:val="bottom"/>
          </w:tcPr>
          <w:p>
            <w:pPr>
              <w:pStyle w:val="TableContents"/>
              <w:spacing w:before="0" w:after="283"/>
              <w:jc w:val="right"/>
              <w:rPr/>
            </w:pPr>
            <w:r>
              <w:rPr/>
              <w:t xml:space="preserve">336,446 </w:t>
            </w:r>
          </w:p>
        </w:tc>
        <w:tc>
          <w:tcPr>
            <w:tcW w:w="136" w:type="dxa"/>
            <w:tcBorders/>
            <w:shd w:fill="CCEEFF" w:val="clear"/>
            <w:vAlign w:val="bottom"/>
          </w:tcPr>
          <w:p>
            <w:pPr>
              <w:pStyle w:val="TableContents"/>
              <w:spacing w:before="0" w:after="283"/>
              <w:jc w:val="left"/>
              <w:rPr/>
            </w:pPr>
            <w:r>
              <w:rPr/>
              <w:t xml:space="preserve">  </w:t>
            </w:r>
          </w:p>
        </w:tc>
        <w:tc>
          <w:tcPr>
            <w:tcW w:w="144"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666" w:type="dxa"/>
            <w:tcBorders/>
            <w:shd w:fill="CCEEFF" w:val="clear"/>
            <w:vAlign w:val="bottom"/>
          </w:tcPr>
          <w:p>
            <w:pPr>
              <w:pStyle w:val="TableContents"/>
              <w:spacing w:before="0" w:after="283"/>
              <w:jc w:val="right"/>
              <w:rPr/>
            </w:pPr>
            <w:r>
              <w:rPr/>
              <w:t xml:space="preserve">* </w:t>
            </w:r>
          </w:p>
        </w:tc>
        <w:tc>
          <w:tcPr>
            <w:tcW w:w="285" w:type="dxa"/>
            <w:tcBorders/>
            <w:shd w:fill="CCEEFF" w:val="clear"/>
            <w:vAlign w:val="bottom"/>
          </w:tcPr>
          <w:p>
            <w:pPr>
              <w:pStyle w:val="TableContents"/>
              <w:spacing w:before="0" w:after="283"/>
              <w:jc w:val="left"/>
              <w:rPr/>
            </w:pPr>
            <w:r>
              <w:rPr/>
              <w:t xml:space="preserve">  </w:t>
            </w:r>
          </w:p>
        </w:tc>
      </w:tr>
      <w:tr>
        <w:trPr/>
        <w:tc>
          <w:tcPr>
            <w:tcW w:w="3317" w:type="dxa"/>
            <w:tcBorders/>
            <w:shd w:fill="FFFFFF" w:val="clear"/>
            <w:vAlign w:val="bottom"/>
          </w:tcPr>
          <w:p>
            <w:pPr>
              <w:pStyle w:val="TableContents"/>
              <w:spacing w:before="0" w:after="0"/>
              <w:ind w:left="200" w:right="0" w:hanging="200"/>
              <w:jc w:val="left"/>
              <w:rPr/>
            </w:pPr>
            <w:r>
              <w:rPr/>
              <w:t xml:space="preserve">Plains AAP, L.P.(5) </w:t>
            </w:r>
          </w:p>
        </w:tc>
        <w:tc>
          <w:tcPr>
            <w:tcW w:w="11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138,103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138,103 </w:t>
            </w:r>
          </w:p>
        </w:tc>
        <w:tc>
          <w:tcPr>
            <w:tcW w:w="137"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137" w:type="dxa"/>
            <w:tcBorders/>
            <w:shd w:fill="FFFFFF" w:val="clear"/>
            <w:vAlign w:val="bottom"/>
          </w:tcPr>
          <w:p>
            <w:pPr>
              <w:pStyle w:val="TableContents"/>
              <w:spacing w:before="0" w:after="283"/>
              <w:jc w:val="left"/>
              <w:rPr/>
            </w:pPr>
            <w:r>
              <w:rPr/>
              <w:t xml:space="preserve">  </w:t>
            </w:r>
          </w:p>
        </w:tc>
        <w:tc>
          <w:tcPr>
            <w:tcW w:w="1139" w:type="dxa"/>
            <w:tcBorders/>
            <w:shd w:fill="FFFFFF" w:val="clear"/>
            <w:vAlign w:val="bottom"/>
          </w:tcPr>
          <w:p>
            <w:pPr>
              <w:pStyle w:val="TableContents"/>
              <w:spacing w:before="0" w:after="283"/>
              <w:jc w:val="right"/>
              <w:rPr/>
            </w:pPr>
            <w:r>
              <w:rPr/>
              <w:t xml:space="preserve">0 </w:t>
            </w:r>
          </w:p>
        </w:tc>
        <w:tc>
          <w:tcPr>
            <w:tcW w:w="136" w:type="dxa"/>
            <w:tcBorders/>
            <w:shd w:fill="FFFFFF" w:val="clear"/>
            <w:vAlign w:val="bottom"/>
          </w:tcPr>
          <w:p>
            <w:pPr>
              <w:pStyle w:val="TableContents"/>
              <w:spacing w:before="0" w:after="283"/>
              <w:jc w:val="left"/>
              <w:rPr/>
            </w:pPr>
            <w:r>
              <w:rPr/>
              <w:t xml:space="preserve">  </w:t>
            </w:r>
          </w:p>
        </w:tc>
        <w:tc>
          <w:tcPr>
            <w:tcW w:w="144"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666" w:type="dxa"/>
            <w:tcBorders/>
            <w:shd w:fill="FFFFFF" w:val="clear"/>
            <w:vAlign w:val="bottom"/>
          </w:tcPr>
          <w:p>
            <w:pPr>
              <w:pStyle w:val="TableContents"/>
              <w:spacing w:before="0" w:after="283"/>
              <w:jc w:val="right"/>
              <w:rPr/>
            </w:pPr>
            <w:r>
              <w:rPr/>
              <w:t xml:space="preserve"> </w:t>
            </w:r>
          </w:p>
        </w:tc>
        <w:tc>
          <w:tcPr>
            <w:tcW w:w="285"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15"/>
        <w:gridCol w:w="101"/>
        <w:gridCol w:w="9889"/>
      </w:tblGrid>
      <w:tr>
        <w:trPr/>
        <w:tc>
          <w:tcPr>
            <w:tcW w:w="215"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center"/>
          </w:tcPr>
          <w:p>
            <w:pPr>
              <w:pStyle w:val="TableContents"/>
              <w:spacing w:before="0" w:after="283"/>
              <w:rPr>
                <w:sz w:val="4"/>
                <w:szCs w:val="4"/>
              </w:rPr>
            </w:pPr>
            <w:r>
              <w:rPr>
                <w:sz w:val="4"/>
                <w:szCs w:val="4"/>
              </w:rPr>
            </w:r>
          </w:p>
        </w:tc>
      </w:tr>
      <w:tr>
        <w:trPr/>
        <w:tc>
          <w:tcPr>
            <w:tcW w:w="215" w:type="dxa"/>
            <w:tcBorders/>
            <w:shd w:fill="FFFFFF" w:val="clear"/>
          </w:tcPr>
          <w:p>
            <w:pPr>
              <w:pStyle w:val="TableContents"/>
              <w:spacing w:before="0" w:after="283"/>
              <w:jc w:val="right"/>
              <w:rPr/>
            </w:pPr>
            <w:r>
              <w:rPr/>
              <w:t>* </w:t>
            </w:r>
          </w:p>
        </w:tc>
        <w:tc>
          <w:tcPr>
            <w:tcW w:w="101"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Less than 1%.</w:t>
            </w:r>
          </w:p>
        </w:tc>
      </w:tr>
      <w:tr>
        <w:trPr/>
        <w:tc>
          <w:tcPr>
            <w:tcW w:w="215" w:type="dxa"/>
            <w:tcBorders/>
            <w:shd w:fill="FFFFFF" w:val="clear"/>
            <w:vAlign w:val="center"/>
          </w:tcPr>
          <w:p>
            <w:pPr>
              <w:pStyle w:val="TableContents"/>
              <w:spacing w:before="0" w:after="283"/>
              <w:rPr/>
            </w:pPr>
            <w:r>
              <w:rPr/>
              <w:t> </w:t>
            </w:r>
          </w:p>
        </w:tc>
        <w:tc>
          <w:tcPr>
            <w:tcW w:w="9990" w:type="dxa"/>
            <w:gridSpan w:val="2"/>
            <w:tcBorders/>
            <w:shd w:fill="FFFFFF" w:val="clear"/>
          </w:tcPr>
          <w:p>
            <w:pPr>
              <w:pStyle w:val="TableContents"/>
              <w:spacing w:before="0" w:after="283"/>
              <w:rPr>
                <w:sz w:val="4"/>
                <w:szCs w:val="4"/>
              </w:rPr>
            </w:pPr>
            <w:r>
              <w:rPr>
                <w:sz w:val="4"/>
                <w:szCs w:val="4"/>
              </w:rPr>
            </w:r>
          </w:p>
        </w:tc>
      </w:tr>
      <w:tr>
        <w:trPr/>
        <w:tc>
          <w:tcPr>
            <w:tcW w:w="215"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Mr. Paul Allen controls Vulcan Capital Private Equity I LLC, which is the record holder of 1,995,954 common units. In addition, Mr. Allen owns approximately 80% of the outstanding shares of common stock of Vulcan Energy Corporation. Vulcan Energy Corporation is the sole stockholder of Vulcan Energy GP Holdings Inc., which owns approximately 50% of the equity of our general partner. Mr. Allen disclaims any deemed beneficial ownership, beyond his pecuniary interest, in any of our partner interests held by Vulcan Capital Private Equity I LLC, Vulcan Energy Corporation or Vulcan Energy GP Holdings Inc.</w:t>
            </w:r>
          </w:p>
        </w:tc>
      </w:tr>
      <w:tr>
        <w:trPr/>
        <w:tc>
          <w:tcPr>
            <w:tcW w:w="215" w:type="dxa"/>
            <w:tcBorders/>
            <w:shd w:fill="FFFFFF" w:val="clear"/>
            <w:vAlign w:val="center"/>
          </w:tcPr>
          <w:p>
            <w:pPr>
              <w:pStyle w:val="TableContents"/>
              <w:spacing w:before="0" w:after="283"/>
              <w:rPr/>
            </w:pPr>
            <w:r>
              <w:rPr/>
              <w:t> </w:t>
            </w:r>
          </w:p>
        </w:tc>
        <w:tc>
          <w:tcPr>
            <w:tcW w:w="9990" w:type="dxa"/>
            <w:gridSpan w:val="2"/>
            <w:tcBorders/>
            <w:shd w:fill="FFFFFF" w:val="clear"/>
          </w:tcPr>
          <w:p>
            <w:pPr>
              <w:pStyle w:val="TableContents"/>
              <w:spacing w:before="0" w:after="283"/>
              <w:rPr>
                <w:sz w:val="4"/>
                <w:szCs w:val="4"/>
              </w:rPr>
            </w:pPr>
            <w:r>
              <w:rPr>
                <w:sz w:val="4"/>
                <w:szCs w:val="4"/>
              </w:rPr>
            </w:r>
          </w:p>
        </w:tc>
      </w:tr>
      <w:tr>
        <w:trPr/>
        <w:tc>
          <w:tcPr>
            <w:tcW w:w="215"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Various accounts (including those of the selling unitholders) under the management and control of Kayne Anderson Capital Advisors, L.P., the general partner of which is Kayne Anderson Investment Management, Inc., own 8,739,470 common units. Mr. Sinnott, the President of Kayne Anderson Investment Management, Inc., has been designated as one of our directors by KAFU Holdings, L.P., which owns a portion of our general partner. Mr. Sinnott disclaims any deemed beneficial ownership of any units held by Kayne Anderson Investment Management, Inc. or its affiliates, beyond his pecuniary interest in such units. KA Associates, Inc., an affiliate of the selling unitholders, is a broker-dealer registered pursuant to Section 15(b) of the Exchange Act and is a member of the NASD. Each selling unitholder (i) purchased the securities for the selling unitholders own account, not as a nominee or agent, in the ordinary course of business and with no intention of selling or otherwise distributing securities in any transaction in violation of securities laws and (ii) at the time of purchase, did not have any agreement or understanding, direct or indirect, with any other person to sell or otherwise distribute the purchased securities.</w:t>
            </w:r>
          </w:p>
        </w:tc>
      </w:tr>
      <w:tr>
        <w:trPr/>
        <w:tc>
          <w:tcPr>
            <w:tcW w:w="215" w:type="dxa"/>
            <w:tcBorders/>
            <w:shd w:fill="FFFFFF" w:val="clear"/>
            <w:vAlign w:val="center"/>
          </w:tcPr>
          <w:p>
            <w:pPr>
              <w:pStyle w:val="TableContents"/>
              <w:spacing w:before="0" w:after="283"/>
              <w:rPr/>
            </w:pPr>
            <w:r>
              <w:rPr/>
              <w:t> </w:t>
            </w:r>
          </w:p>
        </w:tc>
        <w:tc>
          <w:tcPr>
            <w:tcW w:w="9990" w:type="dxa"/>
            <w:gridSpan w:val="2"/>
            <w:tcBorders/>
            <w:shd w:fill="FFFFFF" w:val="clear"/>
          </w:tcPr>
          <w:p>
            <w:pPr>
              <w:pStyle w:val="TableContents"/>
              <w:spacing w:before="0" w:after="283"/>
              <w:rPr>
                <w:sz w:val="4"/>
                <w:szCs w:val="4"/>
              </w:rPr>
            </w:pPr>
            <w:r>
              <w:rPr>
                <w:sz w:val="4"/>
                <w:szCs w:val="4"/>
              </w:rPr>
            </w:r>
          </w:p>
        </w:tc>
      </w:tr>
      <w:tr>
        <w:trPr/>
        <w:tc>
          <w:tcPr>
            <w:tcW w:w="215" w:type="dxa"/>
            <w:tcBorders/>
            <w:shd w:fill="FFFFFF" w:val="clear"/>
          </w:tcPr>
          <w:p>
            <w:pPr>
              <w:pStyle w:val="TableContents"/>
              <w:spacing w:before="0" w:after="283"/>
              <w:jc w:val="right"/>
              <w:rPr/>
            </w:pPr>
            <w:r>
              <w:rPr/>
              <w:t xml:space="preserve">(3) </w:t>
            </w:r>
          </w:p>
        </w:tc>
        <w:tc>
          <w:tcPr>
            <w:tcW w:w="101"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James C. Flores, a general partner of the Flores Family Limited Partnership, is a director of Vulcan Energy Corporation.</w:t>
            </w:r>
          </w:p>
        </w:tc>
      </w:tr>
      <w:tr>
        <w:trPr/>
        <w:tc>
          <w:tcPr>
            <w:tcW w:w="215" w:type="dxa"/>
            <w:tcBorders/>
            <w:shd w:fill="FFFFFF" w:val="clear"/>
            <w:vAlign w:val="center"/>
          </w:tcPr>
          <w:p>
            <w:pPr>
              <w:pStyle w:val="TableContents"/>
              <w:spacing w:before="0" w:after="283"/>
              <w:rPr/>
            </w:pPr>
            <w:r>
              <w:rPr/>
              <w:t> </w:t>
            </w:r>
          </w:p>
        </w:tc>
        <w:tc>
          <w:tcPr>
            <w:tcW w:w="9990" w:type="dxa"/>
            <w:gridSpan w:val="2"/>
            <w:tcBorders/>
            <w:shd w:fill="FFFFFF" w:val="clear"/>
          </w:tcPr>
          <w:p>
            <w:pPr>
              <w:pStyle w:val="TableContents"/>
              <w:spacing w:before="0" w:after="283"/>
              <w:rPr>
                <w:sz w:val="4"/>
                <w:szCs w:val="4"/>
              </w:rPr>
            </w:pPr>
            <w:r>
              <w:rPr>
                <w:sz w:val="4"/>
                <w:szCs w:val="4"/>
              </w:rPr>
            </w:r>
          </w:p>
        </w:tc>
      </w:tr>
      <w:tr>
        <w:trPr/>
        <w:tc>
          <w:tcPr>
            <w:tcW w:w="215" w:type="dxa"/>
            <w:tcBorders/>
            <w:shd w:fill="FFFFFF" w:val="clear"/>
          </w:tcPr>
          <w:p>
            <w:pPr>
              <w:pStyle w:val="TableContents"/>
              <w:spacing w:before="0" w:after="283"/>
              <w:jc w:val="right"/>
              <w:rPr/>
            </w:pPr>
            <w:r>
              <w:rPr/>
              <w:t xml:space="preserve">(4) </w:t>
            </w:r>
          </w:p>
        </w:tc>
        <w:tc>
          <w:tcPr>
            <w:tcW w:w="101"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Mr. Raymond is a director of Vulcan Energy Corporation.</w:t>
            </w:r>
          </w:p>
        </w:tc>
      </w:tr>
      <w:tr>
        <w:trPr/>
        <w:tc>
          <w:tcPr>
            <w:tcW w:w="215" w:type="dxa"/>
            <w:tcBorders/>
            <w:shd w:fill="FFFFFF" w:val="clear"/>
            <w:vAlign w:val="center"/>
          </w:tcPr>
          <w:p>
            <w:pPr>
              <w:pStyle w:val="TableContents"/>
              <w:spacing w:before="0" w:after="283"/>
              <w:rPr/>
            </w:pPr>
            <w:r>
              <w:rPr/>
              <w:t> </w:t>
            </w:r>
          </w:p>
        </w:tc>
        <w:tc>
          <w:tcPr>
            <w:tcW w:w="9990" w:type="dxa"/>
            <w:gridSpan w:val="2"/>
            <w:tcBorders/>
            <w:shd w:fill="FFFFFF" w:val="clear"/>
          </w:tcPr>
          <w:p>
            <w:pPr>
              <w:pStyle w:val="TableContents"/>
              <w:spacing w:before="0" w:after="283"/>
              <w:rPr>
                <w:sz w:val="4"/>
                <w:szCs w:val="4"/>
              </w:rPr>
            </w:pPr>
            <w:r>
              <w:rPr>
                <w:sz w:val="4"/>
                <w:szCs w:val="4"/>
              </w:rPr>
            </w:r>
          </w:p>
        </w:tc>
      </w:tr>
      <w:tr>
        <w:trPr/>
        <w:tc>
          <w:tcPr>
            <w:tcW w:w="215" w:type="dxa"/>
            <w:tcBorders/>
            <w:shd w:fill="FFFFFF" w:val="clear"/>
          </w:tcPr>
          <w:p>
            <w:pPr>
              <w:pStyle w:val="TableContents"/>
              <w:spacing w:before="0" w:after="283"/>
              <w:jc w:val="right"/>
              <w:rPr/>
            </w:pPr>
            <w:r>
              <w:rPr/>
              <w:t xml:space="preserve">(5) </w:t>
            </w:r>
          </w:p>
        </w:tc>
        <w:tc>
          <w:tcPr>
            <w:tcW w:w="101"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 xml:space="preserve">Plains AAP, L.P. is the sole member of our general partner and maintains a Performance Option Plan funded by common units owned by Plains AAP, L.P. To the extent any options on these units are exercised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203"/>
        <w:gridCol w:w="102"/>
        <w:gridCol w:w="9900"/>
      </w:tblGrid>
      <w:tr>
        <w:trPr/>
        <w:tc>
          <w:tcPr>
            <w:tcW w:w="20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center"/>
          </w:tcPr>
          <w:p>
            <w:pPr>
              <w:pStyle w:val="TableContents"/>
              <w:spacing w:before="0" w:after="283"/>
              <w:rPr>
                <w:sz w:val="4"/>
                <w:szCs w:val="4"/>
              </w:rPr>
            </w:pPr>
            <w:r>
              <w:rPr>
                <w:sz w:val="4"/>
                <w:szCs w:val="4"/>
              </w:rPr>
            </w:r>
          </w:p>
        </w:tc>
      </w:tr>
      <w:tr>
        <w:trPr/>
        <w:tc>
          <w:tcPr>
            <w:tcW w:w="20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bottom"/>
          </w:tcPr>
          <w:p>
            <w:pPr>
              <w:pStyle w:val="TableContents"/>
              <w:spacing w:before="0" w:after="283"/>
              <w:rPr/>
            </w:pPr>
            <w:r>
              <w:rPr/>
              <w:t>on a cashless basis by their holders, our general partner may sell any units it retains after such exercise pursuant to this prospectus.</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prospectus supplement reflecting a sale of common units hereunder will set forth, with respect to the selling unitholders: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the name of the selling unitholders;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the nature of the position, office or other material relationship which the selling unitholders will have had within the prior three years with us or any of our affiliates;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the number of common units owned by the selling unitholders prior to the offering;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the amount of common units to be offered for the selling unitholders account;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the amount and (if one percent or more) the percentage of common units to be owned by the selling unitholders after the completion of the offering.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expenses incurred with the registration of the common units owned by the selling unitholders will be borne by us.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31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31" w:name="X84049112"/>
      <w:bookmarkEnd w:id="3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registering the common units on behalf of the selling unitholders. As used in this prospectus, selling unitholders includes donees and pledgees selling common units received from a named selling unitholder after the date of this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this prospectus, the selling unitholders intend to offer our securities to the public: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1"/>
        <w:gridCol w:w="9541"/>
      </w:tblGrid>
      <w:tr>
        <w:trPr/>
        <w:tc>
          <w:tcPr>
            <w:tcW w:w="4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through one or more broker-dealers;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through underwriters;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directly to investors.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selling unitholders may price the common units offered from time to time: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at market prices prevailing at the time of any sale under this registration statement;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prices related to market prices;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negotiated prices.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the costs and expenses of the registration and offering of the common units offered hereby. We will not pay any underwriting fees, discounts and selling commissions allocable to each selling unitholders sale of its respective common units, which will be paid by the selling unitholders. Broker-dealers may act as agent or may purchase securities as principal and thereafter resell the securities from time to time: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7"/>
        <w:gridCol w:w="9536"/>
      </w:tblGrid>
      <w:tr>
        <w:trPr/>
        <w:tc>
          <w:tcPr>
            <w:tcW w:w="40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or through one or more transactions (which may involve crosses and block transactions) or distributions;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on the New York Stock Exchange;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the over-the-counter market; 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private transactions.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required, the names of the specific managing underwriter or underwriters, if any, as well as other important information, will be set forth in prospectus supplements. In that event, the discounts and commissions we and the selling unitholders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the selling unitholders have advised us that they may sell common units in compliance with Rule 144, if available, or pursuant to other available exemptions from the registration requirements under the Securities Act, rather than pursuant to this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aggregate maximum compensation the underwriters will receive in connection with the sale of any securities under this prospectus and the registration statement of which it forms a part will not exceed 10% of the gross proceeds from the sale.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FINRA views our common units as interests in a direct participation program, any offering of common units under the registration statement of which this prospectus forms a part will be made in compliance with Rule 2810 of the NASD Conduct Rules.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32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33 </w:t>
      </w:r>
    </w:p>
    <w:p>
      <w:pPr>
        <w:pStyle w:val="HorizontalLine"/>
        <w:pBdr>
          <w:bottom w:val="single" w:sz="20" w:space="0" w:color="808080"/>
        </w:pBdr>
        <w:rPr/>
      </w:pPr>
      <w:r>
        <w:rPr/>
      </w:r>
      <w:r>
        <w:br w:type="page"/>
      </w:r>
    </w:p>
    <w:p>
      <w:pPr>
        <w:pStyle w:val="Heading5"/>
        <w:jc w:val="left"/>
        <w:rPr/>
      </w:pPr>
      <w:hyperlink w:anchor="X84049tocpage">
        <w:r>
          <w:rPr>
            <w:rStyle w:val="InternetLink"/>
          </w:rPr>
          <w:t>Table of Contents</w:t>
        </w:r>
      </w:hyperlink>
    </w:p>
    <w:p>
      <w:pPr>
        <w:pStyle w:val="TextBody"/>
        <w:spacing w:before="360" w:after="283"/>
        <w:rPr/>
      </w:pPr>
      <w:bookmarkStart w:id="32" w:name="X84049113"/>
      <w:bookmarkEnd w:id="3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LEGAL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validity of the common units will be passed upon for Plains All American Pipeline by Vinson &amp; Elkins L.L.P., Houston, Texas, offered in this registration statement. The selling unitholders counsel and the underwriters own legal counsel will advise them about other issues relating to any offering in which they participate. </w:t>
      </w:r>
    </w:p>
    <w:p>
      <w:pPr>
        <w:pStyle w:val="TextBody"/>
        <w:spacing w:before="360" w:after="283"/>
        <w:rPr/>
      </w:pPr>
      <w:bookmarkStart w:id="33" w:name="X84049114"/>
      <w:bookmarkEnd w:id="3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2007,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as of December 31, 2007 of PAA GP LLC incorporated in this prospectus by reference to the Current Report on Form 8-K of Plains All American Pipeline, L.P. filed March 10, 2008 has been so incorporated in reliance on the report of PricewaterhouseCoopers LLP, an independent registered public accounting firm, given on the authority of said firm as experts in auditing and accounting.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34 </w:t>
      </w:r>
    </w:p>
    <w:p>
      <w:pPr>
        <w:pStyle w:val="HorizontalLine"/>
        <w:pBdr>
          <w:bottom w:val="single" w:sz="20" w:space="0" w:color="808080"/>
        </w:pBdr>
        <w:rPr/>
      </w:pPr>
      <w:r>
        <w:rPr/>
      </w:r>
      <w:r>
        <w:br w:type="page"/>
      </w:r>
    </w:p>
    <w:p>
      <w:pPr>
        <w:pStyle w:val="Heading5"/>
        <w:jc w:val="left"/>
        <w:rPr/>
      </w:pPr>
      <w:hyperlink w:anchor="H84049tocpage">
        <w:r>
          <w:rPr>
            <w:rStyle w:val="InternetLink"/>
          </w:rPr>
          <w:t>Table of Contents</w:t>
        </w:r>
      </w:hyperlink>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7,500,000 Common Units</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color w:val="000000"/>
        </w:rPr>
      </w:pPr>
      <w:r>
        <w:rPr>
          <w:color w:val="000000"/>
        </w:rPr>
        <w:drawing>
          <wp:inline distT="0" distB="0" distL="0" distR="0">
            <wp:extent cx="19240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24050" cy="609600"/>
                    </a:xfrm>
                    <a:prstGeom prst="rect">
                      <a:avLst/>
                    </a:prstGeom>
                  </pic:spPr>
                </pic:pic>
              </a:graphicData>
            </a:graphic>
          </wp:inline>
        </w:drawing>
      </w:r>
      <w:r>
        <w:rPr>
          <w:color w:val="000000"/>
        </w:rPr>
        <w:t xml:space="preserve"> </w:t>
      </w:r>
    </w:p>
    <w:p>
      <w:pPr>
        <w:pStyle w:val="TextBody"/>
        <w:spacing w:before="60" w:after="283"/>
        <w:rPr/>
      </w:pPr>
      <w:r>
        <w:rPr/>
        <w:t> </w:t>
      </w:r>
    </w:p>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0"/>
        </w:rPr>
        <w:t>PROSPECTUS SUPPLEMENT</w:t>
      </w:r>
      <w:r>
        <w:rPr>
          <w:rFonts w:ascii="Times New Roman;Times" w:hAnsi="Times New Roman;Times"/>
          <w:color w:val="000000"/>
          <w:sz w:val="17"/>
        </w:rPr>
        <w:t xml:space="preserve"> </w:t>
      </w:r>
    </w:p>
    <w:p>
      <w:pPr>
        <w:pStyle w:val="TextBody"/>
        <w:spacing w:before="12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i/>
          <w:color w:val="000000"/>
          <w:sz w:val="17"/>
        </w:rPr>
        <w:t>Joint Book-Running Managers</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7"/>
        </w:rPr>
        <w:t>Citigroup</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7"/>
        </w:rPr>
        <w:t>Barclays Capital</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7"/>
        </w:rPr>
        <w:t>BofA Merrill Lynch</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7"/>
        </w:rPr>
        <w:t>J.P. Morgan</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7"/>
        </w:rPr>
        <w:t>UBS Investment Bank</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i/>
          <w:color w:val="000000"/>
          <w:sz w:val="17"/>
        </w:rPr>
        <w:t>Senior Co-Manager</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Raymond James</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i/>
          <w:color w:val="000000"/>
          <w:sz w:val="17"/>
        </w:rPr>
        <w:t>Junior Co-Managers</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RBC Capital Markets</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Sanders Morris Harris</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Tudor, Pickering, Holt &amp; Co.</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BMO Capital Markets</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Janney Montgomery Scott</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color w:val="000000"/>
          <w:sz w:val="17"/>
        </w:rPr>
        <w:t xml:space="preserve">August   , 2011 </w:t>
      </w:r>
    </w:p>
    <w:p>
      <w:pPr>
        <w:pStyle w:val="TextBody"/>
        <w:spacing w:before="6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29960</Words>
  <CharactersWithSpaces>187492</CharactersWithSpaces>
  <Paragraphs>2566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e424b3</dc:title>
</cp:coreProperties>
</file>