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17145</wp:posOffset>
            </wp:positionV>
            <wp:extent cx="7045325" cy="4600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460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2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SHACKOULS BOBBY S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" w:right="600" w:hanging="1"/>
        <w:spacing w:after="0" w:line="241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1"/>
        <w:spacing w:after="0"/>
        <w:tabs>
          <w:tab w:leader="none" w:pos="500" w:val="left"/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1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80" w:space="639"/>
            <w:col w:w="3361"/>
          </w:cols>
          <w:pgMar w:left="460" w:top="223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11,900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Phantom Class A shares under Long-Term Incentive Plan (includes associated dividend equivalent rights payable in cash).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3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Bobby S. Shackouls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-19050</wp:posOffset>
            </wp:positionV>
            <wp:extent cx="1334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91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417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2021-08-23T16:38:58Z</dcterms:created>
  <dcterms:modified xsi:type="dcterms:W3CDTF">2021-08-23T16:38:58Z</dcterms:modified>
</cp:coreProperties>
</file>