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19367_18k.htm"/>
      <w:bookmarkStart w:id="1" w:name="ksa1319367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August 27,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 646-4100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(Former name or former address, if changed since last report): </w:t>
      </w:r>
      <w:r>
        <w:rPr>
          <w:rFonts w:ascii="Times New Roman" w:hAnsi="Times New Roman"/>
          <w:b/>
          <w:sz w:val="17"/>
        </w:rPr>
        <w:t>Not applicable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x</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8.01 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August 27, 2013, Plains All American Pipeline, L.P. (PAA) delivered a proposal to the independent directors of PNGS GP LLC (PNG GP), the general partner of PAA Natural Gas Storage, L.P. (the Partnership), to acquire all of the outstanding common units of the Partnership that are held by unitholders other than PAA for consideration of 0.435 common units of PAA for each outstanding common unit of the Partnership held by such unitholders in a transaction to be structured as a merger of the Partnership with a wholly-owned subsidiary of PAA. The proposal assumes the execution of definitive agreements on or before September 27, 2013 and closing prior to the end of 2013.  The proposal also assumes a regular quarterly distribution by the Partnership in November equal to the common unit distribution paid by the Partnership in August 2013. The consummation of the transactions contemplated by PAAs proposal is subject to the approval of Plains All American GP LLC, which is the general partner of Plains AAP, L.P., which is the sole member of PAA GP LLC, the general partner of PAA, approval of a committee of independent directors of PNG GP (the Conflicts Committee), approval of the unitholders of the Partnership, and the negotiation and execution of a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Conflicts Committee will evaluate the proposal and respond to PAA in due course. There can be no assurance that a definitive agreement will be executed or that any transaction will be approved or consummated.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owns 100% of PNG GP and owns approximately 46% of the Partnerships outstanding common units and all of the Partnerships incentive distribution rights and outstanding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copy of PAAs press release dated August 27, 2013 announcing the proposal to the Conflicts Committee is attached to this Current Report on Form 8-K as Exhibit 99.1.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8"/>
        <w:gridCol w:w="209"/>
        <w:gridCol w:w="9268"/>
      </w:tblGrid>
      <w:tr>
        <w:trPr/>
        <w:tc>
          <w:tcPr>
            <w:tcW w:w="72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r>
          </w:p>
        </w:tc>
        <w:tc>
          <w:tcPr>
            <w:tcW w:w="209" w:type="dxa"/>
            <w:tcBorders/>
            <w:shd w:fill="auto" w:val="clear"/>
            <w:vAlign w:val="bottom"/>
          </w:tcPr>
          <w:p>
            <w:pPr>
              <w:pStyle w:val="TableContents"/>
              <w:spacing w:before="0" w:after="0"/>
              <w:ind w:left="0" w:right="0" w:hanging="0"/>
              <w:jc w:val="center"/>
              <w:rPr/>
            </w:pPr>
            <w:r>
              <w:rPr/>
              <w:t> </w:t>
            </w:r>
          </w:p>
        </w:tc>
        <w:tc>
          <w:tcPr>
            <w:tcW w:w="9268" w:type="dxa"/>
            <w:tcBorders/>
            <w:shd w:fill="auto" w:val="clear"/>
          </w:tcPr>
          <w:p>
            <w:pPr>
              <w:pStyle w:val="TableContents"/>
              <w:spacing w:before="0" w:after="0"/>
              <w:ind w:left="0" w:right="0" w:hanging="0"/>
              <w:jc w:val="center"/>
              <w:rPr/>
            </w:pPr>
            <w:r>
              <w:rPr/>
              <w:t> </w:t>
            </w:r>
          </w:p>
        </w:tc>
      </w:tr>
      <w:tr>
        <w:trPr/>
        <w:tc>
          <w:tcPr>
            <w:tcW w:w="72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Number</w:t>
            </w:r>
          </w:p>
        </w:tc>
        <w:tc>
          <w:tcPr>
            <w:tcW w:w="209" w:type="dxa"/>
            <w:tcBorders/>
            <w:shd w:fill="auto" w:val="clear"/>
            <w:vAlign w:val="bottom"/>
          </w:tcPr>
          <w:p>
            <w:pPr>
              <w:pStyle w:val="TableContents"/>
              <w:spacing w:before="0" w:after="0"/>
              <w:ind w:left="0" w:right="0" w:hanging="0"/>
              <w:jc w:val="center"/>
              <w:rPr/>
            </w:pPr>
            <w:r>
              <w:rPr/>
              <w:t> </w:t>
            </w:r>
          </w:p>
        </w:tc>
        <w:tc>
          <w:tcPr>
            <w:tcW w:w="926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209" w:type="dxa"/>
            <w:tcBorders/>
            <w:shd w:fill="auto" w:val="clear"/>
            <w:vAlign w:val="bottom"/>
          </w:tcPr>
          <w:p>
            <w:pPr>
              <w:pStyle w:val="TableContents"/>
              <w:spacing w:before="0" w:after="0"/>
              <w:ind w:left="0" w:right="0" w:hanging="0"/>
              <w:rPr/>
            </w:pPr>
            <w:r>
              <w:rPr/>
              <w:t> </w:t>
            </w:r>
          </w:p>
        </w:tc>
        <w:tc>
          <w:tcPr>
            <w:tcW w:w="9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Press release of PAA dated August 27,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12800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722"/>
        <w:gridCol w:w="3917"/>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7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7"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7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August 27,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12911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7"/>
        <w:gridCol w:w="309"/>
        <w:gridCol w:w="9279"/>
      </w:tblGrid>
      <w:tr>
        <w:trPr/>
        <w:tc>
          <w:tcPr>
            <w:tcW w:w="61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r>
          </w:p>
        </w:tc>
        <w:tc>
          <w:tcPr>
            <w:tcW w:w="309" w:type="dxa"/>
            <w:tcBorders/>
            <w:shd w:fill="auto" w:val="clear"/>
            <w:vAlign w:val="bottom"/>
          </w:tcPr>
          <w:p>
            <w:pPr>
              <w:pStyle w:val="TableContents"/>
              <w:spacing w:before="0" w:after="0"/>
              <w:ind w:left="0" w:right="0" w:hanging="0"/>
              <w:jc w:val="center"/>
              <w:rPr/>
            </w:pPr>
            <w:r>
              <w:rPr/>
              <w:t> </w:t>
            </w:r>
          </w:p>
        </w:tc>
        <w:tc>
          <w:tcPr>
            <w:tcW w:w="9279" w:type="dxa"/>
            <w:tcBorders/>
            <w:shd w:fill="auto" w:val="clear"/>
            <w:vAlign w:val="bottom"/>
          </w:tcPr>
          <w:p>
            <w:pPr>
              <w:pStyle w:val="TableContents"/>
              <w:spacing w:before="0" w:after="0"/>
              <w:ind w:left="0" w:right="0" w:hanging="0"/>
              <w:jc w:val="center"/>
              <w:rPr/>
            </w:pPr>
            <w:r>
              <w:rPr/>
              <w:t> </w:t>
            </w:r>
          </w:p>
        </w:tc>
      </w:tr>
      <w:tr>
        <w:trPr/>
        <w:tc>
          <w:tcPr>
            <w:tcW w:w="6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Number</w:t>
            </w:r>
          </w:p>
        </w:tc>
        <w:tc>
          <w:tcPr>
            <w:tcW w:w="309" w:type="dxa"/>
            <w:tcBorders/>
            <w:shd w:fill="auto" w:val="clear"/>
            <w:vAlign w:val="bottom"/>
          </w:tcPr>
          <w:p>
            <w:pPr>
              <w:pStyle w:val="TableContents"/>
              <w:spacing w:before="0" w:after="0"/>
              <w:ind w:left="0" w:right="0" w:hanging="0"/>
              <w:jc w:val="center"/>
              <w:rPr/>
            </w:pPr>
            <w:r>
              <w:rPr/>
              <w:t> </w:t>
            </w:r>
          </w:p>
        </w:tc>
        <w:tc>
          <w:tcPr>
            <w:tcW w:w="92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309" w:type="dxa"/>
            <w:tcBorders/>
            <w:shd w:fill="auto" w:val="clear"/>
            <w:vAlign w:val="bottom"/>
          </w:tcPr>
          <w:p>
            <w:pPr>
              <w:pStyle w:val="TableContents"/>
              <w:spacing w:before="0" w:after="0"/>
              <w:ind w:left="0" w:right="0" w:hanging="0"/>
              <w:rPr/>
            </w:pPr>
            <w:r>
              <w:rPr/>
              <w:t> </w:t>
            </w:r>
          </w:p>
        </w:tc>
        <w:tc>
          <w:tcPr>
            <w:tcW w:w="92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Press release of PAA dated August 27,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12937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3-19367_1ex99d1.htm"/>
      <w:bookmarkStart w:id="6" w:name="ksa1319367_1ex99d1"/>
      <w:bookmarkEnd w:id="5"/>
      <w:bookmarkEnd w:id="6"/>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drawing>
                <wp:inline distT="0" distB="0" distL="0" distR="0">
                  <wp:extent cx="24479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733425"/>
                          </a:xfrm>
                          <a:prstGeom prst="rect">
                            <a:avLst/>
                          </a:prstGeom>
                        </pic:spPr>
                      </pic:pic>
                    </a:graphicData>
                  </a:graphic>
                </wp:inline>
              </w:drawing>
            </w:r>
          </w:p>
        </w:tc>
        <w:tc>
          <w:tcPr>
            <w:tcW w:w="5103" w:type="dxa"/>
            <w:tcBorders/>
            <w:shd w:fill="auto" w:val="clear"/>
          </w:tcPr>
          <w:p>
            <w:pPr>
              <w:pStyle w:val="TableContents"/>
              <w:spacing w:before="0" w:after="0"/>
              <w:ind w:left="0" w:right="0" w:hanging="0"/>
              <w:jc w:val="right"/>
              <w:rPr/>
            </w:pPr>
            <w:r>
              <w:rPr/>
              <w:drawing>
                <wp:inline distT="0" distB="0" distL="0" distR="0">
                  <wp:extent cx="2647950"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47950" cy="857250"/>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Makes Proposal to Acquire Publicly-Held Units of PAA Natural Gas Storage,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August 27, 2013  Plains All American Pipeline, L.P. (NYSE: PAA) today announced that it has submitted a proposal to the independent directors of the board of directors of the general partner of PAA Natural Gas Storage, L.P. (NYSE: PNG) to acquire all of PNGs outstanding publicly-held common units through a unit-for-unit exchange. PAA is proposing consideration of 0.435 common units of PAA for each issued and outstanding publicly-held PNG common unit in a transaction that would be structured as a merger of PNG with a wholly-owned subsidiary of PAA.  The proposed consideration represents a value per PNG common unit of $22.74 based on the trailing 10-day average closing price of PAAs common units through August 26,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While PAA shares PNGs positive views about the intermediate to long term outlook for natural gas storage, it is difficult to predict the timing and extent of a recovery in natural gas storage market conditions.  Accordingly, it is clear that the next several years will be challenging for PNG on a stand-alone basis, said Greg L. Armstrong, Chairman and CEO of PAA.  We believe that the proposal provides an attractive opportunity for PNGs common unitholders to realize a value that reflects an appropriate balance between the intermediate to long term value of PNGs storage business and the uncertainty associated with a near-term challenging environment.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proposed transaction is subject to the negotiation and execution of a definitive agreement and approval of such definitive agreement and the transactions contemplated thereunder by PAAs board of directors, a conflicts committee to be established by the board of directors of PNG and the unitholders of PNG. There can be no assurance that any such approvals will be forthcoming, that a definitive agreement will be executed or that any transaction will be consummated.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PNG, PAA owns and operates natural gas storage facilities. PAA is headquartered in Houston, Texas.</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rPr>
      </w:pPr>
      <w:r>
        <w:rPr>
          <w:rFonts w:ascii="Times New Roman" w:hAnsi="Times New Roman"/>
          <w:sz w:val="17"/>
        </w:rPr>
        <w:t>This communication does not constitute an offer to sell any securities. Any such offer will be made only by means of a prospectus, and only if and when a definitive agreement has been entered into by PAA and PNG, pursuant to a registration statement filed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PNG agrees to a transaction with PAA and executes a definitive agreement, a registration statement of PAA, which will include a PNG proxy statement and a PAA prospectus, and other materials will be filed with the Securities and Exchange Commission. If and when applicable, investors and security holders are urged to carefully read the documents filed with the Securities and Exchange Commission regarding the proposed transaction when they become available, because they will contain important information about PAA, PNG and the proposed merger. If and when applicable, investors and security holders may obtain a free copy of the proxy statement/prospectus and other documents containing information about PAA and PNG, without charge, at the Securities and Exchange Commissions website at www.sec.gov.</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Except for historical information contained herein, the statements contained herein related to the transactions described in PAAs proposal are forward-looking statements that involve certain risks and uncertainties that could cause actual results to differ materially from the results anticipated in the forward-looking statements, including the risk that the proposed transaction is not consummated at all or on the initial terms proposed. Various risks relating to PAA and PNG are described in their respective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sz w:val="17"/>
        </w:rPr>
        <w:t>:</w:t>
      </w:r>
    </w:p>
    <w:p>
      <w:pPr>
        <w:pStyle w:val="TextBody"/>
        <w:spacing w:before="0" w:after="0"/>
        <w:ind w:left="0" w:right="0" w:hanging="0"/>
        <w:rPr>
          <w:rFonts w:ascii="Times New Roman" w:hAnsi="Times New Roman"/>
          <w:sz w:val="17"/>
        </w:rPr>
      </w:pPr>
      <w:r>
        <w:rPr>
          <w:rFonts w:ascii="Times New Roman" w:hAnsi="Times New Roman"/>
          <w:sz w:val="17"/>
        </w:rPr>
        <w:t>Roy I. Lamoreaux</w:t>
      </w:r>
    </w:p>
    <w:p>
      <w:pPr>
        <w:pStyle w:val="TextBody"/>
        <w:spacing w:before="0" w:after="0"/>
        <w:ind w:left="0" w:right="0" w:hanging="0"/>
        <w:rPr>
          <w:rFonts w:ascii="Times New Roman" w:hAnsi="Times New Roman"/>
          <w:sz w:val="17"/>
        </w:rPr>
      </w:pPr>
      <w:r>
        <w:rPr>
          <w:rFonts w:ascii="Times New Roman" w:hAnsi="Times New Roman"/>
          <w:sz w:val="17"/>
        </w:rPr>
        <w:t>Director, Investor Relations</w:t>
      </w:r>
    </w:p>
    <w:p>
      <w:pPr>
        <w:pStyle w:val="TextBody"/>
        <w:spacing w:before="0" w:after="0"/>
        <w:ind w:left="0" w:right="0" w:hanging="0"/>
        <w:rPr>
          <w:rFonts w:ascii="Times New Roman" w:hAnsi="Times New Roman"/>
          <w:sz w:val="17"/>
        </w:rPr>
      </w:pPr>
      <w:r>
        <w:rPr>
          <w:rFonts w:ascii="Times New Roman" w:hAnsi="Times New Roman"/>
          <w:sz w:val="17"/>
        </w:rPr>
        <w:t>713/646-4222 or 800/564-3036</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 #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1304</Words>
  <CharactersWithSpaces>8184</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