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PAA GP Holdings LLC</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7"/>
                <w:szCs w:val="17"/>
                <w:color w:val="0000FF"/>
                <w:w w:val="97"/>
              </w:rPr>
              <w:t>333 CLAY STREET, STE. 1600</w:t>
            </w:r>
          </w:p>
        </w:tc>
        <w:tc>
          <w:tcPr>
            <w:tcW w:w="12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340" w:type="dxa"/>
            <w:vAlign w:val="bottom"/>
          </w:tcPr>
          <w:p>
            <w:pPr>
              <w:ind w:left="200"/>
              <w:spacing w:after="0"/>
              <w:rPr>
                <w:sz w:val="20"/>
                <w:szCs w:val="20"/>
                <w:color w:val="auto"/>
              </w:rPr>
            </w:pPr>
            <w:r>
              <w:rPr>
                <w:rFonts w:ascii="Arial" w:cs="Arial" w:eastAsia="Arial" w:hAnsi="Arial"/>
                <w:sz w:val="17"/>
                <w:szCs w:val="17"/>
                <w:color w:val="0000FF"/>
              </w:rPr>
              <w:t>TX</w:t>
            </w:r>
          </w:p>
        </w:tc>
        <w:tc>
          <w:tcPr>
            <w:tcW w:w="1280" w:type="dxa"/>
            <w:vAlign w:val="bottom"/>
          </w:tcPr>
          <w:p>
            <w:pPr>
              <w:ind w:left="8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128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5440" w:type="dxa"/>
            <w:vAlign w:val="bottom"/>
            <w:gridSpan w:val="6"/>
          </w:tcPr>
          <w:p>
            <w:pPr>
              <w:spacing w:after="0" w:line="207" w:lineRule="exact"/>
              <w:rPr>
                <w:rFonts w:ascii="Arial" w:cs="Arial" w:eastAsia="Arial" w:hAnsi="Arial"/>
                <w:sz w:val="20"/>
                <w:szCs w:val="20"/>
                <w:color w:val="0000EE"/>
              </w:rPr>
            </w:pPr>
            <w:hyperlink r:id="rId13">
              <w:r>
                <w:rPr>
                  <w:rFonts w:ascii="Arial" w:cs="Arial" w:eastAsia="Arial" w:hAnsi="Arial"/>
                  <w:sz w:val="20"/>
                  <w:szCs w:val="20"/>
                  <w:color w:val="0000EE"/>
                </w:rPr>
                <w:t xml:space="preserve">PLAINS ALL AMERICAN PIPELINE LP  </w:t>
              </w:r>
            </w:hyperlink>
            <w:r>
              <w:rPr>
                <w:rFonts w:ascii="Arial" w:cs="Arial" w:eastAsia="Arial" w:hAnsi="Arial"/>
                <w:sz w:val="24"/>
                <w:szCs w:val="24"/>
                <w:color w:val="000000"/>
                <w:vertAlign w:val="superscript"/>
              </w:rPr>
              <w:t>(Check</w:t>
            </w:r>
            <w:r>
              <w:rPr>
                <w:rFonts w:ascii="Arial" w:cs="Arial" w:eastAsia="Arial" w:hAnsi="Arial"/>
                <w:sz w:val="20"/>
                <w:szCs w:val="20"/>
                <w:color w:val="0000EE"/>
              </w:rPr>
              <w:t xml:space="preserve"> </w:t>
            </w:r>
            <w:r>
              <w:rPr>
                <w:rFonts w:ascii="Arial" w:cs="Arial" w:eastAsia="Arial" w:hAnsi="Arial"/>
                <w:sz w:val="24"/>
                <w:szCs w:val="24"/>
                <w:color w:val="000000"/>
                <w:vertAlign w:val="superscript"/>
              </w:rPr>
              <w:t>all applicable)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auto"/>
              </w:rPr>
            </w:pPr>
            <w:hyperlink r:id="rId13">
              <w:r>
                <w:rPr>
                  <w:rFonts w:ascii="Arial" w:cs="Arial" w:eastAsia="Arial" w:hAnsi="Arial"/>
                  <w:sz w:val="3"/>
                  <w:szCs w:val="3"/>
                  <w:color w:val="auto"/>
                </w:rPr>
                <w:t xml:space="preserve">[ </w:t>
              </w:r>
              <w:r>
                <w:rPr>
                  <w:rFonts w:ascii="Arial" w:cs="Arial" w:eastAsia="Arial" w:hAnsi="Arial"/>
                  <w:sz w:val="3"/>
                  <w:szCs w:val="3"/>
                  <w:color w:val="0000FF"/>
                </w:rPr>
                <w:t>PAA</w:t>
              </w:r>
              <w:r>
                <w:rPr>
                  <w:rFonts w:ascii="Arial" w:cs="Arial" w:eastAsia="Arial" w:hAnsi="Arial"/>
                  <w:sz w:val="3"/>
                  <w:szCs w:val="3"/>
                  <w:color w:val="auto"/>
                </w:rPr>
                <w:t xml:space="preserve"> ]</w:t>
              </w:r>
            </w:hyperlink>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tcPr>
          <w:p>
            <w:pPr>
              <w:ind w:left="140"/>
              <w:spacing w:after="0" w:line="27" w:lineRule="exact"/>
              <w:rPr>
                <w:sz w:val="20"/>
                <w:szCs w:val="20"/>
                <w:color w:val="auto"/>
              </w:rPr>
            </w:pPr>
            <w:r>
              <w:rPr>
                <w:rFonts w:ascii="Arial" w:cs="Arial" w:eastAsia="Arial" w:hAnsi="Arial"/>
                <w:sz w:val="3"/>
                <w:szCs w:val="3"/>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4"/>
                <w:szCs w:val="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760" w:type="dxa"/>
            <w:vAlign w:val="bottom"/>
            <w:gridSpan w:val="3"/>
          </w:tcPr>
          <w:p>
            <w:pPr>
              <w:ind w:left="80"/>
              <w:spacing w:after="0"/>
              <w:rPr>
                <w:sz w:val="20"/>
                <w:szCs w:val="20"/>
                <w:color w:val="auto"/>
              </w:rPr>
            </w:pPr>
            <w:r>
              <w:rPr>
                <w:rFonts w:ascii="Arial" w:cs="Arial" w:eastAsia="Arial" w:hAnsi="Arial"/>
                <w:sz w:val="17"/>
                <w:szCs w:val="17"/>
                <w:color w:val="0000FF"/>
              </w:rPr>
              <w:t>10/01/2021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5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8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gridSpan w:val="7"/>
          </w:tcPr>
          <w:p>
            <w:pPr>
              <w:ind w:left="60"/>
              <w:spacing w:after="0"/>
              <w:rPr>
                <w:sz w:val="20"/>
                <w:szCs w:val="20"/>
                <w:color w:val="auto"/>
              </w:rPr>
            </w:pPr>
            <w:r>
              <w:rPr>
                <w:rFonts w:ascii="Arial" w:cs="Arial" w:eastAsia="Arial" w:hAnsi="Arial"/>
                <w:sz w:val="17"/>
                <w:szCs w:val="17"/>
                <w:color w:val="0000FF"/>
              </w:rPr>
              <w:t>Common Units (Limited Partner</w:t>
            </w: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10/01/2021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(1)(2)</w:t>
            </w:r>
          </w:p>
        </w:tc>
        <w:tc>
          <w:tcPr>
            <w:tcW w:w="800" w:type="dxa"/>
            <w:vAlign w:val="bottom"/>
            <w:vMerge w:val="restart"/>
          </w:tcPr>
          <w:p>
            <w:pPr>
              <w:ind w:left="80"/>
              <w:spacing w:after="0"/>
              <w:rPr>
                <w:sz w:val="20"/>
                <w:szCs w:val="20"/>
                <w:color w:val="auto"/>
              </w:rPr>
            </w:pPr>
            <w:r>
              <w:rPr>
                <w:rFonts w:ascii="Arial" w:cs="Arial" w:eastAsia="Arial" w:hAnsi="Arial"/>
                <w:sz w:val="17"/>
                <w:szCs w:val="17"/>
                <w:color w:val="0000FF"/>
                <w:w w:val="92"/>
              </w:rPr>
              <w:t>3,381,046</w:t>
            </w:r>
          </w:p>
        </w:tc>
        <w:tc>
          <w:tcPr>
            <w:tcW w:w="400" w:type="dxa"/>
            <w:vAlign w:val="bottom"/>
            <w:vMerge w:val="restart"/>
          </w:tcPr>
          <w:p>
            <w:pPr>
              <w:ind w:left="26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18"/>
                <w:szCs w:val="18"/>
                <w:color w:val="auto"/>
              </w:rPr>
            </w:pPr>
          </w:p>
        </w:tc>
        <w:tc>
          <w:tcPr>
            <w:tcW w:w="1800" w:type="dxa"/>
            <w:vAlign w:val="bottom"/>
            <w:gridSpan w:val="5"/>
            <w:vMerge w:val="restart"/>
          </w:tcPr>
          <w:p>
            <w:pPr>
              <w:jc w:val="right"/>
              <w:ind w:right="1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0</w:t>
            </w:r>
            <w:r>
              <w:rPr>
                <w:rFonts w:ascii="Arial" w:cs="Arial" w:eastAsia="Arial" w:hAnsi="Arial"/>
                <w:sz w:val="22"/>
                <w:szCs w:val="22"/>
                <w:color w:val="008000"/>
                <w:w w:val="91"/>
                <w:vertAlign w:val="superscript"/>
              </w:rPr>
              <w:t>(1)(2)</w:t>
            </w:r>
            <w:r>
              <w:rPr>
                <w:rFonts w:ascii="Arial" w:cs="Arial" w:eastAsia="Arial" w:hAnsi="Arial"/>
                <w:sz w:val="17"/>
                <w:szCs w:val="17"/>
                <w:color w:val="auto"/>
                <w:w w:val="91"/>
              </w:rPr>
              <w:t xml:space="preserve">     </w:t>
            </w:r>
            <w:r>
              <w:rPr>
                <w:rFonts w:ascii="Arial" w:cs="Arial" w:eastAsia="Arial" w:hAnsi="Arial"/>
                <w:sz w:val="17"/>
                <w:szCs w:val="17"/>
                <w:color w:val="0000FF"/>
                <w:w w:val="91"/>
              </w:rPr>
              <w:t>241,625,682</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Plains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3"/>
              </w:rPr>
              <w:t>Interests)</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5"/>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AAP,</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80" w:type="dxa"/>
            <w:vAlign w:val="bottom"/>
            <w:gridSpan w:val="18"/>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40" w:type="dxa"/>
            <w:vAlign w:val="bottom"/>
          </w:tcPr>
          <w:p>
            <w:pPr>
              <w:spacing w:after="0"/>
              <w:rPr>
                <w:sz w:val="11"/>
                <w:szCs w:val="11"/>
                <w:color w:val="auto"/>
              </w:rPr>
            </w:pPr>
          </w:p>
        </w:tc>
        <w:tc>
          <w:tcPr>
            <w:tcW w:w="1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40" w:type="dxa"/>
            <w:vAlign w:val="bottom"/>
          </w:tcPr>
          <w:p>
            <w:pPr>
              <w:spacing w:after="0"/>
              <w:rPr>
                <w:sz w:val="11"/>
                <w:szCs w:val="11"/>
                <w:color w:val="auto"/>
              </w:rPr>
            </w:pPr>
          </w:p>
        </w:tc>
        <w:tc>
          <w:tcPr>
            <w:tcW w:w="1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7"/>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PAA GP Holdings LLC</w:t>
              </w:r>
            </w:hyperlink>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333 CLAY STREET, STE. 1600</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gridSpan w:val="4"/>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77002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Plains AAP, L.P.</w:t>
              </w:r>
            </w:hyperlink>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333 CLAY STREET, SUITE 1600</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gridSpan w:val="4"/>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77002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w w:val="97"/>
              </w:rPr>
            </w:pPr>
            <w:hyperlink r:id="rId15">
              <w:r>
                <w:rPr>
                  <w:rFonts w:ascii="Arial" w:cs="Arial" w:eastAsia="Arial" w:hAnsi="Arial"/>
                  <w:sz w:val="21"/>
                  <w:szCs w:val="21"/>
                  <w:color w:val="0000EE"/>
                  <w:w w:val="97"/>
                </w:rPr>
                <w:t>Plains All American GP LLC</w:t>
              </w:r>
            </w:hyperlink>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333 CLAY STREET, SUITE 1600</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400" w:type="dxa"/>
            <w:vAlign w:val="bottom"/>
          </w:tcPr>
          <w:p>
            <w:pPr>
              <w:ind w:left="280"/>
              <w:spacing w:after="0"/>
              <w:rPr>
                <w:sz w:val="20"/>
                <w:szCs w:val="20"/>
                <w:color w:val="auto"/>
              </w:rPr>
            </w:pPr>
            <w:r>
              <w:rPr>
                <w:rFonts w:ascii="Arial" w:cs="Arial" w:eastAsia="Arial" w:hAnsi="Arial"/>
                <w:sz w:val="17"/>
                <w:szCs w:val="17"/>
                <w:color w:val="0000FF"/>
              </w:rPr>
              <w:t>TX</w:t>
            </w:r>
          </w:p>
        </w:tc>
        <w:tc>
          <w:tcPr>
            <w:tcW w:w="1640" w:type="dxa"/>
            <w:vAlign w:val="bottom"/>
          </w:tcPr>
          <w:p>
            <w:pPr>
              <w:ind w:left="28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28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6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520" w:type="dxa"/>
            <w:vAlign w:val="bottom"/>
            <w:tcBorders>
              <w:bottom w:val="single" w:sz="8" w:color="0000EE"/>
            </w:tcBorders>
            <w:gridSpan w:val="2"/>
          </w:tcPr>
          <w:p>
            <w:pPr>
              <w:spacing w:after="0" w:line="221" w:lineRule="exact"/>
              <w:rPr>
                <w:rFonts w:ascii="Arial" w:cs="Arial" w:eastAsia="Arial" w:hAnsi="Arial"/>
                <w:sz w:val="21"/>
                <w:szCs w:val="21"/>
                <w:color w:val="0000EE"/>
                <w:w w:val="96"/>
              </w:rPr>
            </w:pPr>
            <w:hyperlink r:id="rId17">
              <w:r>
                <w:rPr>
                  <w:rFonts w:ascii="Arial" w:cs="Arial" w:eastAsia="Arial" w:hAnsi="Arial"/>
                  <w:sz w:val="21"/>
                  <w:szCs w:val="21"/>
                  <w:color w:val="0000EE"/>
                  <w:w w:val="96"/>
                </w:rPr>
                <w:t>PLAINS GP HOLDINGS LP</w:t>
              </w:r>
            </w:hyperlink>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28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333 CLAY ST., SUITE 1600</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400" w:type="dxa"/>
            <w:vAlign w:val="bottom"/>
          </w:tcPr>
          <w:p>
            <w:pPr>
              <w:ind w:left="280"/>
              <w:spacing w:after="0"/>
              <w:rPr>
                <w:sz w:val="20"/>
                <w:szCs w:val="20"/>
                <w:color w:val="auto"/>
              </w:rPr>
            </w:pPr>
            <w:r>
              <w:rPr>
                <w:rFonts w:ascii="Arial" w:cs="Arial" w:eastAsia="Arial" w:hAnsi="Arial"/>
                <w:sz w:val="17"/>
                <w:szCs w:val="17"/>
                <w:color w:val="0000FF"/>
              </w:rPr>
              <w:t>TX</w:t>
            </w:r>
          </w:p>
        </w:tc>
        <w:tc>
          <w:tcPr>
            <w:tcW w:w="1640" w:type="dxa"/>
            <w:vAlign w:val="bottom"/>
          </w:tcPr>
          <w:p>
            <w:pPr>
              <w:ind w:left="28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28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289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2891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29" w:lineRule="exact"/>
        <w:rPr>
          <w:rFonts w:ascii="Arial" w:cs="Arial" w:eastAsia="Arial" w:hAnsi="Arial"/>
          <w:sz w:val="13"/>
          <w:szCs w:val="13"/>
          <w:color w:val="008000"/>
        </w:rPr>
      </w:pPr>
    </w:p>
    <w:p>
      <w:pPr>
        <w:ind w:left="20" w:right="14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Effective October 1, 2021, KAFU Holdings (QP), L.P. exercised the Redemption Right with respect to 3,381,046 AAP Class A units, resulting in the cancellation of such AAP Class A units and the distribution of 3,381,046 Common Units from AAP to the redeeming partner.</w:t>
      </w:r>
    </w:p>
    <w:p>
      <w:pPr>
        <w:spacing w:after="0" w:line="15" w:lineRule="exact"/>
        <w:rPr>
          <w:rFonts w:ascii="Arial" w:cs="Arial" w:eastAsia="Arial" w:hAnsi="Arial"/>
          <w:sz w:val="13"/>
          <w:szCs w:val="13"/>
          <w:color w:val="008000"/>
        </w:rPr>
      </w:pPr>
    </w:p>
    <w:p>
      <w:pPr>
        <w:ind w:left="20" w:right="420" w:firstLine="7"/>
        <w:spacing w:after="0" w:line="292"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 F. Gullion, Assistant</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10/04/2021</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Secretary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1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7"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2021-10-04T17:22:55Z</dcterms:created>
  <dcterms:modified xsi:type="dcterms:W3CDTF">2021-10-04T17:22:55Z</dcterms:modified>
</cp:coreProperties>
</file>