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gif" ContentType="image/gif"/>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h40511e8vk.htm"/>
        <w:bookmarkStart w:id="1" w:name="ksh40511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12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320" w:after="283"/>
        <w:jc w:val="center"/>
        <w:rPr>
          <w:bdr w:val="single" w:sz="2" w:space="1" w:color="000000"/>
        </w:rPr>
      </w:pPr>
      <w:r>
        <w:rPr>
          <w:bdr w:val="single" w:sz="2" w:space="1" w:color="000000"/>
        </w:rPr>
        <w:t> </w:t>
      </w:r>
    </w:p>
    <w:p>
      <w:pPr>
        <w:pStyle w:val="TextBody"/>
        <w:spacing w:before="12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October 23, 2006</w:t>
        <w:br/>
        <w:t>Date of Report (Date of earliest event reported)</w:t>
      </w:r>
      <w:r>
        <w:rPr>
          <w:rFonts w:ascii="Times New Roman;Times;serif" w:hAnsi="Times New Roman;Times;serif"/>
          <w:sz w:val="17"/>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p>
      <w:pPr>
        <w:pStyle w:val="TextBody"/>
        <w:spacing w:before="32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t xml:space="preserve">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t xml:space="preserve">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b/>
              </w:rPr>
            </w:pPr>
            <w:r>
              <w:rPr>
                <w:b/>
              </w:rPr>
              <w:t>76-0582150</w:t>
            </w:r>
          </w:p>
        </w:tc>
      </w:tr>
      <w:tr>
        <w:trPr/>
        <w:tc>
          <w:tcPr>
            <w:tcW w:w="3196" w:type="dxa"/>
            <w:tcBorders/>
            <w:shd w:fill="auto" w:val="clear"/>
          </w:tcPr>
          <w:p>
            <w:pPr>
              <w:pStyle w:val="TableContents"/>
              <w:spacing w:before="0" w:after="283"/>
              <w:jc w:val="center"/>
              <w:rPr/>
            </w:pPr>
            <w:r>
              <w:rPr/>
              <w:t xml:space="preserve">(State or other jurisdiction of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t>(IRS Employer Identification No.)</w:t>
            </w:r>
          </w:p>
        </w:tc>
      </w:tr>
      <w:tr>
        <w:trPr/>
        <w:tc>
          <w:tcPr>
            <w:tcW w:w="3196" w:type="dxa"/>
            <w:tcBorders/>
            <w:shd w:fill="auto" w:val="clear"/>
          </w:tcPr>
          <w:p>
            <w:pPr>
              <w:pStyle w:val="TableContents"/>
              <w:spacing w:before="0" w:after="283"/>
              <w:jc w:val="center"/>
              <w:rPr/>
            </w:pPr>
            <w:r>
              <w:rPr/>
              <w:t>incorporation)</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t> </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br/>
        <w:t>(Registrants telephone number, including area code)</w:t>
      </w:r>
    </w:p>
    <w:p>
      <w:pPr>
        <w:pStyle w:val="TextBody"/>
        <w:spacing w:before="320" w:after="283"/>
        <w:jc w:val="center"/>
        <w:rPr>
          <w:bdr w:val="single" w:sz="2" w:space="1" w:color="000000"/>
        </w:rPr>
      </w:pPr>
      <w:r>
        <w:rPr>
          <w:bdr w:val="single" w:sz="2" w:space="1" w:color="000000"/>
        </w:rPr>
        <w:t> </w:t>
      </w:r>
    </w:p>
    <w:p>
      <w:pPr>
        <w:pStyle w:val="TextBody"/>
        <w:spacing w:before="120" w:after="283"/>
        <w:jc w:val="left"/>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pPr>
      <w:r>
        <w:rPr/>
        <w:t xml:space="preserve">     ☑ </w:t>
      </w:r>
      <w:r>
        <w:rPr>
          <w:rFonts w:ascii="Times New Roman;Times;serif" w:hAnsi="Times New Roman;Times;serif"/>
          <w:sz w:val="17"/>
        </w:rPr>
        <w:t xml:space="preserve">Written communications pursuant to Rule 425 under the Securities Act (17 CFR 230.425)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75"/>
        <w:gridCol w:w="275"/>
        <w:gridCol w:w="275"/>
        <w:gridCol w:w="275"/>
        <w:gridCol w:w="275"/>
        <w:gridCol w:w="276"/>
        <w:gridCol w:w="275"/>
        <w:gridCol w:w="275"/>
        <w:gridCol w:w="6983"/>
      </w:tblGrid>
      <w:tr>
        <w:trPr/>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983" w:type="dxa"/>
            <w:tcBorders/>
            <w:shd w:fill="auto" w:val="clear"/>
            <w:vAlign w:val="center"/>
          </w:tcPr>
          <w:p>
            <w:pPr>
              <w:pStyle w:val="TableContents"/>
              <w:spacing w:before="0" w:after="283"/>
              <w:rPr>
                <w:sz w:val="4"/>
                <w:szCs w:val="4"/>
              </w:rPr>
            </w:pPr>
            <w:r>
              <w:rPr>
                <w:sz w:val="4"/>
                <w:szCs w:val="4"/>
              </w:rPr>
            </w:r>
          </w:p>
        </w:tc>
      </w:tr>
      <w:tr>
        <w:trPr/>
        <w:tc>
          <w:tcPr>
            <w:tcW w:w="9184" w:type="dxa"/>
            <w:gridSpan w:val="9"/>
            <w:tcBorders/>
            <w:shd w:fill="auto" w:val="clear"/>
            <w:vAlign w:val="center"/>
          </w:tcPr>
          <w:p>
            <w:pPr>
              <w:pStyle w:val="TableContents"/>
              <w:spacing w:before="0" w:after="283"/>
              <w:rPr/>
            </w:pPr>
            <w:hyperlink w:anchor="000">
              <w:r>
                <w:rPr>
                  <w:rStyle w:val="InternetLink"/>
                </w:rPr>
                <w:t>Item 8.01. Other Events</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Item 9.01. Exhibits</w:t>
              </w:r>
            </w:hyperlink>
          </w:p>
        </w:tc>
      </w:tr>
      <w:tr>
        <w:trPr/>
        <w:tc>
          <w:tcPr>
            <w:tcW w:w="9184" w:type="dxa"/>
            <w:gridSpan w:val="9"/>
            <w:tcBorders/>
            <w:shd w:fill="auto" w:val="clear"/>
            <w:vAlign w:val="center"/>
          </w:tcPr>
          <w:p>
            <w:pPr>
              <w:pStyle w:val="TableContents"/>
              <w:spacing w:before="0" w:after="283"/>
              <w:rPr/>
            </w:pPr>
            <w:hyperlink w:anchor="002">
              <w:r>
                <w:rPr>
                  <w:rStyle w:val="InternetLink"/>
                </w:rPr>
                <w:t>SIGNATURES</w:t>
              </w:r>
            </w:hyperlink>
          </w:p>
        </w:tc>
      </w:tr>
      <w:tr>
        <w:trPr/>
        <w:tc>
          <w:tcPr>
            <w:tcW w:w="9184" w:type="dxa"/>
            <w:gridSpan w:val="9"/>
            <w:tcBorders/>
            <w:shd w:fill="auto" w:val="clear"/>
            <w:vAlign w:val="center"/>
          </w:tcPr>
          <w:p>
            <w:pPr>
              <w:pStyle w:val="TableContents"/>
              <w:spacing w:before="0" w:after="283"/>
              <w:rPr/>
            </w:pPr>
            <w:hyperlink w:anchor="003">
              <w:r>
                <w:rPr>
                  <w:rStyle w:val="InternetLink"/>
                </w:rPr>
                <w:t>Index to Exhibits</w:t>
              </w:r>
            </w:hyperlink>
          </w:p>
        </w:tc>
      </w:tr>
      <w:tr>
        <w:trPr/>
        <w:tc>
          <w:tcPr>
            <w:tcW w:w="9184" w:type="dxa"/>
            <w:gridSpan w:val="9"/>
            <w:tcBorders/>
            <w:shd w:fill="auto" w:val="clear"/>
            <w:vAlign w:val="center"/>
          </w:tcPr>
          <w:p>
            <w:pPr>
              <w:pStyle w:val="TableContents"/>
              <w:spacing w:before="0" w:after="283"/>
              <w:rPr/>
            </w:pPr>
            <w:hyperlink w:anchor="h40511exv99w1.htm">
              <w:r>
                <w:rPr>
                  <w:rStyle w:val="InternetLink"/>
                </w:rPr>
                <w:t>Press Release</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8.01. Other Events.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October 23, 2006, Plains All American Pipeline, L.P. (the Partnership) issued a press release announcing that it has commenced a private placement of an aggregate of $1.0 billion of senior notes. The Partnership is filing a copy of the press release as Exhibit 99.1 hereto. </w:t>
      </w:r>
    </w:p>
    <w:p>
      <w:pPr>
        <w:pStyle w:val="TextBody"/>
        <w:spacing w:before="240" w:after="283"/>
        <w:jc w:val="left"/>
        <w:rPr>
          <w:rFonts w:ascii="Times New Roman;Times;serif" w:hAnsi="Times New Roman;Times;serif"/>
          <w:sz w:val="17"/>
        </w:rPr>
      </w:pPr>
      <w:bookmarkStart w:id="4" w:name="001"/>
      <w:bookmarkEnd w:id="4"/>
      <w:r>
        <w:rPr>
          <w:rFonts w:ascii="Times New Roman;Times;serif" w:hAnsi="Times New Roman;Times;serif"/>
          <w:b/>
          <w:sz w:val="17"/>
        </w:rPr>
        <w:t>Item 9.01. Exhibits.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 Exhibits. </w:t>
      </w:r>
    </w:p>
    <w:tbl>
      <w:tblPr>
        <w:tblW w:w="5000" w:type="pct"/>
        <w:jc w:val="left"/>
        <w:tblInd w:w="0" w:type="dxa"/>
        <w:tblCellMar>
          <w:top w:w="0" w:type="dxa"/>
          <w:left w:w="0" w:type="dxa"/>
          <w:bottom w:w="0" w:type="dxa"/>
          <w:right w:w="0" w:type="dxa"/>
        </w:tblCellMar>
      </w:tblPr>
      <w:tblGrid>
        <w:gridCol w:w="584"/>
        <w:gridCol w:w="457"/>
        <w:gridCol w:w="128"/>
        <w:gridCol w:w="9036"/>
      </w:tblGrid>
      <w:tr>
        <w:trPr/>
        <w:tc>
          <w:tcPr>
            <w:tcW w:w="584"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jc w:val="left"/>
              <w:rPr/>
            </w:pPr>
            <w:r>
              <w:rPr/>
              <w:t>99.1</w:t>
            </w:r>
          </w:p>
        </w:tc>
        <w:tc>
          <w:tcPr>
            <w:tcW w:w="128" w:type="dxa"/>
            <w:tcBorders/>
            <w:shd w:fill="auto" w:val="clear"/>
          </w:tcPr>
          <w:p>
            <w:pPr>
              <w:pStyle w:val="TableContents"/>
              <w:spacing w:before="0" w:after="283"/>
              <w:rPr/>
            </w:pPr>
            <w:r>
              <w:rPr/>
              <w:t> </w:t>
            </w:r>
          </w:p>
        </w:tc>
        <w:tc>
          <w:tcPr>
            <w:tcW w:w="9036" w:type="dxa"/>
            <w:tcBorders/>
            <w:shd w:fill="auto" w:val="clear"/>
          </w:tcPr>
          <w:p>
            <w:pPr>
              <w:pStyle w:val="TableContents"/>
              <w:spacing w:before="0" w:after="283"/>
              <w:rPr/>
            </w:pPr>
            <w:r>
              <w:rPr/>
              <w:t>Press Release of Plains All American Pipeline, L.P. dated October 23,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5" w:name="002"/>
      <w:bookmarkEnd w:id="5"/>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3706"/>
        <w:gridCol w:w="174"/>
        <w:gridCol w:w="306"/>
        <w:gridCol w:w="174"/>
        <w:gridCol w:w="4922"/>
        <w:gridCol w:w="174"/>
        <w:gridCol w:w="749"/>
      </w:tblGrid>
      <w:tr>
        <w:trPr/>
        <w:tc>
          <w:tcPr>
            <w:tcW w:w="370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492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rPr/>
            </w:pPr>
            <w:r>
              <w:rPr/>
              <w:t> </w:t>
            </w:r>
          </w:p>
        </w:tc>
      </w:tr>
      <w:tr>
        <w:trPr/>
        <w:tc>
          <w:tcPr>
            <w:tcW w:w="3706" w:type="dxa"/>
            <w:tcBorders/>
            <w:shd w:fill="auto" w:val="clear"/>
          </w:tcPr>
          <w:p>
            <w:pPr>
              <w:pStyle w:val="TableContents"/>
              <w:spacing w:before="0" w:after="283"/>
              <w:rPr/>
            </w:pPr>
            <w:r>
              <w:rPr/>
              <w:t>Date: October 23, 2006</w:t>
            </w:r>
          </w:p>
        </w:tc>
        <w:tc>
          <w:tcPr>
            <w:tcW w:w="174" w:type="dxa"/>
            <w:tcBorders/>
            <w:shd w:fill="auto" w:val="clear"/>
            <w:vAlign w:val="bottom"/>
          </w:tcPr>
          <w:p>
            <w:pPr>
              <w:pStyle w:val="TableContents"/>
              <w:spacing w:before="0" w:after="283"/>
              <w:rPr/>
            </w:pPr>
            <w:r>
              <w:rPr/>
              <w:t> </w:t>
            </w:r>
          </w:p>
        </w:tc>
        <w:tc>
          <w:tcPr>
            <w:tcW w:w="5402" w:type="dxa"/>
            <w:gridSpan w:val="3"/>
            <w:tcBorders/>
            <w:shd w:fill="auto" w:val="clear"/>
          </w:tcPr>
          <w:p>
            <w:pPr>
              <w:pStyle w:val="TableContents"/>
              <w:spacing w:before="0" w:after="283"/>
              <w:jc w:val="left"/>
              <w:rPr/>
            </w:pPr>
            <w:r>
              <w:rPr/>
              <w:t>PLAINS ALL AMERICAN PIPELINE, L.P.</w:t>
            </w:r>
          </w:p>
        </w:tc>
        <w:tc>
          <w:tcPr>
            <w:tcW w:w="174" w:type="dxa"/>
            <w:tcBorders/>
            <w:shd w:fill="auto" w:val="clear"/>
            <w:vAlign w:val="bottom"/>
          </w:tcPr>
          <w:p>
            <w:pPr>
              <w:pStyle w:val="TableContents"/>
              <w:spacing w:before="0" w:after="283"/>
              <w:rPr/>
            </w:pPr>
            <w:r>
              <w:rPr/>
              <w:t> </w:t>
            </w:r>
          </w:p>
        </w:tc>
        <w:tc>
          <w:tcPr>
            <w:tcW w:w="749" w:type="dxa"/>
            <w:tcBorders/>
            <w:shd w:fill="auto" w:val="clear"/>
          </w:tcPr>
          <w:p>
            <w:pPr>
              <w:pStyle w:val="TableContents"/>
              <w:spacing w:before="0" w:after="283"/>
              <w:jc w:val="left"/>
              <w:rPr/>
            </w:pPr>
            <w:r>
              <w:rPr/>
              <w:t> </w:t>
            </w:r>
          </w:p>
        </w:tc>
      </w:tr>
      <w:tr>
        <w:trPr/>
        <w:tc>
          <w:tcPr>
            <w:tcW w:w="3706" w:type="dxa"/>
            <w:tcBorders/>
            <w:shd w:fill="auto" w:val="clear"/>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4" w:type="dxa"/>
            <w:tcBorders/>
            <w:shd w:fill="auto" w:val="clear"/>
            <w:vAlign w:val="bottom"/>
          </w:tcPr>
          <w:p>
            <w:pPr>
              <w:pStyle w:val="TableContents"/>
              <w:spacing w:before="0" w:after="283"/>
              <w:rPr/>
            </w:pPr>
            <w:r>
              <w:rPr/>
              <w:t> </w:t>
            </w:r>
          </w:p>
        </w:tc>
        <w:tc>
          <w:tcPr>
            <w:tcW w:w="4922" w:type="dxa"/>
            <w:tcBorders/>
            <w:shd w:fill="auto" w:val="clear"/>
          </w:tcPr>
          <w:p>
            <w:pPr>
              <w:pStyle w:val="TableContents"/>
              <w:spacing w:before="0" w:after="283"/>
              <w:jc w:val="left"/>
              <w:rPr/>
            </w:pPr>
            <w:r>
              <w:rPr/>
              <w:t> </w:t>
            </w:r>
          </w:p>
        </w:tc>
        <w:tc>
          <w:tcPr>
            <w:tcW w:w="174" w:type="dxa"/>
            <w:tcBorders/>
            <w:shd w:fill="auto" w:val="clear"/>
            <w:vAlign w:val="bottom"/>
          </w:tcPr>
          <w:p>
            <w:pPr>
              <w:pStyle w:val="TableContents"/>
              <w:spacing w:before="0" w:after="283"/>
              <w:rPr/>
            </w:pPr>
            <w:r>
              <w:rPr/>
              <w:t> </w:t>
            </w:r>
          </w:p>
        </w:tc>
        <w:tc>
          <w:tcPr>
            <w:tcW w:w="749" w:type="dxa"/>
            <w:tcBorders/>
            <w:shd w:fill="auto" w:val="clear"/>
          </w:tcPr>
          <w:p>
            <w:pPr>
              <w:pStyle w:val="TableContents"/>
              <w:spacing w:before="0" w:after="283"/>
              <w:jc w:val="left"/>
              <w:rPr/>
            </w:pPr>
            <w:r>
              <w:rPr/>
              <w:t> </w:t>
            </w:r>
          </w:p>
        </w:tc>
      </w:tr>
      <w:tr>
        <w:trPr/>
        <w:tc>
          <w:tcPr>
            <w:tcW w:w="3706" w:type="dxa"/>
            <w:tcBorders/>
            <w:shd w:fill="auto" w:val="clear"/>
          </w:tcPr>
          <w:p>
            <w:pPr>
              <w:pStyle w:val="TableContents"/>
              <w:spacing w:before="0" w:after="0"/>
              <w:ind w:left="0" w:right="0" w:hanging="0"/>
              <w:rPr/>
            </w:pPr>
            <w:r>
              <w:rPr/>
              <w:t xml:space="preserve">  </w:t>
            </w:r>
          </w:p>
        </w:tc>
        <w:tc>
          <w:tcPr>
            <w:tcW w:w="17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74" w:type="dxa"/>
            <w:tcBorders/>
            <w:shd w:fill="auto" w:val="clear"/>
            <w:vAlign w:val="bottom"/>
          </w:tcPr>
          <w:p>
            <w:pPr>
              <w:pStyle w:val="TableContents"/>
              <w:spacing w:before="0" w:after="283"/>
              <w:rPr/>
            </w:pPr>
            <w:r>
              <w:rPr/>
              <w:t> </w:t>
            </w:r>
          </w:p>
        </w:tc>
        <w:tc>
          <w:tcPr>
            <w:tcW w:w="4922" w:type="dxa"/>
            <w:tcBorders/>
            <w:shd w:fill="auto" w:val="clear"/>
          </w:tcPr>
          <w:p>
            <w:pPr>
              <w:pStyle w:val="TableContents"/>
              <w:spacing w:before="0" w:after="283"/>
              <w:jc w:val="left"/>
              <w:rPr/>
            </w:pPr>
            <w:r>
              <w:rPr/>
              <w:t>Plains AAP, L.P., its general partner</w:t>
            </w:r>
          </w:p>
        </w:tc>
        <w:tc>
          <w:tcPr>
            <w:tcW w:w="174" w:type="dxa"/>
            <w:tcBorders/>
            <w:shd w:fill="auto" w:val="clear"/>
            <w:vAlign w:val="bottom"/>
          </w:tcPr>
          <w:p>
            <w:pPr>
              <w:pStyle w:val="TableContents"/>
              <w:spacing w:before="0" w:after="283"/>
              <w:rPr/>
            </w:pPr>
            <w:r>
              <w:rPr/>
              <w:t> </w:t>
            </w:r>
          </w:p>
        </w:tc>
        <w:tc>
          <w:tcPr>
            <w:tcW w:w="749" w:type="dxa"/>
            <w:tcBorders/>
            <w:shd w:fill="auto" w:val="clear"/>
          </w:tcPr>
          <w:p>
            <w:pPr>
              <w:pStyle w:val="TableContents"/>
              <w:spacing w:before="0" w:after="283"/>
              <w:jc w:val="left"/>
              <w:rPr/>
            </w:pPr>
            <w:r>
              <w:rPr/>
              <w:t> </w:t>
            </w:r>
          </w:p>
        </w:tc>
      </w:tr>
      <w:tr>
        <w:trPr/>
        <w:tc>
          <w:tcPr>
            <w:tcW w:w="3706" w:type="dxa"/>
            <w:tcBorders/>
            <w:shd w:fill="auto" w:val="clear"/>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4" w:type="dxa"/>
            <w:tcBorders/>
            <w:shd w:fill="auto" w:val="clear"/>
            <w:vAlign w:val="bottom"/>
          </w:tcPr>
          <w:p>
            <w:pPr>
              <w:pStyle w:val="TableContents"/>
              <w:spacing w:before="0" w:after="283"/>
              <w:rPr/>
            </w:pPr>
            <w:r>
              <w:rPr/>
              <w:t> </w:t>
            </w:r>
          </w:p>
        </w:tc>
        <w:tc>
          <w:tcPr>
            <w:tcW w:w="4922" w:type="dxa"/>
            <w:tcBorders/>
            <w:shd w:fill="auto" w:val="clear"/>
          </w:tcPr>
          <w:p>
            <w:pPr>
              <w:pStyle w:val="TableContents"/>
              <w:spacing w:before="0" w:after="283"/>
              <w:jc w:val="left"/>
              <w:rPr/>
            </w:pPr>
            <w:r>
              <w:rPr/>
              <w:t> </w:t>
            </w:r>
          </w:p>
        </w:tc>
        <w:tc>
          <w:tcPr>
            <w:tcW w:w="174" w:type="dxa"/>
            <w:tcBorders/>
            <w:shd w:fill="auto" w:val="clear"/>
            <w:vAlign w:val="bottom"/>
          </w:tcPr>
          <w:p>
            <w:pPr>
              <w:pStyle w:val="TableContents"/>
              <w:spacing w:before="0" w:after="283"/>
              <w:rPr/>
            </w:pPr>
            <w:r>
              <w:rPr/>
              <w:t> </w:t>
            </w:r>
          </w:p>
        </w:tc>
        <w:tc>
          <w:tcPr>
            <w:tcW w:w="749" w:type="dxa"/>
            <w:tcBorders/>
            <w:shd w:fill="auto" w:val="clear"/>
          </w:tcPr>
          <w:p>
            <w:pPr>
              <w:pStyle w:val="TableContents"/>
              <w:spacing w:before="0" w:after="283"/>
              <w:jc w:val="left"/>
              <w:rPr/>
            </w:pPr>
            <w:r>
              <w:rPr/>
              <w:t> </w:t>
            </w:r>
          </w:p>
        </w:tc>
      </w:tr>
      <w:tr>
        <w:trPr/>
        <w:tc>
          <w:tcPr>
            <w:tcW w:w="3706" w:type="dxa"/>
            <w:tcBorders/>
            <w:shd w:fill="auto" w:val="clear"/>
          </w:tcPr>
          <w:p>
            <w:pPr>
              <w:pStyle w:val="TableContents"/>
              <w:spacing w:before="0" w:after="0"/>
              <w:ind w:left="0" w:right="0" w:hanging="0"/>
              <w:rPr/>
            </w:pPr>
            <w:r>
              <w:rPr/>
              <w:t xml:space="preserve">  </w:t>
            </w:r>
          </w:p>
        </w:tc>
        <w:tc>
          <w:tcPr>
            <w:tcW w:w="17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74" w:type="dxa"/>
            <w:tcBorders/>
            <w:shd w:fill="auto" w:val="clear"/>
            <w:vAlign w:val="bottom"/>
          </w:tcPr>
          <w:p>
            <w:pPr>
              <w:pStyle w:val="TableContents"/>
              <w:spacing w:before="0" w:after="283"/>
              <w:rPr/>
            </w:pPr>
            <w:r>
              <w:rPr/>
              <w:t> </w:t>
            </w:r>
          </w:p>
        </w:tc>
        <w:tc>
          <w:tcPr>
            <w:tcW w:w="4922" w:type="dxa"/>
            <w:tcBorders/>
            <w:shd w:fill="auto" w:val="clear"/>
          </w:tcPr>
          <w:p>
            <w:pPr>
              <w:pStyle w:val="TableContents"/>
              <w:spacing w:before="0" w:after="283"/>
              <w:jc w:val="left"/>
              <w:rPr/>
            </w:pPr>
            <w:r>
              <w:rPr/>
              <w:t>Plains All American GP LLC, its general partner</w:t>
            </w:r>
          </w:p>
        </w:tc>
        <w:tc>
          <w:tcPr>
            <w:tcW w:w="174" w:type="dxa"/>
            <w:tcBorders/>
            <w:shd w:fill="auto" w:val="clear"/>
            <w:vAlign w:val="bottom"/>
          </w:tcPr>
          <w:p>
            <w:pPr>
              <w:pStyle w:val="TableContents"/>
              <w:spacing w:before="0" w:after="283"/>
              <w:rPr/>
            </w:pPr>
            <w:r>
              <w:rPr/>
              <w:t> </w:t>
            </w:r>
          </w:p>
        </w:tc>
        <w:tc>
          <w:tcPr>
            <w:tcW w:w="749" w:type="dxa"/>
            <w:tcBorders/>
            <w:shd w:fill="auto" w:val="clear"/>
          </w:tcPr>
          <w:p>
            <w:pPr>
              <w:pStyle w:val="TableContents"/>
              <w:spacing w:before="0" w:after="283"/>
              <w:jc w:val="left"/>
              <w:rPr/>
            </w:pPr>
            <w:r>
              <w:rPr/>
              <w:t> </w:t>
            </w:r>
          </w:p>
        </w:tc>
      </w:tr>
      <w:tr>
        <w:trPr/>
        <w:tc>
          <w:tcPr>
            <w:tcW w:w="3706" w:type="dxa"/>
            <w:tcBorders/>
            <w:shd w:fill="auto" w:val="clear"/>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4" w:type="dxa"/>
            <w:tcBorders/>
            <w:shd w:fill="auto" w:val="clear"/>
            <w:vAlign w:val="bottom"/>
          </w:tcPr>
          <w:p>
            <w:pPr>
              <w:pStyle w:val="TableContents"/>
              <w:spacing w:before="0" w:after="283"/>
              <w:rPr/>
            </w:pPr>
            <w:r>
              <w:rPr/>
              <w:t> </w:t>
            </w:r>
          </w:p>
        </w:tc>
        <w:tc>
          <w:tcPr>
            <w:tcW w:w="4922" w:type="dxa"/>
            <w:tcBorders/>
            <w:shd w:fill="auto" w:val="clear"/>
          </w:tcPr>
          <w:p>
            <w:pPr>
              <w:pStyle w:val="TableContents"/>
              <w:spacing w:before="0" w:after="283"/>
              <w:jc w:val="left"/>
              <w:rPr/>
            </w:pPr>
            <w:r>
              <w:rPr/>
              <w:t> </w:t>
            </w:r>
          </w:p>
        </w:tc>
        <w:tc>
          <w:tcPr>
            <w:tcW w:w="174" w:type="dxa"/>
            <w:tcBorders/>
            <w:shd w:fill="auto" w:val="clear"/>
            <w:vAlign w:val="bottom"/>
          </w:tcPr>
          <w:p>
            <w:pPr>
              <w:pStyle w:val="TableContents"/>
              <w:spacing w:before="0" w:after="283"/>
              <w:rPr/>
            </w:pPr>
            <w:r>
              <w:rPr/>
              <w:t> </w:t>
            </w:r>
          </w:p>
        </w:tc>
        <w:tc>
          <w:tcPr>
            <w:tcW w:w="749" w:type="dxa"/>
            <w:tcBorders/>
            <w:shd w:fill="auto" w:val="clear"/>
          </w:tcPr>
          <w:p>
            <w:pPr>
              <w:pStyle w:val="TableContents"/>
              <w:spacing w:before="0" w:after="283"/>
              <w:jc w:val="left"/>
              <w:rPr/>
            </w:pPr>
            <w:r>
              <w:rPr/>
              <w:t> </w:t>
            </w:r>
          </w:p>
        </w:tc>
      </w:tr>
      <w:tr>
        <w:trPr/>
        <w:tc>
          <w:tcPr>
            <w:tcW w:w="3706" w:type="dxa"/>
            <w:tcBorders/>
            <w:shd w:fill="auto" w:val="clear"/>
          </w:tcPr>
          <w:p>
            <w:pPr>
              <w:pStyle w:val="TableContents"/>
              <w:spacing w:before="0" w:after="0"/>
              <w:ind w:left="0" w:right="0" w:hanging="0"/>
              <w:rPr/>
            </w:pPr>
            <w:r>
              <w:rPr/>
              <w:t xml:space="preserve">  </w:t>
            </w:r>
          </w:p>
        </w:tc>
        <w:tc>
          <w:tcPr>
            <w:tcW w:w="17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By:</w:t>
            </w:r>
          </w:p>
        </w:tc>
        <w:tc>
          <w:tcPr>
            <w:tcW w:w="174" w:type="dxa"/>
            <w:tcBorders/>
            <w:shd w:fill="auto" w:val="clear"/>
            <w:vAlign w:val="bottom"/>
          </w:tcPr>
          <w:p>
            <w:pPr>
              <w:pStyle w:val="TableContents"/>
              <w:spacing w:before="0" w:after="283"/>
              <w:rPr/>
            </w:pPr>
            <w:r>
              <w:rPr/>
              <w:t> </w:t>
            </w:r>
          </w:p>
        </w:tc>
        <w:tc>
          <w:tcPr>
            <w:tcW w:w="5845" w:type="dxa"/>
            <w:gridSpan w:val="3"/>
            <w:tcBorders/>
            <w:shd w:fill="auto" w:val="clear"/>
          </w:tcPr>
          <w:p>
            <w:pPr>
              <w:pStyle w:val="TableContents"/>
              <w:spacing w:before="0" w:after="283"/>
              <w:jc w:val="left"/>
              <w:rPr/>
            </w:pPr>
            <w:r>
              <w:rPr/>
              <w:t>/s/ Tim Moore</w:t>
            </w:r>
          </w:p>
        </w:tc>
      </w:tr>
      <w:tr>
        <w:trPr/>
        <w:tc>
          <w:tcPr>
            <w:tcW w:w="3706" w:type="dxa"/>
            <w:tcBorders/>
            <w:shd w:fill="auto" w:val="clear"/>
          </w:tcPr>
          <w:p>
            <w:pPr>
              <w:pStyle w:val="TableContents"/>
              <w:spacing w:before="0" w:after="0"/>
              <w:ind w:left="0" w:right="0" w:hanging="0"/>
              <w:rPr/>
            </w:pPr>
            <w:r>
              <w:rPr/>
              <w:t xml:space="preserve">  </w:t>
            </w:r>
          </w:p>
        </w:tc>
        <w:tc>
          <w:tcPr>
            <w:tcW w:w="174"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4" w:type="dxa"/>
            <w:tcBorders/>
            <w:shd w:fill="auto" w:val="clear"/>
            <w:vAlign w:val="center"/>
          </w:tcPr>
          <w:p>
            <w:pPr>
              <w:pStyle w:val="TableContents"/>
              <w:spacing w:before="0" w:after="283"/>
              <w:rPr/>
            </w:pPr>
            <w:r>
              <w:rPr/>
              <w:t> </w:t>
            </w:r>
          </w:p>
        </w:tc>
        <w:tc>
          <w:tcPr>
            <w:tcW w:w="4922" w:type="dxa"/>
            <w:tcBorders>
              <w:top w:val="single" w:sz="2" w:space="0" w:color="000000"/>
            </w:tcBorders>
            <w:shd w:fill="auto" w:val="clear"/>
            <w:tcMar>
              <w:top w:w="28" w:type="dxa"/>
            </w:tcMar>
          </w:tcPr>
          <w:p>
            <w:pPr>
              <w:pStyle w:val="TableContents"/>
              <w:spacing w:before="0" w:after="283"/>
              <w:jc w:val="left"/>
              <w:rPr/>
            </w:pPr>
            <w:r>
              <w:rPr/>
              <w:t> </w:t>
            </w:r>
          </w:p>
        </w:tc>
        <w:tc>
          <w:tcPr>
            <w:tcW w:w="174" w:type="dxa"/>
            <w:tcBorders/>
            <w:shd w:fill="auto" w:val="clear"/>
            <w:vAlign w:val="center"/>
          </w:tcPr>
          <w:p>
            <w:pPr>
              <w:pStyle w:val="TableContents"/>
              <w:spacing w:before="0" w:after="283"/>
              <w:rPr/>
            </w:pPr>
            <w:r>
              <w:rPr/>
              <w:t> </w:t>
            </w:r>
          </w:p>
        </w:tc>
        <w:tc>
          <w:tcPr>
            <w:tcW w:w="749" w:type="dxa"/>
            <w:tcBorders/>
            <w:shd w:fill="auto" w:val="clear"/>
          </w:tcPr>
          <w:p>
            <w:pPr>
              <w:pStyle w:val="TableContents"/>
              <w:spacing w:before="0" w:after="283"/>
              <w:jc w:val="left"/>
              <w:rPr/>
            </w:pPr>
            <w:r>
              <w:rPr/>
              <w:t> </w:t>
            </w:r>
          </w:p>
        </w:tc>
      </w:tr>
      <w:tr>
        <w:trPr/>
        <w:tc>
          <w:tcPr>
            <w:tcW w:w="3706" w:type="dxa"/>
            <w:tcBorders/>
            <w:shd w:fill="auto" w:val="clear"/>
          </w:tcPr>
          <w:p>
            <w:pPr>
              <w:pStyle w:val="TableContents"/>
              <w:spacing w:before="0" w:after="0"/>
              <w:ind w:left="0" w:right="0" w:hanging="0"/>
              <w:rPr/>
            </w:pPr>
            <w:r>
              <w:rPr/>
              <w:t xml:space="preserve">  </w:t>
            </w:r>
          </w:p>
        </w:tc>
        <w:tc>
          <w:tcPr>
            <w:tcW w:w="17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4" w:type="dxa"/>
            <w:tcBorders/>
            <w:shd w:fill="auto" w:val="clear"/>
            <w:vAlign w:val="bottom"/>
          </w:tcPr>
          <w:p>
            <w:pPr>
              <w:pStyle w:val="TableContents"/>
              <w:spacing w:before="0" w:after="283"/>
              <w:rPr/>
            </w:pPr>
            <w:r>
              <w:rPr/>
              <w:t> </w:t>
            </w:r>
          </w:p>
        </w:tc>
        <w:tc>
          <w:tcPr>
            <w:tcW w:w="4922" w:type="dxa"/>
            <w:tcBorders/>
            <w:shd w:fill="auto" w:val="clear"/>
          </w:tcPr>
          <w:p>
            <w:pPr>
              <w:pStyle w:val="TableContents"/>
              <w:spacing w:before="0" w:after="283"/>
              <w:jc w:val="left"/>
              <w:rPr/>
            </w:pPr>
            <w:r>
              <w:rPr/>
              <w:t>Name: Tim Moore</w:t>
            </w:r>
          </w:p>
        </w:tc>
        <w:tc>
          <w:tcPr>
            <w:tcW w:w="174" w:type="dxa"/>
            <w:tcBorders/>
            <w:shd w:fill="auto" w:val="clear"/>
            <w:vAlign w:val="bottom"/>
          </w:tcPr>
          <w:p>
            <w:pPr>
              <w:pStyle w:val="TableContents"/>
              <w:spacing w:before="0" w:after="283"/>
              <w:rPr/>
            </w:pPr>
            <w:r>
              <w:rPr/>
              <w:t> </w:t>
            </w:r>
          </w:p>
        </w:tc>
        <w:tc>
          <w:tcPr>
            <w:tcW w:w="749" w:type="dxa"/>
            <w:tcBorders/>
            <w:shd w:fill="auto" w:val="clear"/>
          </w:tcPr>
          <w:p>
            <w:pPr>
              <w:pStyle w:val="TableContents"/>
              <w:spacing w:before="0" w:after="283"/>
              <w:jc w:val="left"/>
              <w:rPr/>
            </w:pPr>
            <w:r>
              <w:rPr/>
              <w:t> </w:t>
            </w:r>
          </w:p>
        </w:tc>
      </w:tr>
      <w:tr>
        <w:trPr/>
        <w:tc>
          <w:tcPr>
            <w:tcW w:w="3706" w:type="dxa"/>
            <w:tcBorders/>
            <w:shd w:fill="auto" w:val="clear"/>
          </w:tcPr>
          <w:p>
            <w:pPr>
              <w:pStyle w:val="TableContents"/>
              <w:spacing w:before="0" w:after="0"/>
              <w:ind w:left="0" w:right="0" w:hanging="0"/>
              <w:rPr/>
            </w:pPr>
            <w:r>
              <w:rPr/>
              <w:t xml:space="preserve">  </w:t>
            </w:r>
          </w:p>
        </w:tc>
        <w:tc>
          <w:tcPr>
            <w:tcW w:w="17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4" w:type="dxa"/>
            <w:tcBorders/>
            <w:shd w:fill="auto" w:val="clear"/>
            <w:vAlign w:val="bottom"/>
          </w:tcPr>
          <w:p>
            <w:pPr>
              <w:pStyle w:val="TableContents"/>
              <w:spacing w:before="0" w:after="283"/>
              <w:rPr/>
            </w:pPr>
            <w:r>
              <w:rPr/>
              <w:t> </w:t>
            </w:r>
          </w:p>
        </w:tc>
        <w:tc>
          <w:tcPr>
            <w:tcW w:w="4922" w:type="dxa"/>
            <w:tcBorders/>
            <w:shd w:fill="auto" w:val="clear"/>
          </w:tcPr>
          <w:p>
            <w:pPr>
              <w:pStyle w:val="TableContents"/>
              <w:spacing w:before="0" w:after="283"/>
              <w:jc w:val="left"/>
              <w:rPr/>
            </w:pPr>
            <w:r>
              <w:rPr/>
              <w:t>Title: Vice President</w:t>
            </w:r>
          </w:p>
        </w:tc>
        <w:tc>
          <w:tcPr>
            <w:tcW w:w="174" w:type="dxa"/>
            <w:tcBorders/>
            <w:shd w:fill="auto" w:val="clear"/>
            <w:vAlign w:val="bottom"/>
          </w:tcPr>
          <w:p>
            <w:pPr>
              <w:pStyle w:val="TableContents"/>
              <w:spacing w:before="0" w:after="283"/>
              <w:rPr/>
            </w:pPr>
            <w:r>
              <w:rPr/>
              <w:t> </w:t>
            </w:r>
          </w:p>
        </w:tc>
        <w:tc>
          <w:tcPr>
            <w:tcW w:w="749"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6" w:name="003"/>
      <w:bookmarkEnd w:id="6"/>
      <w:r>
        <w:rPr>
          <w:rFonts w:ascii="Times New Roman;Times;serif" w:hAnsi="Times New Roman;Times;serif"/>
          <w:sz w:val="17"/>
        </w:rPr>
        <w:t xml:space="preserve">Index to Exhibits </w:t>
      </w:r>
    </w:p>
    <w:tbl>
      <w:tblPr>
        <w:tblW w:w="5000" w:type="pct"/>
        <w:jc w:val="left"/>
        <w:tblInd w:w="0" w:type="dxa"/>
        <w:tblCellMar>
          <w:top w:w="0" w:type="dxa"/>
          <w:left w:w="0" w:type="dxa"/>
          <w:bottom w:w="0" w:type="dxa"/>
          <w:right w:w="0" w:type="dxa"/>
        </w:tblCellMar>
      </w:tblPr>
      <w:tblGrid>
        <w:gridCol w:w="456"/>
        <w:gridCol w:w="138"/>
        <w:gridCol w:w="9611"/>
      </w:tblGrid>
      <w:tr>
        <w:trPr/>
        <w:tc>
          <w:tcPr>
            <w:tcW w:w="456" w:type="dxa"/>
            <w:tcBorders/>
            <w:shd w:fill="auto" w:val="clear"/>
          </w:tcPr>
          <w:p>
            <w:pPr>
              <w:pStyle w:val="TableContents"/>
              <w:spacing w:before="0" w:after="283"/>
              <w:jc w:val="left"/>
              <w:rPr/>
            </w:pPr>
            <w:r>
              <w:rPr/>
              <w:t>99.1</w:t>
            </w:r>
          </w:p>
        </w:tc>
        <w:tc>
          <w:tcPr>
            <w:tcW w:w="138" w:type="dxa"/>
            <w:tcBorders/>
            <w:shd w:fill="auto" w:val="clear"/>
          </w:tcPr>
          <w:p>
            <w:pPr>
              <w:pStyle w:val="TableContents"/>
              <w:spacing w:before="0" w:after="283"/>
              <w:rPr/>
            </w:pPr>
            <w:r>
              <w:rPr/>
              <w:t> </w:t>
            </w:r>
          </w:p>
        </w:tc>
        <w:tc>
          <w:tcPr>
            <w:tcW w:w="9611" w:type="dxa"/>
            <w:tcBorders/>
            <w:shd w:fill="auto" w:val="clear"/>
          </w:tcPr>
          <w:p>
            <w:pPr>
              <w:pStyle w:val="TableContents"/>
              <w:spacing w:before="0" w:after="283"/>
              <w:rPr/>
            </w:pPr>
            <w:r>
              <w:rPr/>
              <w:t>Press Release of Plains All American Pipeline, L.P. dated October 23,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r>
        <w:br w:type="page"/>
      </w:r>
    </w:p>
    <w:p>
      <w:pPr>
        <w:pStyle w:val="Heading5"/>
        <w:jc w:val="left"/>
        <w:rPr/>
      </w:pPr>
      <w:bookmarkStart w:id="7" w:name="h40511exv99w1.htm"/>
      <w:bookmarkStart w:id="8" w:name="ksh40511exv99w1"/>
      <w:bookmarkEnd w:id="7"/>
      <w:bookmarkEnd w:id="8"/>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845"/>
        <w:gridCol w:w="514"/>
        <w:gridCol w:w="4846"/>
      </w:tblGrid>
      <w:tr>
        <w:trPr/>
        <w:tc>
          <w:tcPr>
            <w:tcW w:w="4845" w:type="dxa"/>
            <w:tcBorders/>
            <w:shd w:fill="auto" w:val="clear"/>
            <w:vAlign w:val="bottom"/>
          </w:tcPr>
          <w:p>
            <w:pPr>
              <w:pStyle w:val="TableContents"/>
              <w:spacing w:before="0" w:after="283"/>
              <w:rPr>
                <w:sz w:val="4"/>
                <w:szCs w:val="4"/>
              </w:rPr>
            </w:pPr>
            <w:r>
              <w:rPr>
                <w:sz w:val="4"/>
                <w:szCs w:val="4"/>
              </w:rPr>
            </w:r>
          </w:p>
        </w:tc>
        <w:tc>
          <w:tcPr>
            <w:tcW w:w="514" w:type="dxa"/>
            <w:tcBorders/>
            <w:shd w:fill="auto" w:val="clear"/>
            <w:vAlign w:val="bottom"/>
          </w:tcPr>
          <w:p>
            <w:pPr>
              <w:pStyle w:val="TableContents"/>
              <w:spacing w:before="0" w:after="283"/>
              <w:rPr>
                <w:sz w:val="4"/>
                <w:szCs w:val="4"/>
              </w:rPr>
            </w:pPr>
            <w:r>
              <w:rPr>
                <w:sz w:val="4"/>
                <w:szCs w:val="4"/>
              </w:rPr>
            </w:r>
          </w:p>
        </w:tc>
        <w:tc>
          <w:tcPr>
            <w:tcW w:w="4846" w:type="dxa"/>
            <w:tcBorders/>
            <w:shd w:fill="auto" w:val="clear"/>
            <w:vAlign w:val="bottom"/>
          </w:tcPr>
          <w:p>
            <w:pPr>
              <w:pStyle w:val="TableContents"/>
              <w:spacing w:before="0" w:after="283"/>
              <w:rPr>
                <w:sz w:val="4"/>
                <w:szCs w:val="4"/>
              </w:rPr>
            </w:pPr>
            <w:r>
              <w:rPr>
                <w:sz w:val="4"/>
                <w:szCs w:val="4"/>
              </w:rPr>
            </w:r>
          </w:p>
        </w:tc>
      </w:tr>
      <w:tr>
        <w:trPr/>
        <w:tc>
          <w:tcPr>
            <w:tcW w:w="4845" w:type="dxa"/>
            <w:tcBorders/>
            <w:shd w:fill="auto" w:val="clear"/>
          </w:tcPr>
          <w:p>
            <w:pPr>
              <w:pStyle w:val="TableContents"/>
              <w:spacing w:before="0" w:after="283"/>
              <w:jc w:val="left"/>
              <w:rPr/>
            </w:pPr>
            <w:r>
              <w:rPr/>
              <w:t> </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right"/>
              <w:rPr/>
            </w:pPr>
            <w:r>
              <w:rPr/>
              <w:t> </w:t>
            </w:r>
          </w:p>
        </w:tc>
      </w:tr>
      <w:tr>
        <w:trPr/>
        <w:tc>
          <w:tcPr>
            <w:tcW w:w="4845" w:type="dxa"/>
            <w:tcBorders/>
            <w:shd w:fill="auto" w:val="clear"/>
          </w:tcPr>
          <w:p>
            <w:pPr>
              <w:pStyle w:val="TableContents"/>
              <w:spacing w:before="0" w:after="283"/>
              <w:jc w:val="left"/>
              <w:rPr/>
            </w:pPr>
            <w:r>
              <w:rPr/>
              <w:drawing>
                <wp:inline distT="0" distB="0" distL="0" distR="0">
                  <wp:extent cx="220027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0275" cy="657225"/>
                          </a:xfrm>
                          <a:prstGeom prst="rect">
                            <a:avLst/>
                          </a:prstGeom>
                        </pic:spPr>
                      </pic:pic>
                    </a:graphicData>
                  </a:graphic>
                </wp:inline>
              </w:drawing>
            </w:r>
            <w:r>
              <w:rPr/>
              <w:t xml:space="preserve"> </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right"/>
              <w:rPr/>
            </w:pPr>
            <w:r>
              <w:rPr/>
              <w:drawing>
                <wp:inline distT="0" distB="0" distL="0" distR="0">
                  <wp:extent cx="2505075" cy="771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05075" cy="771525"/>
                          </a:xfrm>
                          <a:prstGeom prst="rect">
                            <a:avLst/>
                          </a:prstGeom>
                        </pic:spPr>
                      </pic:pic>
                    </a:graphicData>
                  </a:graphic>
                </wp:inline>
              </w:drawing>
            </w:r>
          </w:p>
        </w:tc>
      </w:tr>
    </w:tbl>
    <w:tbl>
      <w:tblPr>
        <w:tblW w:w="5000" w:type="pct"/>
        <w:jc w:val="center"/>
        <w:tblInd w:w="0" w:type="dxa"/>
        <w:tblCellMar>
          <w:top w:w="0" w:type="dxa"/>
          <w:left w:w="0" w:type="dxa"/>
          <w:bottom w:w="0" w:type="dxa"/>
          <w:right w:w="0" w:type="dxa"/>
        </w:tblCellMar>
      </w:tblPr>
      <w:tblGrid>
        <w:gridCol w:w="1544"/>
        <w:gridCol w:w="206"/>
        <w:gridCol w:w="4124"/>
        <w:gridCol w:w="206"/>
        <w:gridCol w:w="4125"/>
      </w:tblGrid>
      <w:tr>
        <w:trPr/>
        <w:tc>
          <w:tcPr>
            <w:tcW w:w="154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1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125" w:type="dxa"/>
            <w:tcBorders/>
            <w:shd w:fill="auto" w:val="clear"/>
            <w:vAlign w:val="bottom"/>
          </w:tcPr>
          <w:p>
            <w:pPr>
              <w:pStyle w:val="TableContents"/>
              <w:spacing w:before="0" w:after="283"/>
              <w:rPr/>
            </w:pPr>
            <w:r>
              <w:rPr/>
              <w:t> </w:t>
            </w:r>
          </w:p>
        </w:tc>
      </w:tr>
      <w:tr>
        <w:trPr/>
        <w:tc>
          <w:tcPr>
            <w:tcW w:w="1544" w:type="dxa"/>
            <w:tcBorders/>
            <w:shd w:fill="auto" w:val="clear"/>
          </w:tcPr>
          <w:p>
            <w:pPr>
              <w:pStyle w:val="TableContents"/>
              <w:spacing w:before="0" w:after="0"/>
              <w:ind w:left="0" w:right="0" w:hanging="0"/>
              <w:rPr/>
            </w:pPr>
            <w:r>
              <w:rPr>
                <w:b/>
                <w:u w:val="single"/>
              </w:rPr>
              <w:t>Contacts</w:t>
            </w:r>
            <w:r>
              <w:rPr>
                <w:b/>
              </w:rPr>
              <w:t>:</w:t>
            </w:r>
            <w:r>
              <w:rPr/>
              <w:t xml:space="preserve"> </w:t>
            </w:r>
          </w:p>
        </w:tc>
        <w:tc>
          <w:tcPr>
            <w:tcW w:w="206" w:type="dxa"/>
            <w:tcBorders/>
            <w:shd w:fill="auto" w:val="clear"/>
            <w:vAlign w:val="bottom"/>
          </w:tcPr>
          <w:p>
            <w:pPr>
              <w:pStyle w:val="TableContents"/>
              <w:spacing w:before="0" w:after="283"/>
              <w:rPr/>
            </w:pPr>
            <w:r>
              <w:rPr/>
              <w:t> </w:t>
            </w:r>
          </w:p>
        </w:tc>
        <w:tc>
          <w:tcPr>
            <w:tcW w:w="4124" w:type="dxa"/>
            <w:tcBorders/>
            <w:shd w:fill="auto" w:val="clear"/>
          </w:tcPr>
          <w:p>
            <w:pPr>
              <w:pStyle w:val="TableContents"/>
              <w:spacing w:before="0" w:after="283"/>
              <w:jc w:val="left"/>
              <w:rPr/>
            </w:pPr>
            <w:r>
              <w:rPr>
                <w:b/>
              </w:rPr>
              <w:t>Phillip D. Kramer</w:t>
            </w:r>
            <w:r>
              <w:rPr/>
              <w:t xml:space="preserve"> </w:t>
            </w:r>
          </w:p>
        </w:tc>
        <w:tc>
          <w:tcPr>
            <w:tcW w:w="206" w:type="dxa"/>
            <w:tcBorders/>
            <w:shd w:fill="auto" w:val="clear"/>
            <w:vAlign w:val="bottom"/>
          </w:tcPr>
          <w:p>
            <w:pPr>
              <w:pStyle w:val="TableContents"/>
              <w:spacing w:before="0" w:after="283"/>
              <w:rPr/>
            </w:pPr>
            <w:r>
              <w:rPr/>
              <w:t> </w:t>
            </w:r>
          </w:p>
        </w:tc>
        <w:tc>
          <w:tcPr>
            <w:tcW w:w="4125" w:type="dxa"/>
            <w:tcBorders/>
            <w:shd w:fill="auto" w:val="clear"/>
          </w:tcPr>
          <w:p>
            <w:pPr>
              <w:pStyle w:val="TableContents"/>
              <w:spacing w:before="0" w:after="283"/>
              <w:jc w:val="left"/>
              <w:rPr>
                <w:b/>
              </w:rPr>
            </w:pPr>
            <w:r>
              <w:rPr>
                <w:b/>
              </w:rPr>
              <w:t>A. Patrick Diamond</w:t>
            </w:r>
          </w:p>
        </w:tc>
      </w:tr>
      <w:tr>
        <w:trPr/>
        <w:tc>
          <w:tcPr>
            <w:tcW w:w="1544" w:type="dxa"/>
            <w:tcBorders/>
            <w:shd w:fill="auto" w:val="clear"/>
          </w:tcPr>
          <w:p>
            <w:pPr>
              <w:pStyle w:val="TableContents"/>
              <w:spacing w:before="0" w:after="0"/>
              <w:ind w:left="0" w:right="0" w:hanging="0"/>
              <w:rPr/>
            </w:pPr>
            <w:r>
              <w:rPr/>
              <w:t xml:space="preserve">  </w:t>
            </w:r>
          </w:p>
        </w:tc>
        <w:tc>
          <w:tcPr>
            <w:tcW w:w="206" w:type="dxa"/>
            <w:tcBorders/>
            <w:shd w:fill="auto" w:val="clear"/>
            <w:vAlign w:val="bottom"/>
          </w:tcPr>
          <w:p>
            <w:pPr>
              <w:pStyle w:val="TableContents"/>
              <w:spacing w:before="0" w:after="283"/>
              <w:rPr/>
            </w:pPr>
            <w:r>
              <w:rPr/>
              <w:t> </w:t>
            </w:r>
          </w:p>
        </w:tc>
        <w:tc>
          <w:tcPr>
            <w:tcW w:w="4124" w:type="dxa"/>
            <w:tcBorders/>
            <w:shd w:fill="auto" w:val="clear"/>
          </w:tcPr>
          <w:p>
            <w:pPr>
              <w:pStyle w:val="TableContents"/>
              <w:spacing w:before="0" w:after="283"/>
              <w:jc w:val="left"/>
              <w:rPr/>
            </w:pPr>
            <w:r>
              <w:rPr>
                <w:b/>
              </w:rPr>
              <w:t>Executive Vice President and CFO</w:t>
            </w:r>
            <w:r>
              <w:rPr/>
              <w:t xml:space="preserve"> </w:t>
            </w:r>
          </w:p>
        </w:tc>
        <w:tc>
          <w:tcPr>
            <w:tcW w:w="206" w:type="dxa"/>
            <w:tcBorders/>
            <w:shd w:fill="auto" w:val="clear"/>
            <w:vAlign w:val="bottom"/>
          </w:tcPr>
          <w:p>
            <w:pPr>
              <w:pStyle w:val="TableContents"/>
              <w:spacing w:before="0" w:after="283"/>
              <w:rPr/>
            </w:pPr>
            <w:r>
              <w:rPr/>
              <w:t> </w:t>
            </w:r>
          </w:p>
        </w:tc>
        <w:tc>
          <w:tcPr>
            <w:tcW w:w="4125" w:type="dxa"/>
            <w:tcBorders/>
            <w:shd w:fill="auto" w:val="clear"/>
          </w:tcPr>
          <w:p>
            <w:pPr>
              <w:pStyle w:val="TableContents"/>
              <w:spacing w:before="0" w:after="283"/>
              <w:jc w:val="left"/>
              <w:rPr>
                <w:b/>
              </w:rPr>
            </w:pPr>
            <w:r>
              <w:rPr>
                <w:b/>
              </w:rPr>
              <w:t>Director, Strategic Planning</w:t>
            </w:r>
          </w:p>
        </w:tc>
      </w:tr>
      <w:tr>
        <w:trPr/>
        <w:tc>
          <w:tcPr>
            <w:tcW w:w="1544" w:type="dxa"/>
            <w:tcBorders/>
            <w:shd w:fill="auto" w:val="clear"/>
          </w:tcPr>
          <w:p>
            <w:pPr>
              <w:pStyle w:val="TableContents"/>
              <w:spacing w:before="0" w:after="0"/>
              <w:ind w:left="0" w:right="0" w:hanging="0"/>
              <w:rPr/>
            </w:pPr>
            <w:r>
              <w:rPr/>
              <w:t xml:space="preserve">  </w:t>
            </w:r>
          </w:p>
        </w:tc>
        <w:tc>
          <w:tcPr>
            <w:tcW w:w="206" w:type="dxa"/>
            <w:tcBorders/>
            <w:shd w:fill="auto" w:val="clear"/>
            <w:vAlign w:val="bottom"/>
          </w:tcPr>
          <w:p>
            <w:pPr>
              <w:pStyle w:val="TableContents"/>
              <w:spacing w:before="0" w:after="283"/>
              <w:rPr/>
            </w:pPr>
            <w:r>
              <w:rPr/>
              <w:t> </w:t>
            </w:r>
          </w:p>
        </w:tc>
        <w:tc>
          <w:tcPr>
            <w:tcW w:w="4124" w:type="dxa"/>
            <w:tcBorders/>
            <w:shd w:fill="auto" w:val="clear"/>
          </w:tcPr>
          <w:p>
            <w:pPr>
              <w:pStyle w:val="TableContents"/>
              <w:spacing w:before="0" w:after="283"/>
              <w:jc w:val="left"/>
              <w:rPr/>
            </w:pPr>
            <w:r>
              <w:rPr>
                <w:b/>
              </w:rPr>
              <w:t>713/646-4560  800/564-3036</w:t>
            </w:r>
            <w:r>
              <w:rPr/>
              <w:t xml:space="preserve"> </w:t>
            </w:r>
          </w:p>
        </w:tc>
        <w:tc>
          <w:tcPr>
            <w:tcW w:w="206" w:type="dxa"/>
            <w:tcBorders/>
            <w:shd w:fill="auto" w:val="clear"/>
            <w:vAlign w:val="bottom"/>
          </w:tcPr>
          <w:p>
            <w:pPr>
              <w:pStyle w:val="TableContents"/>
              <w:spacing w:before="0" w:after="283"/>
              <w:rPr/>
            </w:pPr>
            <w:r>
              <w:rPr/>
              <w:t> </w:t>
            </w:r>
          </w:p>
        </w:tc>
        <w:tc>
          <w:tcPr>
            <w:tcW w:w="4125" w:type="dxa"/>
            <w:tcBorders/>
            <w:shd w:fill="auto" w:val="clear"/>
          </w:tcPr>
          <w:p>
            <w:pPr>
              <w:pStyle w:val="TableContents"/>
              <w:spacing w:before="0" w:after="283"/>
              <w:jc w:val="left"/>
              <w:rPr>
                <w:b/>
              </w:rPr>
            </w:pPr>
            <w:r>
              <w:rPr>
                <w:b/>
              </w:rPr>
              <w:t>713/646-4487  800/564-3036</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FOR IMMEDIATE RELEASE</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Announces Private Placement</w:t>
        <w:br/>
        <w:t>Offering of $1 Billion of Senior Notes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(Houston  October 23, 2006)  Plains All American Pipeline, L.P. (NYSE:PAA) announced today that it has commenced a private placement of ten-year and thirty-year senior notes aggregating $1 billion. The senior notes will not be registered under the Securities Act of 1933, as amended, and may not be offered or sold in the United States absent registration or an applicable exemption from registration requirements. The senior notes are expected to be eligible for trading under Rule 144A. </w:t>
      </w:r>
    </w:p>
    <w:p>
      <w:pPr>
        <w:pStyle w:val="TextBody"/>
        <w:spacing w:before="120" w:after="283"/>
        <w:jc w:val="left"/>
        <w:rPr/>
      </w:pPr>
      <w:r>
        <w:rPr/>
        <w:t>     </w:t>
      </w:r>
      <w:r>
        <w:rPr>
          <w:rFonts w:ascii="Times New Roman;Times;serif" w:hAnsi="Times New Roman;Times;serif"/>
          <w:sz w:val="17"/>
        </w:rPr>
        <w:t xml:space="preserve">The Partnership intends to use the net proceeds from the offering to fund the cash portion of its proposed merger with Pacific Energy Partners, L.P. (NYSE: PPX). Net proceeds in excess of the cash portion of the merger consideration will be used to repay outstanding borrowings under its revolving credit facility and for general partnership purposes. Pending the closing of the Pacific merger, the Partnership intends to invest excess net proceeds that are not used to repay outstanding indebtedness or for general partnership purposes in short term investments. In the event the Pacific merger does not close by February 15, 2007, the Partnership will be required to redeem the notes at 101% of par value. </w:t>
      </w:r>
    </w:p>
    <w:p>
      <w:pPr>
        <w:pStyle w:val="TextBody"/>
        <w:spacing w:before="120" w:after="283"/>
        <w:jc w:val="left"/>
        <w:rPr/>
      </w:pPr>
      <w:r>
        <w:rPr/>
        <w:t>     </w:t>
      </w:r>
      <w:r>
        <w:rPr>
          <w:rFonts w:ascii="Times New Roman;Times;serif" w:hAnsi="Times New Roman;Times;serif"/>
          <w:sz w:val="17"/>
        </w:rPr>
        <w:t xml:space="preserve">This news release does not constitute an offer to sell or a solicitation of an offer to buy the debt securities described herein, nor shall there be any sale of these securities in any state or jurisdiction in which such an offer, solicitation or sale would be unlawful prior to registration or qualification under the securities laws of any jurisdiction. </w:t>
      </w:r>
    </w:p>
    <w:p>
      <w:pPr>
        <w:pStyle w:val="TextBody"/>
        <w:spacing w:before="120" w:after="283"/>
        <w:jc w:val="left"/>
        <w:rPr/>
      </w:pPr>
      <w:r>
        <w:rPr/>
        <w:t>     </w:t>
      </w:r>
      <w:r>
        <w:rPr>
          <w:rFonts w:ascii="Times New Roman;Times;serif" w:hAnsi="Times New Roman;Times;serif"/>
          <w:sz w:val="17"/>
        </w:rPr>
        <w:t xml:space="preserve">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the Partnership is also engaged in the development and operation of natural gas storage facilities. The Partnerships common units are traded on the New York Stock Exchange under the symbol PAA. The Partnership is headquartered in Houston, Texas.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Forward Looking Statements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Except for the historical information contained herein, the matters discussed in this news release are forward-looking statements based on the current expectations and estimates of management; actual results may differ materially due to certain risks and uncertainties. These risks and uncertainties include, among other things, fluctuations in the capital markets and other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factors and uncertainties inherent in the Partnerships business. Furthermore, although Plains All American and Pacific Energy have signed a merger agreement, there is no assurance that they will complete the proposed merger. The merger agreement may be terminated if Plains All American and Pacific Energy do not receive the necessary approval of their unitholders, and also may be terminated if the parties fail to satisfy conditions to closing. Other risks and uncertainties that may affect actual results are discussed in the Partnerships Annual Report on Form 10-K for the year ended December 31, 2005, Quarterly Report on Form 10-Q or 10-Q/A for the quarter ended June 30, 2006 and other filings with the Securities and Exchange Commission, including its Registration Statement on Form S-4, as amended (333-135712).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 # #</w:t>
      </w:r>
      <w:r>
        <w:rPr>
          <w:rFonts w:ascii="Times New Roman;Times;serif" w:hAnsi="Times New Roman;Times;serif"/>
          <w:sz w:val="17"/>
        </w:rPr>
        <w:t xml:space="preserve"> </w:t>
      </w:r>
    </w:p>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933</Words>
  <CharactersWithSpaces>6113</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