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jc w:val="both"/>
        <w:ind w:left="320" w:right="340" w:hanging="243"/>
        <w:spacing w:after="0" w:line="180" w:lineRule="auto"/>
        <w:tabs>
          <w:tab w:leader="none" w:pos="32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-244475</wp:posOffset>
            </wp:positionV>
            <wp:extent cx="112395" cy="160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95" cy="1600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5280660</wp:posOffset>
            </wp:positionH>
            <wp:positionV relativeFrom="paragraph">
              <wp:posOffset>-592455</wp:posOffset>
            </wp:positionV>
            <wp:extent cx="8255" cy="593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30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-600075</wp:posOffset>
            </wp:positionV>
            <wp:extent cx="8255"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-576580</wp:posOffset>
            </wp:positionV>
            <wp:extent cx="1273810" cy="553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810" cy="5530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25400</wp:posOffset>
            </wp:positionV>
            <wp:extent cx="6971030" cy="170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06880"/>
                    </a:xfrm>
                    <a:prstGeom prst="rect">
                      <a:avLst/>
                    </a:prstGeom>
                    <a:noFill/>
                  </pic:spPr>
                </pic:pic>
              </a:graphicData>
            </a:graphic>
          </wp:anchor>
        </w:drawing>
      </w:r>
    </w:p>
    <w:p>
      <w:pPr>
        <w:spacing w:after="0" w:line="84" w:lineRule="exact"/>
        <w:rPr>
          <w:sz w:val="24"/>
          <w:szCs w:val="24"/>
          <w:color w:val="auto"/>
        </w:rPr>
      </w:pPr>
    </w:p>
    <w:p>
      <w:pPr>
        <w:sectPr>
          <w:pgSz w:w="11900" w:h="16838" w:orient="portrait"/>
          <w:cols w:equalWidth="0" w:num="2">
            <w:col w:w="2180" w:space="420"/>
            <w:col w:w="8480"/>
          </w:cols>
          <w:pgMar w:left="460" w:top="219"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EMG Investment, LLC</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380"/>
        <w:spacing w:after="0" w:line="360" w:lineRule="auto"/>
        <w:rPr>
          <w:sz w:val="20"/>
          <w:szCs w:val="20"/>
          <w:color w:val="auto"/>
        </w:rPr>
      </w:pPr>
      <w:r>
        <w:rPr>
          <w:rFonts w:ascii="Arial" w:cs="Arial" w:eastAsia="Arial" w:hAnsi="Arial"/>
          <w:sz w:val="16"/>
          <w:szCs w:val="16"/>
          <w:color w:val="0000FF"/>
        </w:rPr>
        <w:t>C/O THE ENERGY &amp; MINERALS GROUP, LP 2229 SAN FELIPE STREET, SUITE 1300</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0000FF"/>
              </w:rPr>
              <w:t>HOUSTON</w:t>
            </w:r>
          </w:p>
        </w:tc>
        <w:tc>
          <w:tcPr>
            <w:tcW w:w="1020" w:type="dxa"/>
            <w:vAlign w:val="bottom"/>
          </w:tcPr>
          <w:p>
            <w:pPr>
              <w:ind w:left="220"/>
              <w:spacing w:after="0"/>
              <w:rPr>
                <w:sz w:val="20"/>
                <w:szCs w:val="20"/>
                <w:color w:val="auto"/>
              </w:rPr>
            </w:pPr>
            <w:r>
              <w:rPr>
                <w:rFonts w:ascii="Arial" w:cs="Arial" w:eastAsia="Arial" w:hAnsi="Arial"/>
                <w:sz w:val="16"/>
                <w:szCs w:val="16"/>
                <w:color w:val="0000FF"/>
              </w:rPr>
              <w:t>TX</w:t>
            </w:r>
          </w:p>
        </w:tc>
        <w:tc>
          <w:tcPr>
            <w:tcW w:w="1600" w:type="dxa"/>
            <w:vAlign w:val="bottom"/>
          </w:tcPr>
          <w:p>
            <w:pPr>
              <w:ind w:left="420"/>
              <w:spacing w:after="0"/>
              <w:rPr>
                <w:sz w:val="20"/>
                <w:szCs w:val="20"/>
                <w:color w:val="auto"/>
              </w:rPr>
            </w:pPr>
            <w:r>
              <w:rPr>
                <w:rFonts w:ascii="Arial" w:cs="Arial" w:eastAsia="Arial" w:hAnsi="Arial"/>
                <w:sz w:val="16"/>
                <w:szCs w:val="16"/>
                <w:color w:val="0000FF"/>
              </w:rPr>
              <w:t>77019</w:t>
            </w:r>
          </w:p>
        </w:tc>
      </w:tr>
      <w:tr>
        <w:trPr>
          <w:trHeight w:val="147"/>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PLAINS GP HOLDINGS LP</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PAGP</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680" w:type="dxa"/>
            <w:vAlign w:val="bottom"/>
          </w:tcPr>
          <w:p>
            <w:pPr>
              <w:ind w:left="6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15"/>
                <w:szCs w:val="15"/>
                <w:color w:val="auto"/>
              </w:rPr>
            </w:pPr>
          </w:p>
        </w:tc>
        <w:tc>
          <w:tcPr>
            <w:tcW w:w="1180" w:type="dxa"/>
            <w:vAlign w:val="bottom"/>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68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118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180" w:type="dxa"/>
            <w:vAlign w:val="bottom"/>
            <w:tcBorders>
              <w:bottom w:val="single" w:sz="8" w:color="2C2C2C"/>
            </w:tcBorders>
          </w:tcPr>
          <w:p>
            <w:pPr>
              <w:spacing w:after="0"/>
              <w:rPr>
                <w:sz w:val="2"/>
                <w:szCs w:val="2"/>
                <w:color w:val="auto"/>
              </w:rPr>
            </w:pPr>
          </w:p>
        </w:tc>
        <w:tc>
          <w:tcPr>
            <w:tcW w:w="3640" w:type="dxa"/>
            <w:vAlign w:val="bottom"/>
            <w:tcBorders>
              <w:bottom w:val="single" w:sz="8" w:color="2C2C2C"/>
            </w:tcBorders>
          </w:tcPr>
          <w:p>
            <w:pPr>
              <w:spacing w:after="0"/>
              <w:rPr>
                <w:sz w:val="2"/>
                <w:szCs w:val="2"/>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2"/>
                <w:szCs w:val="2"/>
                <w:color w:val="auto"/>
              </w:rPr>
            </w:pP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1"/>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80" w:type="dxa"/>
            <w:vAlign w:val="bottom"/>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2120" w:type="dxa"/>
            <w:vAlign w:val="bottom"/>
            <w:gridSpan w:val="2"/>
            <w:vMerge w:val="restart"/>
          </w:tcPr>
          <w:p>
            <w:pPr>
              <w:ind w:left="1220"/>
              <w:spacing w:after="0"/>
              <w:rPr>
                <w:sz w:val="20"/>
                <w:szCs w:val="20"/>
                <w:color w:val="auto"/>
              </w:rPr>
            </w:pPr>
            <w:r>
              <w:rPr>
                <w:rFonts w:ascii="Arial" w:cs="Arial" w:eastAsia="Arial" w:hAnsi="Arial"/>
                <w:sz w:val="16"/>
                <w:szCs w:val="16"/>
                <w:color w:val="0000FF"/>
                <w:w w:val="90"/>
              </w:rPr>
              <w:t>See Remarks</w:t>
            </w: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11/18/2020</w:t>
            </w:r>
          </w:p>
        </w:tc>
        <w:tc>
          <w:tcPr>
            <w:tcW w:w="212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27" w:lineRule="exact"/>
        <w:rPr>
          <w:sz w:val="24"/>
          <w:szCs w:val="24"/>
          <w:color w:val="auto"/>
        </w:rPr>
      </w:pPr>
    </w:p>
    <w:tbl>
      <w:tblPr>
        <w:tblLayout w:type="fixed"/>
        <w:tblInd w:w="4080"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230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2300" w:type="dxa"/>
            <w:vAlign w:val="bottom"/>
          </w:tcPr>
          <w:p>
            <w:pPr>
              <w:ind w:left="120"/>
              <w:spacing w:after="0"/>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23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216535</wp:posOffset>
            </wp:positionV>
            <wp:extent cx="6971030" cy="127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1273810"/>
                    </a:xfrm>
                    <a:prstGeom prst="rect">
                      <a:avLst/>
                    </a:prstGeom>
                    <a:noFill/>
                  </pic:spPr>
                </pic:pic>
              </a:graphicData>
            </a:graphic>
          </wp:anchor>
        </w:drawing>
      </w:r>
    </w:p>
    <w:p>
      <w:pPr>
        <w:spacing w:after="0" w:line="398" w:lineRule="exact"/>
        <w:rPr>
          <w:sz w:val="24"/>
          <w:szCs w:val="24"/>
          <w:color w:val="auto"/>
        </w:rPr>
      </w:pPr>
    </w:p>
    <w:p>
      <w:pPr>
        <w:sectPr>
          <w:pgSz w:w="11900" w:h="16838" w:orient="portrait"/>
          <w:cols w:equalWidth="0" w:num="2">
            <w:col w:w="3740" w:space="10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78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600" w:type="dxa"/>
            <w:vAlign w:val="bottom"/>
            <w:gridSpan w:val="2"/>
          </w:tcPr>
          <w:p>
            <w:pPr>
              <w:ind w:left="120"/>
              <w:spacing w:after="0"/>
              <w:rPr>
                <w:sz w:val="20"/>
                <w:szCs w:val="20"/>
                <w:color w:val="auto"/>
              </w:rPr>
            </w:pPr>
            <w:r>
              <w:rPr>
                <w:rFonts w:ascii="Arial" w:cs="Arial" w:eastAsia="Arial" w:hAnsi="Arial"/>
                <w:sz w:val="11"/>
                <w:szCs w:val="11"/>
                <w:b w:val="1"/>
                <w:bCs w:val="1"/>
                <w:color w:val="auto"/>
              </w:rPr>
              <w:t>(A) or</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80"/>
              <w:spacing w:after="0"/>
              <w:rPr>
                <w:sz w:val="20"/>
                <w:szCs w:val="20"/>
                <w:color w:val="auto"/>
              </w:rPr>
            </w:pPr>
            <w:r>
              <w:rPr>
                <w:rFonts w:ascii="Arial" w:cs="Arial" w:eastAsia="Arial" w:hAnsi="Arial"/>
                <w:sz w:val="16"/>
                <w:szCs w:val="16"/>
                <w:color w:val="0000FF"/>
              </w:rPr>
              <w:t>11/18/2020</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(2)</w:t>
            </w:r>
          </w:p>
        </w:tc>
        <w:tc>
          <w:tcPr>
            <w:tcW w:w="82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6,220,955</w:t>
            </w:r>
          </w:p>
        </w:tc>
        <w:tc>
          <w:tcPr>
            <w:tcW w:w="3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w w:val="93"/>
              </w:rPr>
              <w:t>A</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right"/>
              <w:ind w:right="116"/>
              <w:spacing w:after="0"/>
              <w:rPr>
                <w:sz w:val="20"/>
                <w:szCs w:val="20"/>
                <w:color w:val="auto"/>
              </w:rPr>
            </w:pPr>
            <w:r>
              <w:rPr>
                <w:rFonts w:ascii="Arial" w:cs="Arial" w:eastAsia="Arial" w:hAnsi="Arial"/>
                <w:sz w:val="11"/>
                <w:szCs w:val="11"/>
                <w:color w:val="008000"/>
              </w:rPr>
              <w:t>(2)</w:t>
            </w:r>
          </w:p>
        </w:tc>
        <w:tc>
          <w:tcPr>
            <w:tcW w:w="1280" w:type="dxa"/>
            <w:vAlign w:val="bottom"/>
            <w:tcBorders>
              <w:bottom w:val="single" w:sz="8" w:color="2C2C2C"/>
            </w:tcBorders>
            <w:gridSpan w:val="3"/>
          </w:tcPr>
          <w:p>
            <w:pPr>
              <w:jc w:val="center"/>
              <w:ind w:right="164"/>
              <w:spacing w:after="0"/>
              <w:rPr>
                <w:sz w:val="20"/>
                <w:szCs w:val="20"/>
                <w:color w:val="auto"/>
              </w:rPr>
            </w:pPr>
            <w:r>
              <w:rPr>
                <w:rFonts w:ascii="Arial" w:cs="Arial" w:eastAsia="Arial" w:hAnsi="Arial"/>
                <w:sz w:val="16"/>
                <w:szCs w:val="16"/>
                <w:color w:val="0000FF"/>
              </w:rPr>
              <w:t>6,220,955</w:t>
            </w:r>
            <w:r>
              <w:rPr>
                <w:rFonts w:ascii="Arial" w:cs="Arial" w:eastAsia="Arial" w:hAnsi="Arial"/>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80"/>
              <w:spacing w:after="0"/>
              <w:rPr>
                <w:sz w:val="20"/>
                <w:szCs w:val="20"/>
                <w:color w:val="auto"/>
              </w:rPr>
            </w:pPr>
            <w:r>
              <w:rPr>
                <w:rFonts w:ascii="Arial" w:cs="Arial" w:eastAsia="Arial" w:hAnsi="Arial"/>
                <w:sz w:val="16"/>
                <w:szCs w:val="16"/>
                <w:color w:val="0000FF"/>
              </w:rPr>
              <w:t>11/18/2020</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82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6,220,955</w:t>
            </w:r>
          </w:p>
        </w:tc>
        <w:tc>
          <w:tcPr>
            <w:tcW w:w="36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w w:val="86"/>
              </w:rPr>
              <w:t>D</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8.05</w:t>
            </w:r>
          </w:p>
        </w:tc>
        <w:tc>
          <w:tcPr>
            <w:tcW w:w="72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0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2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w w:val="99"/>
              </w:rPr>
              <w:t>of Securities</w:t>
            </w:r>
          </w:p>
        </w:tc>
        <w:tc>
          <w:tcPr>
            <w:tcW w:w="5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2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14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2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2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w w:val="94"/>
              </w:rPr>
              <w:t>Units/Class</w:t>
            </w: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gridSpan w:val="2"/>
            <w:vMerge w:val="restart"/>
          </w:tcPr>
          <w:p>
            <w:pPr>
              <w:ind w:left="140"/>
              <w:spacing w:after="0" w:line="287"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(2)</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gridSpan w:val="2"/>
          </w:tcPr>
          <w:p>
            <w:pPr>
              <w:ind w:left="100"/>
              <w:spacing w:after="0" w:line="139" w:lineRule="exact"/>
              <w:rPr>
                <w:sz w:val="20"/>
                <w:szCs w:val="20"/>
                <w:color w:val="auto"/>
              </w:rPr>
            </w:pPr>
            <w:r>
              <w:rPr>
                <w:rFonts w:ascii="Arial" w:cs="Arial" w:eastAsia="Arial" w:hAnsi="Arial"/>
                <w:sz w:val="13"/>
                <w:szCs w:val="13"/>
                <w:color w:val="0000FF"/>
              </w:rPr>
              <w:t>Class</w:t>
            </w: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8"/>
              </w:rPr>
              <w:t>6,220,955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vMerge w:val="restart"/>
          </w:tcPr>
          <w:p>
            <w:pPr>
              <w:ind w:left="320"/>
              <w:spacing w:after="0" w:line="287" w:lineRule="exact"/>
              <w:rPr>
                <w:sz w:val="20"/>
                <w:szCs w:val="20"/>
                <w:color w:val="auto"/>
              </w:rPr>
            </w:pPr>
            <w:r>
              <w:rPr>
                <w:rFonts w:ascii="Arial" w:cs="Arial" w:eastAsia="Arial" w:hAnsi="Arial"/>
                <w:sz w:val="25"/>
                <w:szCs w:val="25"/>
                <w:color w:val="0000FF"/>
                <w:w w:val="96"/>
                <w:vertAlign w:val="subscript"/>
              </w:rPr>
              <w:t>0</w:t>
            </w:r>
            <w:r>
              <w:rPr>
                <w:rFonts w:ascii="Arial" w:cs="Arial" w:eastAsia="Arial" w:hAnsi="Arial"/>
                <w:sz w:val="11"/>
                <w:szCs w:val="11"/>
                <w:color w:val="008000"/>
                <w:w w:val="96"/>
              </w:rPr>
              <w:t>(3)</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B</w:t>
            </w:r>
          </w:p>
        </w:tc>
        <w:tc>
          <w:tcPr>
            <w:tcW w:w="74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ind w:left="280"/>
              <w:spacing w:after="0" w:line="148" w:lineRule="exact"/>
              <w:rPr>
                <w:sz w:val="20"/>
                <w:szCs w:val="20"/>
                <w:color w:val="auto"/>
              </w:rPr>
            </w:pPr>
            <w:r>
              <w:rPr>
                <w:rFonts w:ascii="Arial" w:cs="Arial" w:eastAsia="Arial" w:hAnsi="Arial"/>
                <w:sz w:val="13"/>
                <w:szCs w:val="13"/>
                <w:color w:val="0000FF"/>
              </w:rPr>
              <w:t>11/18/2020</w:t>
            </w:r>
          </w:p>
        </w:tc>
        <w:tc>
          <w:tcPr>
            <w:tcW w:w="10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2"/>
          </w:tcPr>
          <w:p>
            <w:pPr>
              <w:ind w:left="380"/>
              <w:spacing w:after="0" w:line="148" w:lineRule="exact"/>
              <w:rPr>
                <w:sz w:val="20"/>
                <w:szCs w:val="20"/>
                <w:color w:val="auto"/>
              </w:rPr>
            </w:pPr>
            <w:r>
              <w:rPr>
                <w:rFonts w:ascii="Arial" w:cs="Arial" w:eastAsia="Arial" w:hAnsi="Arial"/>
                <w:sz w:val="13"/>
                <w:szCs w:val="13"/>
                <w:color w:val="0000FF"/>
              </w:rPr>
              <w:t>6,220,955</w:t>
            </w:r>
          </w:p>
        </w:tc>
        <w:tc>
          <w:tcPr>
            <w:tcW w:w="740" w:type="dxa"/>
            <w:vAlign w:val="bottom"/>
          </w:tcPr>
          <w:p>
            <w:pPr>
              <w:ind w:left="260"/>
              <w:spacing w:after="0"/>
              <w:rPr>
                <w:sz w:val="20"/>
                <w:szCs w:val="20"/>
                <w:color w:val="auto"/>
              </w:rPr>
            </w:pPr>
            <w:r>
              <w:rPr>
                <w:rFonts w:ascii="Arial" w:cs="Arial" w:eastAsia="Arial" w:hAnsi="Arial"/>
                <w:sz w:val="11"/>
                <w:szCs w:val="11"/>
                <w:color w:val="008000"/>
              </w:rPr>
              <w:t>(1)</w:t>
            </w:r>
          </w:p>
        </w:tc>
        <w:tc>
          <w:tcPr>
            <w:tcW w:w="660" w:type="dxa"/>
            <w:vAlign w:val="bottom"/>
          </w:tcPr>
          <w:p>
            <w:pPr>
              <w:ind w:left="2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360" w:type="dxa"/>
            <w:vAlign w:val="bottom"/>
          </w:tcPr>
          <w:p>
            <w:pPr>
              <w:ind w:left="40"/>
              <w:spacing w:after="0" w:line="148" w:lineRule="exact"/>
              <w:rPr>
                <w:sz w:val="20"/>
                <w:szCs w:val="20"/>
                <w:color w:val="auto"/>
              </w:rPr>
            </w:pPr>
            <w:r>
              <w:rPr>
                <w:rFonts w:ascii="Arial" w:cs="Arial" w:eastAsia="Arial" w:hAnsi="Arial"/>
                <w:sz w:val="13"/>
                <w:szCs w:val="13"/>
                <w:color w:val="0000FF"/>
              </w:rPr>
              <w:t>A</w:t>
            </w:r>
          </w:p>
        </w:tc>
        <w:tc>
          <w:tcPr>
            <w:tcW w:w="740" w:type="dxa"/>
            <w:vAlign w:val="bottom"/>
            <w:gridSpan w:val="2"/>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ind w:left="320"/>
              <w:spacing w:after="0" w:line="14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3"/>
                <w:szCs w:val="13"/>
                <w:color w:val="0000FF"/>
                <w:w w:val="97"/>
              </w:rPr>
              <w:t>Shares/GP</w:t>
            </w: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gridSpan w:val="2"/>
          </w:tcPr>
          <w:p>
            <w:pPr>
              <w:ind w:left="80"/>
              <w:spacing w:after="0" w:line="126" w:lineRule="exact"/>
              <w:rPr>
                <w:sz w:val="20"/>
                <w:szCs w:val="20"/>
                <w:color w:val="auto"/>
              </w:rPr>
            </w:pPr>
            <w:r>
              <w:rPr>
                <w:rFonts w:ascii="Arial" w:cs="Arial" w:eastAsia="Arial" w:hAnsi="Arial"/>
                <w:sz w:val="13"/>
                <w:szCs w:val="13"/>
                <w:color w:val="0000FF"/>
              </w:rPr>
              <w:t>Shares</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gridSpan w:val="2"/>
          </w:tcPr>
          <w:p>
            <w:pPr>
              <w:ind w:left="60"/>
              <w:spacing w:after="0" w:line="22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4"/>
          </w:tcPr>
          <w:p>
            <w:pPr>
              <w:ind w:left="60"/>
              <w:spacing w:after="0" w:line="229"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3"/>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EMG Investment, LLC</w:t>
              </w:r>
            </w:hyperlink>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4"/>
          </w:tcPr>
          <w:p>
            <w:pPr>
              <w:ind w:left="20"/>
              <w:spacing w:after="0"/>
              <w:rPr>
                <w:sz w:val="20"/>
                <w:szCs w:val="20"/>
                <w:color w:val="auto"/>
              </w:rPr>
            </w:pPr>
            <w:r>
              <w:rPr>
                <w:rFonts w:ascii="Arial" w:cs="Arial" w:eastAsia="Arial" w:hAnsi="Arial"/>
                <w:sz w:val="16"/>
                <w:szCs w:val="16"/>
                <w:color w:val="0000FF"/>
              </w:rPr>
              <w:t>C/O THE ENERGY &amp; MINERALS GROUP, LP</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00" w:type="dxa"/>
            <w:vAlign w:val="bottom"/>
            <w:gridSpan w:val="4"/>
          </w:tcPr>
          <w:p>
            <w:pPr>
              <w:ind w:left="20"/>
              <w:spacing w:after="0"/>
              <w:rPr>
                <w:sz w:val="20"/>
                <w:szCs w:val="20"/>
                <w:color w:val="auto"/>
              </w:rPr>
            </w:pPr>
            <w:r>
              <w:rPr>
                <w:rFonts w:ascii="Arial" w:cs="Arial" w:eastAsia="Arial" w:hAnsi="Arial"/>
                <w:sz w:val="16"/>
                <w:szCs w:val="16"/>
                <w:color w:val="0000FF"/>
              </w:rPr>
              <w:t>2229 SAN FELIPE STREET, SUITE 1300</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HOUSTON</w:t>
            </w:r>
          </w:p>
        </w:tc>
        <w:tc>
          <w:tcPr>
            <w:tcW w:w="1080" w:type="dxa"/>
            <w:vAlign w:val="bottom"/>
          </w:tcPr>
          <w:p>
            <w:pPr>
              <w:ind w:left="60"/>
              <w:spacing w:after="0"/>
              <w:rPr>
                <w:sz w:val="20"/>
                <w:szCs w:val="20"/>
                <w:color w:val="auto"/>
              </w:rPr>
            </w:pPr>
            <w:r>
              <w:rPr>
                <w:rFonts w:ascii="Arial" w:cs="Arial" w:eastAsia="Arial" w:hAnsi="Arial"/>
                <w:sz w:val="16"/>
                <w:szCs w:val="16"/>
                <w:color w:val="0000FF"/>
              </w:rPr>
              <w:t>TX</w:t>
            </w:r>
          </w:p>
        </w:tc>
        <w:tc>
          <w:tcPr>
            <w:tcW w:w="1060" w:type="dxa"/>
            <w:vAlign w:val="bottom"/>
          </w:tcPr>
          <w:p>
            <w:pPr>
              <w:ind w:left="380"/>
              <w:spacing w:after="0"/>
              <w:rPr>
                <w:sz w:val="20"/>
                <w:szCs w:val="20"/>
                <w:color w:val="auto"/>
              </w:rPr>
            </w:pPr>
            <w:r>
              <w:rPr>
                <w:rFonts w:ascii="Arial" w:cs="Arial" w:eastAsia="Arial" w:hAnsi="Arial"/>
                <w:sz w:val="16"/>
                <w:szCs w:val="16"/>
                <w:color w:val="0000FF"/>
              </w:rPr>
              <w:t>77019</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8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3"/>
          </w:tcPr>
          <w:p>
            <w:pPr>
              <w:ind w:left="20"/>
              <w:spacing w:after="0"/>
              <w:rPr>
                <w:rFonts w:ascii="Arial" w:cs="Arial" w:eastAsia="Arial" w:hAnsi="Arial"/>
                <w:sz w:val="20"/>
                <w:szCs w:val="20"/>
                <w:u w:val="single" w:color="auto"/>
                <w:color w:val="0000EE"/>
                <w:w w:val="95"/>
              </w:rPr>
            </w:pPr>
            <w:hyperlink r:id="rId16">
              <w:r>
                <w:rPr>
                  <w:rFonts w:ascii="Arial" w:cs="Arial" w:eastAsia="Arial" w:hAnsi="Arial"/>
                  <w:sz w:val="20"/>
                  <w:szCs w:val="20"/>
                  <w:u w:val="single" w:color="auto"/>
                  <w:color w:val="0000EE"/>
                  <w:w w:val="95"/>
                </w:rPr>
                <w:t>NGP MR Management, LLC</w:t>
              </w:r>
            </w:hyperlink>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4"/>
          </w:tcPr>
          <w:p>
            <w:pPr>
              <w:ind w:left="20"/>
              <w:spacing w:after="0"/>
              <w:rPr>
                <w:sz w:val="20"/>
                <w:szCs w:val="20"/>
                <w:color w:val="auto"/>
              </w:rPr>
            </w:pPr>
            <w:r>
              <w:rPr>
                <w:rFonts w:ascii="Arial" w:cs="Arial" w:eastAsia="Arial" w:hAnsi="Arial"/>
                <w:sz w:val="16"/>
                <w:szCs w:val="16"/>
                <w:color w:val="0000FF"/>
              </w:rPr>
              <w:t>C/O THE ENERGY &amp; MINERALS GROUP, LP</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00" w:type="dxa"/>
            <w:vAlign w:val="bottom"/>
            <w:gridSpan w:val="4"/>
          </w:tcPr>
          <w:p>
            <w:pPr>
              <w:ind w:left="20"/>
              <w:spacing w:after="0"/>
              <w:rPr>
                <w:sz w:val="20"/>
                <w:szCs w:val="20"/>
                <w:color w:val="auto"/>
              </w:rPr>
            </w:pPr>
            <w:r>
              <w:rPr>
                <w:rFonts w:ascii="Arial" w:cs="Arial" w:eastAsia="Arial" w:hAnsi="Arial"/>
                <w:sz w:val="16"/>
                <w:szCs w:val="16"/>
                <w:color w:val="0000FF"/>
              </w:rPr>
              <w:t>2229 SAN FELIPE STREET, SUITE 1300</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HOUSTON</w:t>
            </w:r>
          </w:p>
        </w:tc>
        <w:tc>
          <w:tcPr>
            <w:tcW w:w="1080" w:type="dxa"/>
            <w:vAlign w:val="bottom"/>
          </w:tcPr>
          <w:p>
            <w:pPr>
              <w:ind w:left="60"/>
              <w:spacing w:after="0"/>
              <w:rPr>
                <w:sz w:val="20"/>
                <w:szCs w:val="20"/>
                <w:color w:val="auto"/>
              </w:rPr>
            </w:pPr>
            <w:r>
              <w:rPr>
                <w:rFonts w:ascii="Arial" w:cs="Arial" w:eastAsia="Arial" w:hAnsi="Arial"/>
                <w:sz w:val="16"/>
                <w:szCs w:val="16"/>
                <w:color w:val="0000FF"/>
              </w:rPr>
              <w:t>TX</w:t>
            </w:r>
          </w:p>
        </w:tc>
        <w:tc>
          <w:tcPr>
            <w:tcW w:w="1060" w:type="dxa"/>
            <w:vAlign w:val="bottom"/>
          </w:tcPr>
          <w:p>
            <w:pPr>
              <w:ind w:left="380"/>
              <w:spacing w:after="0"/>
              <w:rPr>
                <w:sz w:val="20"/>
                <w:szCs w:val="20"/>
                <w:color w:val="auto"/>
              </w:rPr>
            </w:pPr>
            <w:r>
              <w:rPr>
                <w:rFonts w:ascii="Arial" w:cs="Arial" w:eastAsia="Arial" w:hAnsi="Arial"/>
                <w:sz w:val="16"/>
                <w:szCs w:val="16"/>
                <w:color w:val="0000FF"/>
              </w:rPr>
              <w:t>77019</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8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-5167630</wp:posOffset>
            </wp:positionV>
            <wp:extent cx="7035165" cy="5232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5165" cy="5232400"/>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140" w:hanging="1"/>
        <w:spacing w:after="0" w:line="23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each limited partner of AAP, including EMG Investment, LLC ("EMG"), has the right, at any time and from time to time, to immediately exchange (the "Exchange Right") its Class A Units ("Class A Units") in AAP, together with a like number of Class B shares representing limited partner interests ("Class B Shares") in Plains GP Holdings, L.P. (the "Issuer") and Units ("GP Units") in PAA GP Holdings LLC, for Class A shares representing limited partner interests ("Class A Shares") in the Issuer on a one-for-one basis. The Exchange Right does not expire and may be settled in cash by AAP.</w:t>
      </w:r>
    </w:p>
    <w:p>
      <w:pPr>
        <w:spacing w:after="0" w:line="30" w:lineRule="exact"/>
        <w:rPr>
          <w:rFonts w:ascii="Arial" w:cs="Arial" w:eastAsia="Arial" w:hAnsi="Arial"/>
          <w:sz w:val="13"/>
          <w:szCs w:val="13"/>
          <w:color w:val="008000"/>
        </w:rPr>
      </w:pPr>
    </w:p>
    <w:p>
      <w:pPr>
        <w:jc w:val="both"/>
        <w:ind w:left="40" w:right="140" w:hanging="1"/>
        <w:spacing w:after="0" w:line="260"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November 18, 2020, EMG elected to exchange 6,220,955 Class A Units, together with a like number of Class B Shares and GP Units, for Class A Shares on a one-for-one basis pursuant to the Exchange Right. EMG has agreed to sell the Class A Shares received pursuant to such election to exchange in a single transaction exempt from registration under Rule 144 of the Securities Act of 1933, as amended, at a price of $8.05 per Class A Share. Following the completion of such sale, EMG will distribute the proceeds thereof to its remaining members on a pro rata basis.</w:t>
      </w:r>
    </w:p>
    <w:p>
      <w:pPr>
        <w:spacing w:after="0" w:line="18" w:lineRule="exact"/>
        <w:rPr>
          <w:rFonts w:ascii="Arial" w:cs="Arial" w:eastAsia="Arial" w:hAnsi="Arial"/>
          <w:sz w:val="12"/>
          <w:szCs w:val="12"/>
          <w:color w:val="008000"/>
        </w:rPr>
      </w:pPr>
    </w:p>
    <w:p>
      <w:pPr>
        <w:ind w:left="40" w:right="18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of the Class A Shares, Class A Units, Class B Shares and GP Units referred to herein is being reported hereunder by NGP MR Management, LLC solely because NGP MR Management, LLC may be deemed to beneficially own such Class A Shares, Class A Units, Class B Shares and GP Units as a result of its status as the designated manager of EMG. NGP MR Management, LLC disclaims beneficial ownership of the securities held by EMG except to the extent of its pecuniary interest therein.</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6"/>
          <w:szCs w:val="16"/>
          <w:b w:val="1"/>
          <w:bCs w:val="1"/>
          <w:color w:val="auto"/>
        </w:rPr>
        <w:t>Remarks:</w:t>
      </w:r>
    </w:p>
    <w:p>
      <w:pPr>
        <w:spacing w:after="0" w:line="64" w:lineRule="exact"/>
        <w:rPr>
          <w:sz w:val="20"/>
          <w:szCs w:val="20"/>
          <w:color w:val="auto"/>
        </w:rPr>
      </w:pPr>
    </w:p>
    <w:p>
      <w:pPr>
        <w:ind w:left="1"/>
        <w:spacing w:after="0" w:line="247" w:lineRule="auto"/>
        <w:rPr>
          <w:sz w:val="20"/>
          <w:szCs w:val="20"/>
          <w:color w:val="auto"/>
        </w:rPr>
      </w:pPr>
      <w:r>
        <w:rPr>
          <w:rFonts w:ascii="Arial" w:cs="Arial" w:eastAsia="Arial" w:hAnsi="Arial"/>
          <w:sz w:val="12"/>
          <w:szCs w:val="12"/>
          <w:color w:val="008000"/>
        </w:rPr>
        <w:t>John T. Raymond previously served as the representative of EMG Investment, LLC on the board of directors of the general partner of the Issuer (the "Board"). In May 2019, as a result of a series of transactions pursuant to which EMG's ownership interest in AAP was reduced to below the 10% requisite qualifying interest level, EMG lost its right to designate a representative to serve on the Board, and is therefore no longer subject to Section 16. As a result of EMG's loss of its designation right, Mr. Raymond, EMG's designee to the Board, automatically ceased to be a member of the Board. Mr. Raymond was subsequently elected to continue to serve on the Board. Mr. Raymond is the Chief Executive Officer of The Energy &amp; Minerals Group which is the management company for a series of specialized private equity funds including NGP Midstream &amp; Resources, L.P. and is the Chief Executive Officer of NGP MR Management, LLC, which is the manager of EMG Investment, LLC. As such, EMG Investment, LLC and NGP MR Management, LLC may each be deemed to have been a director of the Issuer prior to May 2019. The filing of this Statement shall not be construed as an admission that any Reporting Person is, for purposes of Section 13(d) of the Securities and Exchange Act of 1934, as amended, the beneficial owner of any security.</w:t>
      </w:r>
    </w:p>
    <w:p>
      <w:pPr>
        <w:spacing w:after="0" w:line="42"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1360" w:type="dxa"/>
            <w:vAlign w:val="bottom"/>
          </w:tcPr>
          <w:p>
            <w:pPr>
              <w:spacing w:after="0"/>
              <w:rPr>
                <w:sz w:val="20"/>
                <w:szCs w:val="20"/>
                <w:color w:val="auto"/>
              </w:rPr>
            </w:pPr>
            <w:r>
              <w:rPr>
                <w:rFonts w:ascii="Arial" w:cs="Arial" w:eastAsia="Arial" w:hAnsi="Arial"/>
                <w:sz w:val="16"/>
                <w:szCs w:val="16"/>
                <w:color w:val="0000FF"/>
                <w:w w:val="90"/>
              </w:rPr>
              <w:t>/s/ John T. Raymond</w:t>
            </w:r>
          </w:p>
        </w:tc>
        <w:tc>
          <w:tcPr>
            <w:tcW w:w="66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color w:val="0000FF"/>
                <w:w w:val="89"/>
              </w:rPr>
              <w:t>11/20/2020</w:t>
            </w:r>
          </w:p>
        </w:tc>
      </w:tr>
      <w:tr>
        <w:trPr>
          <w:trHeight w:val="20"/>
        </w:trPr>
        <w:tc>
          <w:tcPr>
            <w:tcW w:w="1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60" w:hanging="1"/>
        <w:spacing w:after="0" w:line="325"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1"/>
      </w:cols>
      <w:pgMar w:left="499" w:top="12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507562" TargetMode="External"/><Relationship Id="rId14" Type="http://schemas.openxmlformats.org/officeDocument/2006/relationships/hyperlink" Target="http://www.sec.gov/cgi-bin/browse-edgar?action=getcompany&amp;CIK=0001581990" TargetMode="External"/><Relationship Id="rId16" Type="http://schemas.openxmlformats.org/officeDocument/2006/relationships/hyperlink" Target="http://www.sec.gov/cgi-bin/browse-edgar?action=getcompany&amp;CIK=00015760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2020-11-20T15:39:13Z</dcterms:created>
  <dcterms:modified xsi:type="dcterms:W3CDTF">2020-11-20T15:39:13Z</dcterms:modified>
</cp:coreProperties>
</file>